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73" w:lineRule="exact"/>
        <w:rPr>
          <w:sz w:val="24"/>
          <w:szCs w:val="24"/>
          <w:color w:val="auto"/>
        </w:rPr>
      </w:pPr>
    </w:p>
    <w:p>
      <w:pPr>
        <w:ind w:left="3420" w:hanging="1008"/>
        <w:spacing w:after="0"/>
        <w:tabs>
          <w:tab w:leader="none" w:pos="3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spacing w:after="0" w:line="33" w:lineRule="exact"/>
        <w:rPr>
          <w:rFonts w:ascii="MS PGothic" w:cs="MS PGothic" w:eastAsia="MS PGothic" w:hAnsi="MS PGothic"/>
          <w:sz w:val="18"/>
          <w:szCs w:val="18"/>
          <w:color w:val="auto"/>
        </w:rPr>
      </w:pPr>
    </w:p>
    <w:p>
      <w:pPr>
        <w:jc w:val="both"/>
        <w:ind w:left="3900" w:right="3900" w:hanging="3"/>
        <w:spacing w:after="0" w:line="310" w:lineRule="auto"/>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 For the Quarterly Period Ended September 30, 2019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7" w:lineRule="exact"/>
        <w:rPr>
          <w:sz w:val="24"/>
          <w:szCs w:val="24"/>
          <w:color w:val="auto"/>
        </w:rPr>
      </w:pPr>
    </w:p>
    <w:p>
      <w:pPr>
        <w:ind w:left="3420" w:hanging="1008"/>
        <w:spacing w:after="0"/>
        <w:tabs>
          <w:tab w:leader="none" w:pos="3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spacing w:after="0" w:line="33"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COMMUNITY BANKS,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47"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Georgia</w:t>
            </w:r>
          </w:p>
        </w:tc>
        <w:tc>
          <w:tcPr>
            <w:tcW w:w="5960" w:type="dxa"/>
            <w:vAlign w:val="bottom"/>
            <w:gridSpan w:val="4"/>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c>
          <w:tcPr>
            <w:tcW w:w="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c>
          <w:tcPr>
            <w:tcW w:w="4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125 Highway 515 East</w:t>
            </w: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Blairsville , Georgia</w:t>
            </w:r>
          </w:p>
        </w:tc>
        <w:tc>
          <w:tcPr>
            <w:tcW w:w="5960" w:type="dxa"/>
            <w:vAlign w:val="bottom"/>
            <w:gridSpan w:val="4"/>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rPr>
              <w:t>30512</w:t>
            </w:r>
          </w:p>
        </w:tc>
        <w:tc>
          <w:tcPr>
            <w:tcW w:w="40" w:type="dxa"/>
            <w:vAlign w:val="bottom"/>
          </w:tcPr>
          <w:p>
            <w:pPr>
              <w:spacing w:after="0"/>
              <w:rPr>
                <w:sz w:val="23"/>
                <w:szCs w:val="23"/>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(706) 781-2265</w:t>
            </w:r>
          </w:p>
        </w:tc>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ind w:left="38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42"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660" w:type="dxa"/>
            <w:vAlign w:val="bottom"/>
            <w:gridSpan w:val="2"/>
          </w:tcPr>
          <w:p>
            <w:pPr>
              <w:jc w:val="center"/>
              <w:ind w:left="13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1"/>
        </w:trPr>
        <w:tc>
          <w:tcPr>
            <w:tcW w:w="4340" w:type="dxa"/>
            <w:vAlign w:val="bottom"/>
            <w:gridSpan w:val="3"/>
          </w:tcPr>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Common stock, par value $1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UCBI</w:t>
            </w:r>
          </w:p>
        </w:tc>
        <w:tc>
          <w:tcPr>
            <w:tcW w:w="148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206"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8"/>
          <w:szCs w:val="18"/>
          <w:color w:val="auto"/>
        </w:rPr>
        <w:t>☐</w:t>
      </w:r>
    </w:p>
    <w:p>
      <w:pPr>
        <w:spacing w:after="0" w:line="187" w:lineRule="exact"/>
        <w:rPr>
          <w:sz w:val="24"/>
          <w:szCs w:val="24"/>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8"/>
          <w:szCs w:val="18"/>
          <w:color w:val="auto"/>
        </w:rPr>
        <w:t>☐</w:t>
      </w:r>
    </w:p>
    <w:p>
      <w:pPr>
        <w:spacing w:after="0" w:line="18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4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0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4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0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0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4"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28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8"/>
          <w:szCs w:val="18"/>
          <w:color w:val="auto"/>
        </w:rPr>
        <w: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Common stock, par value $1 per share 78,981,929 shares outstanding as of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4"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PART I - Financial Information</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2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Consolidated Balance Sheets (unaudited) at September 30, 2019 and December 31, 2018</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Consolidated Statements of Income (unaudited) for the Three and Nine Months Ended September 30, 2019 and 2018</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760" w:type="dxa"/>
            <w:vAlign w:val="bottom"/>
            <w:tcBorders>
              <w:bottom w:val="single" w:sz="8" w:color="0000EE"/>
            </w:tcBorders>
            <w:gridSpan w:val="10"/>
            <w:shd w:val="clear" w:color="auto" w:fill="CCEEFF"/>
          </w:tcPr>
          <w:p>
            <w:pPr>
              <w:spacing w:after="0" w:line="202" w:lineRule="exact"/>
              <w:rPr>
                <w:rFonts w:ascii="Times New Roman" w:cs="Times New Roman" w:eastAsia="Times New Roman" w:hAnsi="Times New Roman"/>
                <w:sz w:val="18"/>
                <w:szCs w:val="18"/>
                <w:b w:val="1"/>
                <w:bCs w:val="1"/>
                <w:color w:val="0000EE"/>
                <w:w w:val="99"/>
              </w:rPr>
            </w:pPr>
            <w:hyperlink w:anchor="page6">
              <w:r>
                <w:rPr>
                  <w:rFonts w:ascii="Times New Roman" w:cs="Times New Roman" w:eastAsia="Times New Roman" w:hAnsi="Times New Roman"/>
                  <w:sz w:val="18"/>
                  <w:szCs w:val="18"/>
                  <w:b w:val="1"/>
                  <w:bCs w:val="1"/>
                  <w:color w:val="0000EE"/>
                  <w:w w:val="99"/>
                </w:rPr>
                <w:t>Consolidated Statements of Comprehensive Income (unaudited) for the Three and Nine Months Ended September</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right"/>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196" w:lineRule="exact"/>
              <w:rPr>
                <w:rFonts w:ascii="Times New Roman" w:cs="Times New Roman" w:eastAsia="Times New Roman" w:hAnsi="Times New Roman"/>
                <w:sz w:val="18"/>
                <w:szCs w:val="18"/>
                <w:b w:val="1"/>
                <w:bCs w:val="1"/>
                <w:color w:val="0000EE"/>
              </w:rPr>
            </w:pPr>
            <w:hyperlink w:anchor="page6">
              <w:r>
                <w:rPr>
                  <w:rFonts w:ascii="Times New Roman" w:cs="Times New Roman" w:eastAsia="Times New Roman" w:hAnsi="Times New Roman"/>
                  <w:sz w:val="18"/>
                  <w:szCs w:val="18"/>
                  <w:b w:val="1"/>
                  <w:bCs w:val="1"/>
                  <w:color w:val="0000EE"/>
                </w:rPr>
                <w:t>30, 2019 and 2018</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324"/>
        </w:trPr>
        <w:tc>
          <w:tcPr>
            <w:tcW w:w="9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03"/>
        </w:trPr>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Consolidated Statements of Changes in Shareholders’ Equity (unaudited) for the Three and Nine Months Ended</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r>
      <w:tr>
        <w:trPr>
          <w:trHeight w:val="244"/>
        </w:trPr>
        <w:tc>
          <w:tcPr>
            <w:tcW w:w="96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860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September 30, 2019 and 2018</w:t>
              </w:r>
            </w:hyperlink>
          </w:p>
        </w:tc>
        <w:tc>
          <w:tcPr>
            <w:tcW w:w="620" w:type="dxa"/>
            <w:vAlign w:val="bottom"/>
            <w:tcBorders>
              <w:top w:val="single" w:sz="8" w:color="CCEEFF"/>
            </w:tcBorders>
            <w:gridSpan w:val="3"/>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8">
              <w:r>
                <w:rPr>
                  <w:rFonts w:ascii="Times New Roman" w:cs="Times New Roman" w:eastAsia="Times New Roman" w:hAnsi="Times New Roman"/>
                  <w:sz w:val="18"/>
                  <w:szCs w:val="18"/>
                  <w:b w:val="1"/>
                  <w:bCs w:val="1"/>
                  <w:color w:val="0000EE"/>
                </w:rPr>
                <w:t>Consolidated Statements of Cash Flows (unaudited) for the Nine Months Ended September 30, 2019 and 2018</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10">
              <w:r>
                <w:rPr>
                  <w:rFonts w:ascii="Times New Roman" w:cs="Times New Roman" w:eastAsia="Times New Roman" w:hAnsi="Times New Roman"/>
                  <w:sz w:val="18"/>
                  <w:szCs w:val="18"/>
                  <w:b w:val="1"/>
                  <w:bCs w:val="1"/>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Item 2.</w:t>
              </w:r>
            </w:hyperlink>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6">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43</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Item 3.</w:t>
              </w:r>
            </w:hyperlink>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63</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960"/>
              <w:spacing w:after="0" w:line="202"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Item 4.</w:t>
              </w:r>
            </w:hyperlink>
          </w:p>
        </w:tc>
        <w:tc>
          <w:tcPr>
            <w:tcW w:w="9220" w:type="dxa"/>
            <w:vAlign w:val="bottom"/>
            <w:gridSpan w:val="12"/>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67">
              <w:r>
                <w:rPr>
                  <w:rFonts w:ascii="Times New Roman" w:cs="Times New Roman" w:eastAsia="Times New Roman" w:hAnsi="Times New Roman"/>
                  <w:sz w:val="18"/>
                  <w:szCs w:val="18"/>
                  <w:b w:val="1"/>
                  <w:bCs w:val="1"/>
                  <w:color w:val="0000EE"/>
                </w:rPr>
                <w:t>Controls and Procedures.</w:t>
              </w:r>
            </w:hyperlink>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63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5"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68">
        <w:r>
          <w:rPr>
            <w:rFonts w:ascii="Times New Roman" w:cs="Times New Roman" w:eastAsia="Times New Roman" w:hAnsi="Times New Roman"/>
            <w:sz w:val="18"/>
            <w:szCs w:val="18"/>
            <w:b w:val="1"/>
            <w:bCs w:val="1"/>
            <w:u w:val="single" w:color="auto"/>
            <w:color w:val="0000EE"/>
          </w:rPr>
          <w:t>PART II - Other Information</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4"/>
            <w:shd w:val="clear" w:color="auto" w:fill="CCEEFF"/>
          </w:tcPr>
          <w:p>
            <w:pPr>
              <w:ind w:left="960"/>
              <w:spacing w:after="0"/>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Item 1.</w:t>
              </w:r>
            </w:hyperlink>
          </w:p>
        </w:tc>
        <w:tc>
          <w:tcPr>
            <w:tcW w:w="9220" w:type="dxa"/>
            <w:vAlign w:val="bottom"/>
            <w:gridSpan w:val="5"/>
            <w:shd w:val="clear" w:color="auto" w:fill="CCEEFF"/>
          </w:tcPr>
          <w:p>
            <w:pPr>
              <w:spacing w:after="0"/>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Legal Proceedings.</w:t>
              </w:r>
            </w:hyperlink>
          </w:p>
        </w:tc>
        <w:tc>
          <w:tcPr>
            <w:tcW w:w="200" w:type="dxa"/>
            <w:vAlign w:val="bottom"/>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64</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Item 1A.</w:t>
              </w:r>
            </w:hyperlink>
          </w:p>
        </w:tc>
        <w:tc>
          <w:tcPr>
            <w:tcW w:w="9220" w:type="dxa"/>
            <w:vAlign w:val="bottom"/>
            <w:gridSpan w:val="5"/>
          </w:tcPr>
          <w:p>
            <w:pPr>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Risk Factors.</w:t>
              </w:r>
            </w:hyperlink>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64</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Item 2.</w:t>
              </w:r>
            </w:hyperlink>
          </w:p>
        </w:tc>
        <w:tc>
          <w:tcPr>
            <w:tcW w:w="9220" w:type="dxa"/>
            <w:vAlign w:val="bottom"/>
            <w:gridSpan w:val="5"/>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Unregistered Sales of Equity Securities and Use of Proceeds.</w:t>
              </w:r>
            </w:hyperlink>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64</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160" w:type="dxa"/>
            <w:vAlign w:val="bottom"/>
            <w:tcBorders>
              <w:top w:val="single" w:sz="8" w:color="0000EE"/>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Item 6.</w:t>
              </w:r>
            </w:hyperlink>
          </w:p>
        </w:tc>
        <w:tc>
          <w:tcPr>
            <w:tcW w:w="9220" w:type="dxa"/>
            <w:vAlign w:val="bottom"/>
            <w:gridSpan w:val="5"/>
          </w:tcPr>
          <w:p>
            <w:pPr>
              <w:spacing w:after="0" w:line="202" w:lineRule="exact"/>
              <w:rPr>
                <w:rFonts w:ascii="Times New Roman" w:cs="Times New Roman" w:eastAsia="Times New Roman" w:hAnsi="Times New Roman"/>
                <w:sz w:val="18"/>
                <w:szCs w:val="18"/>
                <w:b w:val="1"/>
                <w:bCs w:val="1"/>
                <w:color w:val="0000EE"/>
              </w:rPr>
            </w:pPr>
            <w:hyperlink w:anchor="page68">
              <w:r>
                <w:rPr>
                  <w:rFonts w:ascii="Times New Roman" w:cs="Times New Roman" w:eastAsia="Times New Roman" w:hAnsi="Times New Roman"/>
                  <w:sz w:val="18"/>
                  <w:szCs w:val="18"/>
                  <w:b w:val="1"/>
                  <w:bCs w:val="1"/>
                  <w:color w:val="0000EE"/>
                </w:rPr>
                <w:t>Exhibits.</w:t>
              </w:r>
            </w:hyperlink>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68">
              <w:r>
                <w:rPr>
                  <w:rFonts w:ascii="Times New Roman" w:cs="Times New Roman" w:eastAsia="Times New Roman" w:hAnsi="Times New Roman"/>
                  <w:sz w:val="18"/>
                  <w:szCs w:val="18"/>
                  <w:color w:val="0000EE"/>
                  <w:w w:val="88"/>
                </w:rPr>
                <w:t>64</w:t>
              </w:r>
            </w:hyperlink>
          </w:p>
        </w:tc>
      </w:tr>
      <w:tr>
        <w:trPr>
          <w:trHeight w:val="723"/>
        </w:trPr>
        <w:tc>
          <w:tcPr>
            <w:tcW w:w="9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9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2</w:t>
            </w:r>
          </w:p>
        </w:tc>
        <w:tc>
          <w:tcPr>
            <w:tcW w:w="46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(the “Exchange Act”). Forward-looking statements are not statements of historical fact and generally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(the “Holding Company”) and its subsidiaries (collectively referred to in this report as “United”).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actual results to differ materially from anticipated results. Such risks, uncertainties and assumptions include, but are not limited to the following factors:</w:t>
      </w:r>
    </w:p>
    <w:p>
      <w:pPr>
        <w:spacing w:after="0" w:line="176" w:lineRule="exact"/>
        <w:rPr>
          <w:sz w:val="20"/>
          <w:szCs w:val="20"/>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general business, political, and economic environment, banking system and financial markets and corresponding changes in loan underwriting, credit review or loss policies associated with changes in these and other conditions;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 and the success of the local economies in which we operate;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successfully expand and complete acquisitions and integrate businesses and operations that are acquired;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financial technology providers and our ability to attract customers from other financial institutions;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United’s network and online banking portals, and the systems of parties with whom United contracts,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allowance for loan losses resulting from the adoption and implementation of the new Current Expected Credit Loss (“CECL”) methodology;</w:t>
      </w: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effects and outcomes of litigation, regulatory proceedings, examinations, investigations, or similar matters, or adverse facts and developments related thereto;</w:t>
      </w: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loan losses and provisions for those losses that exceed our current allowance for loan losses; and</w:t>
      </w:r>
    </w:p>
    <w:p>
      <w:pPr>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United Community Bank (the “Bank”) to pay dividends to the Holding Company, which could affect Holding Company liquidity, including the ability to pay dividends to shareholders or take other capital actions.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cautions readers that the foregoing list of factors is not exclusive, is not necessarily in order of importance and not to place undue reliance on forward-looking statements. Additional factors that may cause actual results to differ materially from those contemplated by any forward-looking statements also may be found in United’s Annual Report on Form 10-K, Quarterly Reports on Form 10-Q, and Current Reports on Form 8-K filed with the Securities and Exchange Commission (the “SEC”) and available at the SEC’s website at http://www.sec.gov. United does not intend to and hereby disclaims any obligation to update or revise any forward-looking statement contained in this Form 10-Q, which speak only as of the date hereof, whether as a result of new information, future events, or otherwise. The financial statements and information contained herein have not been reviewed, or confirmed for accuracy or relevance, by the Federal Deposit Insurance Corporation (the “FDIC”) or any other regulator.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3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1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126,083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Interest-bearing deposits in banks (includes restricted cash of $5,326 and $6,702)</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252,670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201,182</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361,059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327,265</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Debt securities available for sale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2,272,046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2,628,467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Debt securities held to maturity (fair value $248,546 and $268,803)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274,407</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18,935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Loans and leases, net of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8,903,266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8,383,401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Less allowance for loan and lease losses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(61,203)</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Loans and leases, net</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8,840,752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8,322,198</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215,435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206,140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192,616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35,413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deferred tax asset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64,224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43,755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24,705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 and other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343,340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324,072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165,667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154,750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12,809,486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12,573,192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3,527,815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3,210,220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7,228,702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7,324,293</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10,756,517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10,534,513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267,189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26,433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151,055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127,503</w:t>
            </w:r>
          </w:p>
        </w:tc>
        <w:tc>
          <w:tcPr>
            <w:tcW w:w="0" w:type="dxa"/>
            <w:vAlign w:val="bottom"/>
          </w:tcPr>
          <w:p>
            <w:pPr>
              <w:spacing w:after="0"/>
              <w:rPr>
                <w:sz w:val="1"/>
                <w:szCs w:val="1"/>
                <w:color w:val="auto"/>
              </w:rPr>
            </w:pPr>
          </w:p>
        </w:tc>
      </w:tr>
      <w:tr>
        <w:trPr>
          <w:trHeight w:val="217"/>
        </w:trPr>
        <w:tc>
          <w:tcPr>
            <w:tcW w:w="83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11,204,061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11,115,638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Common stock, $1 par value; 150,000,000 shares authorized;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78,974,199 and 79,234,077 shares issued and outstanding</w:t>
            </w:r>
          </w:p>
        </w:tc>
        <w:tc>
          <w:tcPr>
            <w:tcW w:w="18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79,234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issuable; 660,581 and 674,499 shares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10,744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Capital surplus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1,495,267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1,499,584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(90,419)</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(41,589)</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1,605,425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1,457,554</w:t>
            </w:r>
          </w:p>
        </w:tc>
        <w:tc>
          <w:tcPr>
            <w:tcW w:w="0" w:type="dxa"/>
            <w:vAlign w:val="bottom"/>
          </w:tcPr>
          <w:p>
            <w:pPr>
              <w:spacing w:after="0"/>
              <w:rPr>
                <w:sz w:val="1"/>
                <w:szCs w:val="1"/>
                <w:color w:val="auto"/>
              </w:rPr>
            </w:pPr>
          </w:p>
        </w:tc>
      </w:tr>
      <w:tr>
        <w:trPr>
          <w:trHeight w:val="244"/>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12,809,486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12,573,192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240" w:type="dxa"/>
            <w:vAlign w:val="bottom"/>
          </w:tcPr>
          <w:p>
            <w:pPr>
              <w:spacing w:after="0"/>
              <w:rPr>
                <w:sz w:val="15"/>
                <w:szCs w:val="15"/>
                <w:color w:val="auto"/>
              </w:rPr>
            </w:pPr>
          </w:p>
        </w:tc>
        <w:tc>
          <w:tcPr>
            <w:tcW w:w="2100" w:type="dxa"/>
            <w:vAlign w:val="bottom"/>
            <w:gridSpan w:val="4"/>
          </w:tcPr>
          <w:p>
            <w:pPr>
              <w:jc w:val="right"/>
              <w:ind w:right="428"/>
              <w:spacing w:after="0"/>
              <w:rPr>
                <w:sz w:val="20"/>
                <w:szCs w:val="20"/>
                <w:color w:val="auto"/>
              </w:rPr>
            </w:pPr>
            <w:r>
              <w:rPr>
                <w:rFonts w:ascii="Times New Roman" w:cs="Times New Roman" w:eastAsia="Times New Roman" w:hAnsi="Times New Roman"/>
                <w:sz w:val="15"/>
                <w:szCs w:val="15"/>
                <w:b w:val="1"/>
                <w:bCs w:val="1"/>
                <w:color w:val="auto"/>
              </w:rPr>
              <w:t>Nine Months Ended</w:t>
            </w:r>
          </w:p>
        </w:tc>
      </w:tr>
      <w:tr>
        <w:trPr>
          <w:trHeight w:val="206"/>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5"/>
                <w:szCs w:val="15"/>
                <w:b w:val="1"/>
                <w:bCs w:val="1"/>
                <w:color w:val="auto"/>
              </w:rPr>
              <w:t>September 30,</w:t>
            </w:r>
          </w:p>
        </w:tc>
      </w:tr>
      <w:tr>
        <w:trPr>
          <w:trHeight w:val="264"/>
        </w:trPr>
        <w:tc>
          <w:tcPr>
            <w:tcW w:w="6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5"/>
                <w:szCs w:val="15"/>
                <w:b w:val="1"/>
                <w:bCs w:val="1"/>
                <w:color w:val="auto"/>
                <w:w w:val="93"/>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5"/>
                <w:szCs w:val="15"/>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5"/>
                <w:szCs w:val="15"/>
                <w:b w:val="1"/>
                <w:bCs w:val="1"/>
                <w:color w:val="auto"/>
              </w:rPr>
              <w:t>2018</w:t>
            </w:r>
          </w:p>
        </w:tc>
      </w:tr>
      <w:tr>
        <w:trPr>
          <w:trHeight w:val="263"/>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 including fees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122,645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108,335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357,575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308,296</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Investment securities, including tax exempt of $1,118 and $1,052, and $3,409 and $3,049</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17,744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56,448</w:t>
            </w:r>
          </w:p>
        </w:tc>
      </w:tr>
      <w:tr>
        <w:trPr>
          <w:trHeight w:val="270"/>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1,482</w:t>
            </w:r>
          </w:p>
        </w:tc>
      </w:tr>
      <w:tr>
        <w:trPr>
          <w:trHeight w:val="250"/>
        </w:trPr>
        <w:tc>
          <w:tcPr>
            <w:tcW w:w="654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Total interest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140,615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128,721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416,287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366,226</w:t>
            </w:r>
          </w:p>
        </w:tc>
      </w:tr>
      <w:tr>
        <w:trPr>
          <w:trHeight w:val="242"/>
        </w:trPr>
        <w:tc>
          <w:tcPr>
            <w:tcW w:w="6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17,113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50,185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25,353</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Short-term borrowings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772</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5,551</w:t>
            </w:r>
          </w:p>
        </w:tc>
      </w:tr>
      <w:tr>
        <w:trPr>
          <w:trHeight w:val="265"/>
        </w:trPr>
        <w:tc>
          <w:tcPr>
            <w:tcW w:w="6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3,214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3,605</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9,813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10,679</w:t>
            </w:r>
          </w:p>
        </w:tc>
      </w:tr>
      <w:tr>
        <w:trPr>
          <w:trHeight w:val="250"/>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interest expense</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21,277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16,611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63,531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42,355</w:t>
            </w:r>
          </w:p>
        </w:tc>
      </w:tr>
      <w:tr>
        <w:trPr>
          <w:trHeight w:val="250"/>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interest revenue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119,338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352,756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323,871</w:t>
            </w:r>
          </w:p>
        </w:tc>
      </w:tr>
      <w:tr>
        <w:trPr>
          <w:trHeight w:val="270"/>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9,650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7,400</w:t>
            </w:r>
          </w:p>
        </w:tc>
      </w:tr>
      <w:tr>
        <w:trPr>
          <w:trHeight w:val="250"/>
        </w:trPr>
        <w:tc>
          <w:tcPr>
            <w:tcW w:w="65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116,238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110,310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343,106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316,471</w:t>
            </w:r>
          </w:p>
        </w:tc>
      </w:tr>
      <w:tr>
        <w:trPr>
          <w:trHeight w:val="242"/>
        </w:trPr>
        <w:tc>
          <w:tcPr>
            <w:tcW w:w="6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9,916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9,112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26,831</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Mortgage loan and other related fees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17,750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15,928</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Brokerage fees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3,598</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Gains from sales of SBA/USDA loans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1,639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6,784</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gains (losses),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265"/>
        </w:trPr>
        <w:tc>
          <w:tcPr>
            <w:tcW w:w="6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7,119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20,433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18,077</w:t>
            </w:r>
          </w:p>
        </w:tc>
      </w:tr>
      <w:tr>
        <w:trPr>
          <w:trHeight w:val="255"/>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29,031</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24,180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74,530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69,916</w:t>
            </w:r>
          </w:p>
        </w:tc>
      </w:tr>
      <w:tr>
        <w:trPr>
          <w:trHeight w:val="245"/>
        </w:trPr>
        <w:tc>
          <w:tcPr>
            <w:tcW w:w="65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145,269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134,490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417,636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386,387</w:t>
            </w:r>
          </w:p>
        </w:tc>
      </w:tr>
      <w:tr>
        <w:trPr>
          <w:trHeight w:val="242"/>
        </w:trPr>
        <w:tc>
          <w:tcPr>
            <w:tcW w:w="6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50,501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146,161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135,384</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15,071</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Occupancy</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17,424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16,939</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4,341</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1,574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4,733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4,896</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11,435</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6,677</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5,426</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4,449</w:t>
            </w:r>
          </w:p>
        </w:tc>
      </w:tr>
      <w:tr>
        <w:trPr>
          <w:trHeight w:val="265"/>
        </w:trPr>
        <w:tc>
          <w:tcPr>
            <w:tcW w:w="6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8,507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8,236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23,687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23,425</w:t>
            </w:r>
          </w:p>
        </w:tc>
      </w:tr>
      <w:tr>
        <w:trPr>
          <w:trHeight w:val="250"/>
        </w:trPr>
        <w:tc>
          <w:tcPr>
            <w:tcW w:w="6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82,924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77,718</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240,821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228,043</w:t>
            </w:r>
          </w:p>
        </w:tc>
      </w:tr>
      <w:tr>
        <w:trPr>
          <w:trHeight w:val="250"/>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income before income taxes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62,345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56,772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158,344</w:t>
            </w:r>
          </w:p>
        </w:tc>
      </w:tr>
      <w:tr>
        <w:trPr>
          <w:trHeight w:val="270"/>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13,983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13,090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40,106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37,370</w:t>
            </w:r>
          </w:p>
        </w:tc>
      </w:tr>
      <w:tr>
        <w:trPr>
          <w:trHeight w:val="282"/>
        </w:trPr>
        <w:tc>
          <w:tcPr>
            <w:tcW w:w="65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48,362</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43,682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136,709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120,974</w:t>
            </w:r>
          </w:p>
        </w:tc>
      </w:tr>
      <w:tr>
        <w:trPr>
          <w:trHeight w:val="224"/>
        </w:trPr>
        <w:tc>
          <w:tcPr>
            <w:tcW w:w="6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97"/>
        </w:trPr>
        <w:tc>
          <w:tcPr>
            <w:tcW w:w="65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48,011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43,381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135,727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120,124</w:t>
            </w:r>
          </w:p>
        </w:tc>
      </w:tr>
      <w:tr>
        <w:trPr>
          <w:trHeight w:val="224"/>
        </w:trPr>
        <w:tc>
          <w:tcPr>
            <w:tcW w:w="6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65"/>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r>
      <w:tr>
        <w:trPr>
          <w:trHeight w:val="275"/>
        </w:trPr>
        <w:tc>
          <w:tcPr>
            <w:tcW w:w="6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65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79,663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79,806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79,714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79,588</w:t>
            </w:r>
          </w:p>
        </w:tc>
      </w:tr>
      <w:tr>
        <w:trPr>
          <w:trHeight w:val="275"/>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79,667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79,818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79,718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79,598</w:t>
            </w:r>
          </w:p>
        </w:tc>
      </w:tr>
    </w:tbl>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420"/>
          </w:cols>
          <w:pgMar w:left="240" w:top="718" w:right="239" w:bottom="198"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18" w:right="239" w:bottom="19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3340" w:type="dxa"/>
            <w:vAlign w:val="bottom"/>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980" w:type="dxa"/>
            <w:vAlign w:val="bottom"/>
            <w:gridSpan w:val="7"/>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Tax</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Tax</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Net of Tax</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4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62,345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48,362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176,815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136,709</w:t>
            </w:r>
          </w:p>
        </w:tc>
        <w:tc>
          <w:tcPr>
            <w:tcW w:w="0" w:type="dxa"/>
            <w:vAlign w:val="bottom"/>
          </w:tcPr>
          <w:p>
            <w:pPr>
              <w:spacing w:after="0"/>
              <w:rPr>
                <w:sz w:val="1"/>
                <w:szCs w:val="1"/>
                <w:color w:val="auto"/>
              </w:rPr>
            </w:pPr>
          </w:p>
        </w:tc>
      </w:tr>
      <w:tr>
        <w:trPr>
          <w:trHeight w:val="260"/>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gains on available-for-sale securities: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Unrealized holding gains arising during period</w:t>
            </w:r>
          </w:p>
        </w:tc>
        <w:tc>
          <w:tcPr>
            <w:tcW w:w="1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8,014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70,944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53,750</w:t>
            </w:r>
          </w:p>
        </w:tc>
        <w:tc>
          <w:tcPr>
            <w:tcW w:w="0" w:type="dxa"/>
            <w:vAlign w:val="bottom"/>
          </w:tcPr>
          <w:p>
            <w:pPr>
              <w:spacing w:after="0"/>
              <w:rPr>
                <w:sz w:val="1"/>
                <w:szCs w:val="1"/>
                <w:color w:val="auto"/>
              </w:rPr>
            </w:pPr>
          </w:p>
        </w:tc>
      </w:tr>
      <w:tr>
        <w:trPr>
          <w:trHeight w:val="273"/>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Reclassification adjustment for losses included in net income</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47"/>
        </w:trPr>
        <w:tc>
          <w:tcPr>
            <w:tcW w:w="48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unrealized gains</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8,014</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(1,897)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6,117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71,062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(17,224)</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53,838</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losses included in net income on available-for-sale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securities transferred to held-to-maturity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179"/>
        </w:trPr>
        <w:tc>
          <w:tcPr>
            <w:tcW w:w="482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16"/>
                <w:szCs w:val="16"/>
                <w:color w:val="auto"/>
              </w:rPr>
              <w:t>Amortization of losses included in net income on terminated derivative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6"/>
                <w:szCs w:val="16"/>
                <w:color w:val="auto"/>
              </w:rPr>
              <w:t>financial instruments that were previously accounted for as cash flow</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hedges</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80"/>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Defined benefit pension plan activity:</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Termination of defined benefit pension plan</w:t>
            </w:r>
          </w:p>
        </w:tc>
        <w:tc>
          <w:tcPr>
            <w:tcW w:w="140" w:type="dxa"/>
            <w:vAlign w:val="bottom"/>
          </w:tcPr>
          <w:p>
            <w:pPr>
              <w:spacing w:after="0"/>
              <w:rPr>
                <w:sz w:val="22"/>
                <w:szCs w:val="22"/>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1,558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cost and actuarial losses included in net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periodic pension cost for defined benefit pension plan</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Net defined benefit pension plan activity</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1,732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1,548</w:t>
            </w:r>
          </w:p>
        </w:tc>
        <w:tc>
          <w:tcPr>
            <w:tcW w:w="0" w:type="dxa"/>
            <w:vAlign w:val="bottom"/>
          </w:tcPr>
          <w:p>
            <w:pPr>
              <w:spacing w:after="0"/>
              <w:rPr>
                <w:sz w:val="1"/>
                <w:szCs w:val="1"/>
                <w:color w:val="auto"/>
              </w:rPr>
            </w:pPr>
          </w:p>
        </w:tc>
      </w:tr>
      <w:tr>
        <w:trPr>
          <w:trHeight w:val="250"/>
        </w:trPr>
        <w:tc>
          <w:tcPr>
            <w:tcW w:w="4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9,851</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7,486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73,760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55,852</w:t>
            </w:r>
          </w:p>
        </w:tc>
        <w:tc>
          <w:tcPr>
            <w:tcW w:w="0" w:type="dxa"/>
            <w:vAlign w:val="bottom"/>
          </w:tcPr>
          <w:p>
            <w:pPr>
              <w:spacing w:after="0"/>
              <w:rPr>
                <w:sz w:val="1"/>
                <w:szCs w:val="1"/>
                <w:color w:val="auto"/>
              </w:rPr>
            </w:pPr>
          </w:p>
        </w:tc>
      </w:tr>
      <w:tr>
        <w:trPr>
          <w:trHeight w:val="280"/>
        </w:trPr>
        <w:tc>
          <w:tcPr>
            <w:tcW w:w="48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72,196</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(16,348)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55,848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250,575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(58,014)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192,561</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56,772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(13,090)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43,682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158,344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120,974</w:t>
            </w:r>
          </w:p>
        </w:tc>
        <w:tc>
          <w:tcPr>
            <w:tcW w:w="0" w:type="dxa"/>
            <w:vAlign w:val="bottom"/>
          </w:tcPr>
          <w:p>
            <w:pPr>
              <w:spacing w:after="0"/>
              <w:rPr>
                <w:sz w:val="1"/>
                <w:szCs w:val="1"/>
                <w:color w:val="auto"/>
              </w:rPr>
            </w:pPr>
          </w:p>
        </w:tc>
      </w:tr>
      <w:tr>
        <w:trPr>
          <w:trHeight w:val="260"/>
        </w:trPr>
        <w:tc>
          <w:tcPr>
            <w:tcW w:w="48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Unrealized holding losses arising during period</w:t>
            </w: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w:t>
            </w:r>
          </w:p>
        </w:tc>
        <w:tc>
          <w:tcPr>
            <w:tcW w:w="0" w:type="dxa"/>
            <w:vAlign w:val="bottom"/>
          </w:tcPr>
          <w:p>
            <w:pPr>
              <w:spacing w:after="0"/>
              <w:rPr>
                <w:sz w:val="1"/>
                <w:szCs w:val="1"/>
                <w:color w:val="auto"/>
              </w:rPr>
            </w:pPr>
          </w:p>
        </w:tc>
      </w:tr>
      <w:tr>
        <w:trPr>
          <w:trHeight w:val="273"/>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Reclassification adjustment for (gains) losses included in net income</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47"/>
        </w:trPr>
        <w:tc>
          <w:tcPr>
            <w:tcW w:w="48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Net unrealized losses</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(39,009)</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losses included in net income on available-for-sale</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securities transferred to held-to-maturity</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458</w:t>
            </w:r>
          </w:p>
        </w:tc>
        <w:tc>
          <w:tcPr>
            <w:tcW w:w="0" w:type="dxa"/>
            <w:vAlign w:val="bottom"/>
          </w:tcPr>
          <w:p>
            <w:pPr>
              <w:spacing w:after="0"/>
              <w:rPr>
                <w:sz w:val="1"/>
                <w:szCs w:val="1"/>
                <w:color w:val="auto"/>
              </w:rPr>
            </w:pPr>
          </w:p>
        </w:tc>
      </w:tr>
      <w:tr>
        <w:trPr>
          <w:trHeight w:val="179"/>
        </w:trPr>
        <w:tc>
          <w:tcPr>
            <w:tcW w:w="482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16"/>
                <w:szCs w:val="16"/>
                <w:color w:val="auto"/>
              </w:rPr>
              <w:t>Amortization of losses included in net income on terminated derivative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6"/>
                <w:szCs w:val="16"/>
                <w:color w:val="auto"/>
              </w:rPr>
              <w:t>financial instruments that were previously accounted for as cash flow</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hedges</w:t>
            </w:r>
          </w:p>
        </w:tc>
        <w:tc>
          <w:tcPr>
            <w:tcW w:w="14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80"/>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Defined benefit pension plan activity:</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Net actuarial loss on defined benefit pension plan</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prior service cost and actuarial losses included in net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periodic pension cost for defined benefit pension plan</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6"/>
                <w:szCs w:val="16"/>
                <w:color w:val="auto"/>
              </w:rPr>
              <w:t>Net defined benefit pension plan activity</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50"/>
        </w:trPr>
        <w:tc>
          <w:tcPr>
            <w:tcW w:w="4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3,278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(49,880)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12,110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(37,770)</w:t>
            </w:r>
          </w:p>
        </w:tc>
        <w:tc>
          <w:tcPr>
            <w:tcW w:w="0" w:type="dxa"/>
            <w:vAlign w:val="bottom"/>
          </w:tcPr>
          <w:p>
            <w:pPr>
              <w:spacing w:after="0"/>
              <w:rPr>
                <w:sz w:val="1"/>
                <w:szCs w:val="1"/>
                <w:color w:val="auto"/>
              </w:rPr>
            </w:pPr>
          </w:p>
        </w:tc>
      </w:tr>
      <w:tr>
        <w:trPr>
          <w:trHeight w:val="240"/>
        </w:trPr>
        <w:tc>
          <w:tcPr>
            <w:tcW w:w="48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43,248</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(9,812)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33,436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108,464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83,204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72" w:right="239"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 of Changes in Shareholders’ Equity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(in thousands, except share</w:t>
            </w: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00" w:type="dxa"/>
            <w:vAlign w:val="bottom"/>
          </w:tcPr>
          <w:p>
            <w:pPr>
              <w:spacing w:after="0"/>
              <w:rPr>
                <w:sz w:val="11"/>
                <w:szCs w:val="11"/>
                <w:color w:val="auto"/>
              </w:rPr>
            </w:pPr>
          </w:p>
        </w:tc>
        <w:tc>
          <w:tcPr>
            <w:tcW w:w="4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84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0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48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1"/>
                <w:szCs w:val="11"/>
                <w:color w:val="auto"/>
              </w:rPr>
            </w:pPr>
          </w:p>
        </w:tc>
        <w:tc>
          <w:tcPr>
            <w:tcW w:w="8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Capital</w:t>
            </w: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i w:val="1"/>
                <w:iCs w:val="1"/>
                <w:color w:val="auto"/>
              </w:rPr>
              <w:t>and per share data)</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10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Issuable</w:t>
            </w:r>
          </w:p>
        </w:tc>
        <w:tc>
          <w:tcPr>
            <w:tcW w:w="10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Surplus</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62"/>
        </w:trPr>
        <w:tc>
          <w:tcPr>
            <w:tcW w:w="1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beginning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period</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$ 79,075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4"/>
              </w:rPr>
              <w:t>10,858</w:t>
            </w: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$ 1,498,740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6,777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$ 1,566,334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$ 79,234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4"/>
              </w:rPr>
              <w:t>10,744</w:t>
            </w: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$ 1,499,584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(41,589)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$ 1,457,554</w:t>
            </w:r>
          </w:p>
        </w:tc>
        <w:tc>
          <w:tcPr>
            <w:tcW w:w="0" w:type="dxa"/>
            <w:vAlign w:val="bottom"/>
          </w:tcPr>
          <w:p>
            <w:pPr>
              <w:spacing w:after="0"/>
              <w:rPr>
                <w:sz w:val="1"/>
                <w:szCs w:val="1"/>
                <w:color w:val="auto"/>
              </w:rPr>
            </w:pPr>
          </w:p>
        </w:tc>
      </w:tr>
      <w:tr>
        <w:trPr>
          <w:trHeight w:val="26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48,362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48,362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136,709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136,709</w:t>
            </w:r>
          </w:p>
        </w:tc>
        <w:tc>
          <w:tcPr>
            <w:tcW w:w="0" w:type="dxa"/>
            <w:vAlign w:val="bottom"/>
          </w:tcPr>
          <w:p>
            <w:pPr>
              <w:spacing w:after="0"/>
              <w:rPr>
                <w:sz w:val="1"/>
                <w:szCs w:val="1"/>
                <w:color w:val="auto"/>
              </w:rPr>
            </w:pPr>
          </w:p>
        </w:tc>
      </w:tr>
      <w:tr>
        <w:trPr>
          <w:trHeight w:val="278"/>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7,486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7,486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55,852</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55,852</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(12,000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 stock issued to</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 reinvestment plan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benefit plans</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34,190 and 76,613</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shares, respectively)</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913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2,004</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Amortization of restricted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 awards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1,678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1,678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7,680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7,680</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net of shares surrendered to</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cover payroll taxes (60,199</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and 81,178 shares issued,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respectively, and 14,919 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51,580 shares deferred,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respectively)</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1,365</w:t>
            </w:r>
          </w:p>
        </w:tc>
        <w:tc>
          <w:tcPr>
            <w:tcW w:w="8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Purchases of common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(195,443 and 500,495 shares,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respectively)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(5,180)</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(12,520)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(13,020)</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including dividend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equivalents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406</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issued from deferred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compensation plan, net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shares surrendered to cover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payroll taxes (34 and 70,826</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shares, respectively)</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(1,188)</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 stock dividends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($0.17 and $0.50 per share,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respectively)</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(13,652)</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(40,147)</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Adoption of new accounting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standard</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0" w:type="dxa"/>
            <w:vAlign w:val="bottom"/>
          </w:tcPr>
          <w:p>
            <w:pPr>
              <w:spacing w:after="0"/>
              <w:rPr>
                <w:sz w:val="1"/>
                <w:szCs w:val="1"/>
                <w:color w:val="auto"/>
              </w:rPr>
            </w:pPr>
          </w:p>
        </w:tc>
      </w:tr>
      <w:tr>
        <w:trPr>
          <w:trHeight w:val="128"/>
        </w:trPr>
        <w:tc>
          <w:tcPr>
            <w:tcW w:w="170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September 30,</w:t>
            </w:r>
          </w:p>
        </w:tc>
        <w:tc>
          <w:tcPr>
            <w:tcW w:w="5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$ 78,974</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4"/>
              </w:rPr>
              <w:t>11,327</w:t>
            </w:r>
          </w:p>
        </w:tc>
        <w:tc>
          <w:tcPr>
            <w:tcW w:w="84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$ 1,495,267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5,594</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14,263</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$ 1,605,425</w:t>
            </w: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$ 78,974</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4"/>
              </w:rPr>
              <w:t>11,327</w:t>
            </w:r>
          </w:p>
        </w:tc>
        <w:tc>
          <w:tcPr>
            <w:tcW w:w="840" w:type="dxa"/>
            <w:vAlign w:val="bottom"/>
            <w:gridSpan w:val="2"/>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$ 1,495,267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5,594</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14,263</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$ 1,605,425</w:t>
            </w:r>
          </w:p>
        </w:tc>
        <w:tc>
          <w:tcPr>
            <w:tcW w:w="0" w:type="dxa"/>
            <w:vAlign w:val="bottom"/>
          </w:tcPr>
          <w:p>
            <w:pPr>
              <w:spacing w:after="0"/>
              <w:rPr>
                <w:sz w:val="1"/>
                <w:szCs w:val="1"/>
                <w:color w:val="auto"/>
              </w:rPr>
            </w:pPr>
          </w:p>
        </w:tc>
      </w:tr>
      <w:tr>
        <w:trPr>
          <w:trHeight w:val="168"/>
        </w:trPr>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5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at beginning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period</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$ 79,138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9,509</w:t>
            </w: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$ 1,497,517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(154,290)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(52,765)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$ 1,379,109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6"/>
              </w:rPr>
              <w:t>$ 77,580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9,083</w:t>
            </w: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$ 1,451,814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7"/>
              </w:rPr>
              <w:t>$ 1,303,334</w:t>
            </w:r>
          </w:p>
        </w:tc>
        <w:tc>
          <w:tcPr>
            <w:tcW w:w="0" w:type="dxa"/>
            <w:vAlign w:val="bottom"/>
          </w:tcPr>
          <w:p>
            <w:pPr>
              <w:spacing w:after="0"/>
              <w:rPr>
                <w:sz w:val="1"/>
                <w:szCs w:val="1"/>
                <w:color w:val="auto"/>
              </w:rPr>
            </w:pPr>
          </w:p>
        </w:tc>
      </w:tr>
      <w:tr>
        <w:trPr>
          <w:trHeight w:val="26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43,682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43,682</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120,974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120,974</w:t>
            </w:r>
          </w:p>
        </w:tc>
        <w:tc>
          <w:tcPr>
            <w:tcW w:w="0" w:type="dxa"/>
            <w:vAlign w:val="bottom"/>
          </w:tcPr>
          <w:p>
            <w:pPr>
              <w:spacing w:after="0"/>
              <w:rPr>
                <w:sz w:val="1"/>
                <w:szCs w:val="1"/>
                <w:color w:val="auto"/>
              </w:rPr>
            </w:pPr>
          </w:p>
        </w:tc>
      </w:tr>
      <w:tr>
        <w:trPr>
          <w:trHeight w:val="278"/>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(10,246)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(37,770)</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(12,000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 stock issued to</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 reinvestment plan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employee benefit plans 7,903</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and 17,756 shares,</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respectively)</w:t>
            </w: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504</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Common stock issued for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acquisition (1,443,987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44,302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45,746</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Amortization of stock option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and restricted stock awards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1,799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4,075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4,075</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Vesting of restricted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net of shares surrendered to</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cover payroll taxes (54,551</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and 100,960 shares issued,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respectively, 32,437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79,856 shares deferred,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respectively)</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589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1,473</w:t>
            </w:r>
          </w:p>
        </w:tc>
        <w:tc>
          <w:tcPr>
            <w:tcW w:w="8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(3,279)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Deferred compensation plan,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including dividend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equivalents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44"/>
        </w:trPr>
        <w:tc>
          <w:tcPr>
            <w:tcW w:w="170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Shares issued from deferred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compensation plan, net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shares surrendered to cover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payroll taxes (2,215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48,215 shares, respectively)</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(729)</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 stock dividends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($0.15 and $0.42 per</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share, respectively)</w:t>
            </w:r>
          </w:p>
        </w:tc>
        <w:tc>
          <w:tcPr>
            <w:tcW w:w="5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(12,071)</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(33,751)</w:t>
            </w:r>
          </w:p>
        </w:tc>
        <w:tc>
          <w:tcPr>
            <w:tcW w:w="0" w:type="dxa"/>
            <w:vAlign w:val="bottom"/>
          </w:tcPr>
          <w:p>
            <w:pPr>
              <w:spacing w:after="0"/>
              <w:rPr>
                <w:sz w:val="1"/>
                <w:szCs w:val="1"/>
                <w:color w:val="auto"/>
              </w:rPr>
            </w:pPr>
          </w:p>
        </w:tc>
      </w:tr>
      <w:tr>
        <w:trPr>
          <w:trHeight w:val="122"/>
        </w:trPr>
        <w:tc>
          <w:tcPr>
            <w:tcW w:w="170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Balance, September 30,</w:t>
            </w:r>
          </w:p>
        </w:tc>
        <w:tc>
          <w:tcPr>
            <w:tcW w:w="5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6"/>
              </w:rPr>
              <w:t>$ 79,202</w:t>
            </w:r>
          </w:p>
        </w:tc>
        <w:tc>
          <w:tcPr>
            <w:tcW w:w="120" w:type="dxa"/>
            <w:vAlign w:val="bottom"/>
          </w:tcPr>
          <w:p>
            <w:pPr>
              <w:spacing w:after="0"/>
              <w:rPr>
                <w:sz w:val="10"/>
                <w:szCs w:val="10"/>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4"/>
              </w:rPr>
              <w:t>10,171</w:t>
            </w:r>
          </w:p>
        </w:tc>
        <w:tc>
          <w:tcPr>
            <w:tcW w:w="84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$ 1,498,199</w:t>
            </w:r>
          </w:p>
        </w:tc>
        <w:tc>
          <w:tcPr>
            <w:tcW w:w="100" w:type="dxa"/>
            <w:vAlign w:val="bottom"/>
          </w:tcPr>
          <w:p>
            <w:pPr>
              <w:spacing w:after="0"/>
              <w:rPr>
                <w:sz w:val="10"/>
                <w:szCs w:val="10"/>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(122,679)</w:t>
            </w:r>
          </w:p>
        </w:tc>
        <w:tc>
          <w:tcPr>
            <w:tcW w:w="12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(63,011)</w:t>
            </w:r>
          </w:p>
        </w:tc>
        <w:tc>
          <w:tcPr>
            <w:tcW w:w="12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7"/>
              </w:rPr>
              <w:t>$ 1,401,882</w:t>
            </w:r>
          </w:p>
        </w:tc>
        <w:tc>
          <w:tcPr>
            <w:tcW w:w="120" w:type="dxa"/>
            <w:vAlign w:val="bottom"/>
          </w:tcPr>
          <w:p>
            <w:pPr>
              <w:spacing w:after="0"/>
              <w:rPr>
                <w:sz w:val="10"/>
                <w:szCs w:val="10"/>
                <w:color w:val="auto"/>
              </w:rPr>
            </w:pPr>
          </w:p>
        </w:tc>
        <w:tc>
          <w:tcPr>
            <w:tcW w:w="5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6"/>
              </w:rPr>
              <w:t>$ 79,202</w:t>
            </w:r>
          </w:p>
        </w:tc>
        <w:tc>
          <w:tcPr>
            <w:tcW w:w="100" w:type="dxa"/>
            <w:vAlign w:val="bottom"/>
          </w:tcPr>
          <w:p>
            <w:pPr>
              <w:spacing w:after="0"/>
              <w:rPr>
                <w:sz w:val="10"/>
                <w:szCs w:val="10"/>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w w:val="94"/>
              </w:rPr>
              <w:t>10,171</w:t>
            </w:r>
          </w:p>
        </w:tc>
        <w:tc>
          <w:tcPr>
            <w:tcW w:w="84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$ 1,498,199</w:t>
            </w:r>
          </w:p>
        </w:tc>
        <w:tc>
          <w:tcPr>
            <w:tcW w:w="10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(122,679)</w:t>
            </w:r>
          </w:p>
        </w:tc>
        <w:tc>
          <w:tcPr>
            <w:tcW w:w="120" w:type="dxa"/>
            <w:vAlign w:val="bottom"/>
          </w:tcPr>
          <w:p>
            <w:pPr>
              <w:spacing w:after="0"/>
              <w:rPr>
                <w:sz w:val="10"/>
                <w:szCs w:val="10"/>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(63,011)</w:t>
            </w:r>
          </w:p>
        </w:tc>
        <w:tc>
          <w:tcPr>
            <w:tcW w:w="12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7"/>
              </w:rPr>
              <w:t>$ 1,401,882</w:t>
            </w: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420"/>
          </w:cols>
          <w:pgMar w:left="240" w:top="765" w:right="239" w:bottom="1076"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65" w:right="239" w:bottom="1076" w:gutter="0" w:footer="0" w:header="0"/>
          <w:type w:val="continuous"/>
        </w:sectPr>
      </w:pPr>
    </w:p>
    <w:bookmarkStart w:id="7" w:name="page8"/>
    <w:bookmarkEnd w:id="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8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7"/>
        </w:trPr>
        <w:tc>
          <w:tcPr>
            <w:tcW w:w="8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136,709</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120,974</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18,009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24,486</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9,650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7,400</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7,680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4,075</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12,149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36,335</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Securities losses, net</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1,302</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Gains from sales of other loans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Net (gains) losses on sales and write downs of other real estate owned</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316</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Other assets and accrued interest receivable</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(13,515)</w:t>
            </w:r>
          </w:p>
        </w:tc>
      </w:tr>
      <w:tr>
        <w:trPr>
          <w:trHeight w:val="277"/>
        </w:trPr>
        <w:tc>
          <w:tcPr>
            <w:tcW w:w="8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17,593</w:t>
            </w:r>
          </w:p>
        </w:tc>
      </w:tr>
      <w:tr>
        <w:trPr>
          <w:trHeight w:val="264"/>
        </w:trPr>
        <w:tc>
          <w:tcPr>
            <w:tcW w:w="88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(35,690)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8,001</w:t>
            </w:r>
          </w:p>
        </w:tc>
      </w:tr>
      <w:tr>
        <w:trPr>
          <w:trHeight w:val="250"/>
        </w:trPr>
        <w:tc>
          <w:tcPr>
            <w:tcW w:w="8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96,111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200,183</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Debt securities held to maturity:</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maturities and calls of securities held to maturity</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39,787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47,325</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(11,983)</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 securities available for sale and equity securities: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Proceeds from sales of securities available for sale</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225,883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156,679</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maturities and calls of securities available for sale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238,514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249,750</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Purchases of securities available for sale and equity securities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(425,093)</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loans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(123,438)</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sales of premises and equipment</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5,870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4,126</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(14,449)</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cash paid for acquisition</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(56,800)</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other real estate</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2,344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3,645</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126,117</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(170,238)</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10,538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422,622</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decrease in short-term borrowings</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(264,923)</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(53,503)</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FHLB advances</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2,240,000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FHLB advances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(2,444,003)</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issuance of subordinated debt, net of issuance costs</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98,188</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 for dividend reinvestment and employee benefit plans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504</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142</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shares withheld to cover payroll taxes upon vesting of restricted stock</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r>
      <w:tr>
        <w:trPr>
          <w:trHeight w:val="263"/>
        </w:trPr>
        <w:tc>
          <w:tcPr>
            <w:tcW w:w="88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on common stock</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(188,434)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(32,252)</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 including restricted cash</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33,794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w:t>
            </w: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Cash and cash equivalents, including restricted cash, at beginning of period</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327,265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314,275</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96"/>
        </w:trPr>
        <w:tc>
          <w:tcPr>
            <w:tcW w:w="88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 including restricted cash, at end of period</w:t>
            </w:r>
          </w:p>
        </w:tc>
        <w:tc>
          <w:tcPr>
            <w:tcW w:w="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361,059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311,968</w:t>
            </w: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Significant non-cash investing and financing transactions: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Unsettled government guaranteed loan sales</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6,850</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25,680</w:t>
            </w:r>
          </w:p>
        </w:tc>
      </w:tr>
      <w:tr>
        <w:trPr>
          <w:trHeight w:val="277"/>
        </w:trPr>
        <w:tc>
          <w:tcPr>
            <w:tcW w:w="8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Transfers of loans to foreclosed properties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2,063</w:t>
            </w:r>
          </w:p>
        </w:tc>
      </w:tr>
      <w:tr>
        <w:trPr>
          <w:trHeight w:val="263"/>
        </w:trPr>
        <w:tc>
          <w:tcPr>
            <w:tcW w:w="88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Unsettled securities purchases</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15,450</w:t>
            </w:r>
          </w:p>
        </w:tc>
      </w:tr>
      <w:tr>
        <w:trPr>
          <w:trHeight w:val="64"/>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718"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Unsettled government guaranteed loan purchases</w:t>
            </w:r>
          </w:p>
        </w:tc>
        <w:tc>
          <w:tcPr>
            <w:tcW w:w="420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5,214</w:t>
            </w:r>
          </w:p>
        </w:tc>
      </w:tr>
      <w:tr>
        <w:trPr>
          <w:trHeight w:val="263"/>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Acquisitions:</w:t>
            </w:r>
          </w:p>
        </w:tc>
        <w:tc>
          <w:tcPr>
            <w:tcW w:w="4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Assets acquired</w:t>
            </w:r>
          </w:p>
        </w:tc>
        <w:tc>
          <w:tcPr>
            <w:tcW w:w="42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264,937</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480,679</w:t>
            </w:r>
          </w:p>
        </w:tc>
      </w:tr>
      <w:tr>
        <w:trPr>
          <w:trHeight w:val="263"/>
        </w:trPr>
        <w:tc>
          <w:tcPr>
            <w:tcW w:w="6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Liabilities assumed</w:t>
            </w:r>
          </w:p>
        </w:tc>
        <w:tc>
          <w:tcPr>
            <w:tcW w:w="42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212,844</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350,433</w:t>
            </w:r>
          </w:p>
        </w:tc>
      </w:tr>
      <w:tr>
        <w:trPr>
          <w:trHeight w:val="277"/>
        </w:trPr>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assets acquired</w:t>
            </w:r>
          </w:p>
        </w:tc>
        <w:tc>
          <w:tcPr>
            <w:tcW w:w="42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color w:val="auto"/>
              </w:rPr>
              <w:t>52,093</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130,246</w:t>
            </w:r>
          </w:p>
        </w:tc>
      </w:tr>
      <w:tr>
        <w:trPr>
          <w:trHeight w:val="256"/>
        </w:trPr>
        <w:tc>
          <w:tcPr>
            <w:tcW w:w="62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Common stock issued in acquisitions</w:t>
            </w:r>
          </w:p>
        </w:tc>
        <w:tc>
          <w:tcPr>
            <w:tcW w:w="4200" w:type="dxa"/>
            <w:vAlign w:val="bottom"/>
          </w:tcPr>
          <w:p>
            <w:pPr>
              <w:jc w:val="right"/>
              <w:ind w:right="39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45,746</w:t>
            </w:r>
          </w:p>
        </w:tc>
      </w:tr>
    </w:tbl>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4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Accounting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and financial reporting policies of United Community Banks, Inc. and its subsidiaries (collectively referred to herein as “United”)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2018 (the “2018 10-K”).</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2018 10-K. Certain amounts reported in prior periods' consolidated financial statements have been reclassified to conform to the current presentation.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Standards Updates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This guidance was further modified in November 2018 by ASU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2018-19,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in April 2019 by ASU No. 2019-04, </w:t>
      </w:r>
      <w:r>
        <w:rPr>
          <w:rFonts w:ascii="Times New Roman" w:cs="Times New Roman" w:eastAsia="Times New Roman" w:hAnsi="Times New Roman"/>
          <w:sz w:val="18"/>
          <w:szCs w:val="18"/>
          <w:i w:val="1"/>
          <w:iCs w:val="1"/>
          <w:color w:val="auto"/>
        </w:rPr>
        <w:t>Codification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326, Financial Instruments - Credit Losses, Topic 815, Derivatives and Hedging, and Topic 825 Financial Instruments </w:t>
      </w:r>
      <w:r>
        <w:rPr>
          <w:rFonts w:ascii="Times New Roman" w:cs="Times New Roman" w:eastAsia="Times New Roman" w:hAnsi="Times New Roman"/>
          <w:sz w:val="18"/>
          <w:szCs w:val="18"/>
          <w:color w:val="auto"/>
        </w:rPr>
        <w:t>and in May 2019 by ASU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2019-05, </w:t>
      </w:r>
      <w:r>
        <w:rPr>
          <w:rFonts w:ascii="Times New Roman" w:cs="Times New Roman" w:eastAsia="Times New Roman" w:hAnsi="Times New Roman"/>
          <w:sz w:val="18"/>
          <w:szCs w:val="18"/>
          <w:i w:val="1"/>
          <w:iCs w:val="1"/>
          <w:color w:val="auto"/>
        </w:rPr>
        <w:t>Financial Instruments - Credit Losses (Topic 326): Targeted Transition Relief.</w:t>
      </w:r>
      <w:r>
        <w:rPr>
          <w:rFonts w:ascii="Times New Roman" w:cs="Times New Roman" w:eastAsia="Times New Roman" w:hAnsi="Times New Roman"/>
          <w:sz w:val="18"/>
          <w:szCs w:val="18"/>
          <w:color w:val="auto"/>
        </w:rPr>
        <w:t xml:space="preserve"> The new guidance replaces the incurred loss impairment methodology in current GAAP with a current expected credit loss (“CECL”) methodology, requires consideration of a broader range of information to determine credit loss estimates and generally applies to financial assets measured at amortized cost and some off-balance sheet credit exposures. Financial assets measured at amortized cost will be presented at the net amount expected to be collected by using an allowance for credit losses. Purchased credit deteriorated (“PCD”)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Accounting Standards Codification 310-30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impact. During the third quarter of 2019, management’s CECL steering committee analyzed the results of ongoing parallel runs for both securities held to maturity and loans and continued to monitor the impact of various model assumptions in order to improve the precision of the model. The committee remains focused on developing its CECL policy, procedures, and internal control structure in preparation for adoption of Topic 326. During the remainder of the pre-adoption period, management will run additional parallel runs of the allowance model under the expected credit loss methodology. During monthly steering committee meetings, management regularly reviews project status, gap remediation efforts and project priorities.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referenced above, in April 2019, the FASB issued ASU No. 2019-04,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815, Derivatives and Hedging, and Topic 825 Financial Instruments</w:t>
      </w:r>
      <w:r>
        <w:rPr>
          <w:rFonts w:ascii="Times New Roman" w:cs="Times New Roman" w:eastAsia="Times New Roman" w:hAnsi="Times New Roman"/>
          <w:sz w:val="18"/>
          <w:szCs w:val="18"/>
          <w:color w:val="auto"/>
        </w:rPr>
        <w:t>. In addition to amending guidance related to the new CECL standard, this update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clarifies certain aspects of hedge accounting and recognition and measurement of financial instruments. The non-CECL provisions of this update are effective for United as of January 1, 2020. United does not expect the new guidance to have a material impact on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This guidance was further modified by ASU No. 2018-10,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842 Leases</w:t>
      </w:r>
      <w:r>
        <w:rPr>
          <w:rFonts w:ascii="Times New Roman" w:cs="Times New Roman" w:eastAsia="Times New Roman" w:hAnsi="Times New Roman"/>
          <w:sz w:val="18"/>
          <w:szCs w:val="18"/>
          <w:color w:val="auto"/>
        </w:rPr>
        <w:t>, ASU No. 2018-11,</w:t>
      </w:r>
      <w:r>
        <w:rPr>
          <w:rFonts w:ascii="Times New Roman" w:cs="Times New Roman" w:eastAsia="Times New Roman" w:hAnsi="Times New Roman"/>
          <w:sz w:val="18"/>
          <w:szCs w:val="18"/>
          <w:i w:val="1"/>
          <w:iCs w:val="1"/>
          <w:color w:val="auto"/>
        </w:rPr>
        <w:t xml:space="preserve"> Leases (Topic 842): Targeted Improvements</w:t>
      </w:r>
      <w:r>
        <w:rPr>
          <w:rFonts w:ascii="Times New Roman" w:cs="Times New Roman" w:eastAsia="Times New Roman" w:hAnsi="Times New Roman"/>
          <w:sz w:val="18"/>
          <w:szCs w:val="18"/>
          <w:color w:val="auto"/>
        </w:rPr>
        <w:t>, ASU No. 2018-20,</w:t>
      </w:r>
      <w:r>
        <w:rPr>
          <w:rFonts w:ascii="Times New Roman" w:cs="Times New Roman" w:eastAsia="Times New Roman" w:hAnsi="Times New Roman"/>
          <w:sz w:val="18"/>
          <w:szCs w:val="18"/>
          <w:i w:val="1"/>
          <w:iCs w:val="1"/>
          <w:color w:val="auto"/>
        </w:rPr>
        <w:t xml:space="preserve"> Leases (Topic 842): Narrow-Scope Improvements for Lessors </w:t>
      </w:r>
      <w:r>
        <w:rPr>
          <w:rFonts w:ascii="Times New Roman" w:cs="Times New Roman" w:eastAsia="Times New Roman" w:hAnsi="Times New Roman"/>
          <w:sz w:val="18"/>
          <w:szCs w:val="18"/>
          <w:color w:val="auto"/>
        </w:rPr>
        <w:t>and ASU No. 2019-01,</w:t>
      </w:r>
      <w:r>
        <w:rPr>
          <w:rFonts w:ascii="Times New Roman" w:cs="Times New Roman" w:eastAsia="Times New Roman" w:hAnsi="Times New Roman"/>
          <w:sz w:val="18"/>
          <w:szCs w:val="18"/>
          <w:i w:val="1"/>
          <w:iCs w:val="1"/>
          <w:color w:val="auto"/>
        </w:rPr>
        <w:t xml:space="preserve"> Leases (Topic 842): Codification Improvements</w:t>
      </w:r>
      <w:r>
        <w:rPr>
          <w:rFonts w:ascii="Times New Roman" w:cs="Times New Roman" w:eastAsia="Times New Roman" w:hAnsi="Times New Roman"/>
          <w:sz w:val="18"/>
          <w:szCs w:val="18"/>
          <w:color w:val="auto"/>
        </w:rPr>
        <w:t>. These standards require a lessee to recognize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 a liability to make lease payments (the lease liability) and a right-of-use asset representing its right to use the underlying asset for the lease term. United adopted the standard on January 1, 2019 using the optional transition method, which allowed for a modified retrospective method of adoption with a cumulative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effect adjustment to shareholders’ equity without restating comparable periods. United also elected the relief package of practical expedients for which there is no requirement to reassess existence of leases, their classification, and initial direct costs as well as an exemption for short-term leases with a term of less than one year, whereby United does not recognize a lease liability or right-of-use asset on the consolidated balance sheet but instead recognizes lease payments as an expense over the lease term as appropriate. The adoption of this guidance resulted in recognition of a right-of-use asset of $23.8 million, a lease liability of $26.8 million and a reduction of shareholders’ equity of $549,000, net of tax, related to its operating leases. In addition, United has equipment financing leases for which it is the lessor, which were previously accounted for as capital leases. Upon adoption of Topic 842, these leases were classified as sales-type or direct financing leases, which required no significant change in accounting policy or treatment. These lease agreements may include options to renew and for the lessee to purchase the leased equipment at the end of the lease term. As a lessor, United elected to exclude sales taxes from consideration in lease contracts. In the opinion of management, the changes described above resulting from the adoption of the standard did not have a material impact on the consolidated financial statements. See Notes 6 and 16 for additional information on equipment financing leases and operating leases, respectively.</w:t>
      </w:r>
    </w:p>
    <w:p>
      <w:pPr>
        <w:spacing w:after="0" w:line="19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 xml:space="preserve">In July of 2019, the FASB issued ASU No. 2019-07, </w:t>
      </w:r>
      <w:r>
        <w:rPr>
          <w:rFonts w:ascii="Times New Roman" w:cs="Times New Roman" w:eastAsia="Times New Roman" w:hAnsi="Times New Roman"/>
          <w:sz w:val="18"/>
          <w:szCs w:val="18"/>
          <w:i w:val="1"/>
          <w:iCs w:val="1"/>
          <w:color w:val="auto"/>
        </w:rPr>
        <w:t>Codification updates to SEC sections: amendments to SEC paragraphs pursuant to SEC final 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releases No. 33-10532, disclosure update and simplification, and nos. 33-10231 and 33-10442, investment company reporting modernization, and miscellaneous updates. </w:t>
      </w:r>
      <w:r>
        <w:rPr>
          <w:rFonts w:ascii="Times New Roman" w:cs="Times New Roman" w:eastAsia="Times New Roman" w:hAnsi="Times New Roman"/>
          <w:sz w:val="18"/>
          <w:szCs w:val="18"/>
          <w:color w:val="auto"/>
        </w:rPr>
        <w:t>This standard updates various SEC financial statement disclosure requirements, including disclosures related to bank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The standard is effective immediately, and United does not expect the new guidance to have a material impact on its disclosures.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First Madison Bank and Trust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1, 2019, United completed the acquisition of First Madison Bank &amp; Trust (“FMBT”). FMBT operated four banking offices in Athens-Clarke County, Georgia. In connection with the acquisition, United acquired $245 million of assets and assumed $213 million of liabilities. Under the terms of the merger agreement, FMBT shareholders received $52.1 million in cash. The fair value of consideration paid exceeded the fair value of the identifiable assets and liabilities acquired and resulted in the establishment of goodwill in the amount of $20.3 million, representing the intangible value of FMBT’s business and reputation within the markets it served. None of the goodwill is expected to be deductible for income tax purposes. United will amortize the related core deposit intangible of $2.80 million using the sum-of-the-years-digits method over 9.25 years, which represents the expected useful life of the asset.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United’s operating results for the three and nine months ended September 30, 2019 include the operating results of the acquired business for the period subsequent to the acquisition date of May 1,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As Recorded by</w:t>
            </w: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80" w:type="dxa"/>
            <w:vAlign w:val="bottom"/>
          </w:tcPr>
          <w:p>
            <w:pPr>
              <w:spacing w:after="0"/>
              <w:rPr>
                <w:sz w:val="17"/>
                <w:szCs w:val="17"/>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As Recorded by</w:t>
            </w: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FMBT</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1"/>
                <w:szCs w:val="21"/>
                <w:b w:val="1"/>
                <w:bCs w:val="1"/>
                <w:color w:val="auto"/>
                <w:w w:val="96"/>
                <w:vertAlign w:val="superscript"/>
              </w:rPr>
              <w:t>(1)</w:t>
            </w:r>
          </w:p>
        </w:tc>
        <w:tc>
          <w:tcPr>
            <w:tcW w:w="180" w:type="dxa"/>
            <w:vAlign w:val="bottom"/>
          </w:tcPr>
          <w:p>
            <w:pPr>
              <w:spacing w:after="0"/>
              <w:rPr>
                <w:sz w:val="21"/>
                <w:szCs w:val="21"/>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United</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32,548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192,494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0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6,823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deferred tax asset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Core deposit intangible</w:t>
            </w:r>
          </w:p>
        </w:tc>
        <w:tc>
          <w:tcPr>
            <w:tcW w:w="2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284"/>
        </w:trPr>
        <w:tc>
          <w:tcPr>
            <w:tcW w:w="6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240,257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244,624</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211,884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212,127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212,808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212,844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Excess of assets acquired over liabilities assumed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Aggregate fair value adjustments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4,331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0" w:type="dxa"/>
            <w:vAlign w:val="bottom"/>
            <w:tcBorders>
              <w:bottom w:val="single" w:sz="8" w:color="CCEEFF"/>
            </w:tcBorders>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31,780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consideration transferred</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52,093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tabs>
          <w:tab w:leader="none" w:pos="153"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Fair values are preliminary and are subject to refinement for a period not to exceed one year after the closing date of an acquisition as information relative to closing date fair values becomes available.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May 1, 2019</w:t>
            </w:r>
          </w:p>
        </w:tc>
      </w:tr>
      <w:tr>
        <w:trPr>
          <w:trHeight w:val="33"/>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Accounted for pursuant to ASC 310-30: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Contractually required principal and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13,145</w:t>
            </w: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Non-accretable difference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2,517</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17"/>
        </w:trPr>
        <w:tc>
          <w:tcPr>
            <w:tcW w:w="836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Cash flows expected to be collected</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10,628</w:t>
            </w:r>
          </w:p>
        </w:tc>
        <w:tc>
          <w:tcPr>
            <w:tcW w:w="1700" w:type="dxa"/>
            <w:vAlign w:val="bottom"/>
          </w:tcPr>
          <w:p>
            <w:pPr>
              <w:spacing w:after="0"/>
              <w:rPr>
                <w:sz w:val="18"/>
                <w:szCs w:val="18"/>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Accretable yield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1,300</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84"/>
        </w:trPr>
        <w:tc>
          <w:tcPr>
            <w:tcW w:w="836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9,328</w:t>
            </w:r>
          </w:p>
        </w:tc>
        <w:tc>
          <w:tcPr>
            <w:tcW w:w="1700" w:type="dxa"/>
            <w:vAlign w:val="bottom"/>
            <w:tcBorders>
              <w:bottom w:val="single" w:sz="8" w:color="CCEEFF"/>
            </w:tcBorders>
          </w:tcPr>
          <w:p>
            <w:pPr>
              <w:spacing w:after="0"/>
              <w:rPr>
                <w:sz w:val="24"/>
                <w:szCs w:val="24"/>
                <w:color w:val="auto"/>
              </w:rPr>
            </w:pPr>
          </w:p>
        </w:tc>
      </w:tr>
      <w:tr>
        <w:trPr>
          <w:trHeight w:val="284"/>
        </w:trPr>
        <w:tc>
          <w:tcPr>
            <w:tcW w:w="8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836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Excluded from ASC 310-30:</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183,166</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218,855</w:t>
            </w: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83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8,826</w:t>
            </w:r>
          </w:p>
        </w:tc>
        <w:tc>
          <w:tcPr>
            <w:tcW w:w="1700" w:type="dxa"/>
            <w:vAlign w:val="bottom"/>
            <w:shd w:val="clear" w:color="auto" w:fill="CCEEFF"/>
          </w:tcPr>
          <w:p>
            <w:pPr>
              <w:spacing w:after="0"/>
              <w:rPr>
                <w:sz w:val="20"/>
                <w:szCs w:val="20"/>
                <w:color w:val="auto"/>
              </w:rPr>
            </w:pPr>
          </w:p>
        </w:tc>
      </w:tr>
      <w:tr>
        <w:trPr>
          <w:trHeight w:val="33"/>
        </w:trPr>
        <w:tc>
          <w:tcPr>
            <w:tcW w:w="8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 acquired NLFC Holdings Corp. and its subsidiaries, collectively known as “Navitas,” on February 1, 2018, as described in United’s 2018 10-K. The following table discloses the impact of the acquisitions of FMBT and Navitas since the acquisition dates through September 30 in the year of acquisition. The table also presents certain pro forma information as if FMBT had been acquired on January 1, 2018 and Navitas had been acquired on January 1, 2017. These results combine the historical results of the acquired entities with United’s consolidated statement of income and, while adjustments were made for the estimated impact of certain fair value adjustments and other acquisition-related activity, they are not necessarily indicative of what would have occurred had the acquisitions taken place in earlier years.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Merger-related costs from the FMBT acquisition of $756,000 and $1.78 million, respectively, have been excluded from the three and nine months 2019 pro forma information presented below and included in the three and nine months 2018 pro forma information below. Merger-related costs from the Navitas acquisition of $103,000 and $4.93 million, respectively, have been excluded from the three and nine months 2018 pro forma information presented below.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38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23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33"/>
        </w:trPr>
        <w:tc>
          <w:tcPr>
            <w:tcW w:w="59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Actual FMBT results included in statement of income since acquisition date</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consolidated pro forma as if FMBT had been acquired January 1,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420,872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138,157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Actual Navitas results included in statement of income since acquisition date</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1,884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5,380</w:t>
            </w:r>
          </w:p>
        </w:tc>
        <w:tc>
          <w:tcPr>
            <w:tcW w:w="0" w:type="dxa"/>
            <w:vAlign w:val="bottom"/>
          </w:tcPr>
          <w:p>
            <w:pPr>
              <w:spacing w:after="0"/>
              <w:rPr>
                <w:sz w:val="1"/>
                <w:szCs w:val="1"/>
                <w:color w:val="auto"/>
              </w:rPr>
            </w:pPr>
          </w:p>
        </w:tc>
      </w:tr>
      <w:tr>
        <w:trPr>
          <w:trHeight w:val="216"/>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consolidated pro forma as if FMBT had been acquired January 1, 2018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Navitas had been acquired January 1, 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399,692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124,599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Times New Roman" w:cs="Times New Roman" w:eastAsia="Times New Roman" w:hAnsi="Times New Roman"/>
          <w:sz w:val="18"/>
          <w:szCs w:val="18"/>
          <w:i w:val="1"/>
          <w:iCs w:val="1"/>
          <w:color w:val="auto"/>
        </w:rPr>
        <w:t>Offsetting.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amounts outstanding under reverse repurchase agreements, of which there were none as of September 30, 2019, and derivative financial instruments including those entered into in connection with the same counterparty under master netting agreements as of the dates indicated </w:t>
      </w:r>
      <w:r>
        <w:rPr>
          <w:rFonts w:ascii="Times New Roman" w:cs="Times New Roman" w:eastAsia="Times New Roman" w:hAnsi="Times New Roman"/>
          <w:sz w:val="18"/>
          <w:szCs w:val="18"/>
          <w:i w:val="1"/>
          <w:i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43,755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43,633</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43,755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43,755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43,633</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16,244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16,244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2"/>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agreements / reverse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24,705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15,703</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15,703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interest rate of</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reverse repurchase agreements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agreements / reverse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9,334</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9,334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interest rate of</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agreements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2019, United recognized the right to reclaim cash collateral of $16.3 million. At September 30, 2019 there was no cash collateral held for derivatives. At December 31, 2018, United recognized the right to reclaim cash collateral of $16.1 million and the obligation to return cash collateral of $8.03 million. The right to reclaim cash collateral and the obligation to return cash collateral were included in the consolidated balance sheets in other assets and other liabilities, respectively. Derivatives include customer derivatives, which as discussed further in Note 9, are cross-collateralized with the collateral used to support the credit risk for the underlying lending relationship. Such collateral is not included in the tables above.</w:t>
      </w:r>
    </w:p>
    <w:p>
      <w:pPr>
        <w:sectPr>
          <w:pgSz w:w="11900" w:h="16838" w:orient="portrait"/>
          <w:cols w:equalWidth="0" w:num="1">
            <w:col w:w="11420"/>
          </w:cols>
          <w:pgMar w:left="240" w:top="117"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presents additional detail regarding repurchase agreements accounted for as secured borrowings and the securities underlying these agreements as of December 31, 2018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Remaining Contractual Maturity of the Agreements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Overnight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Continuous</w:t>
            </w: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Up to 30 Days</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30 to 90 Days</w:t>
            </w: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91 to 110 days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r>
      <w:tr>
        <w:trPr>
          <w:trHeight w:val="20"/>
        </w:trPr>
        <w:tc>
          <w:tcPr>
            <w:tcW w:w="3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7"/>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31"/>
        </w:trPr>
        <w:tc>
          <w:tcPr>
            <w:tcW w:w="6800" w:type="dxa"/>
            <w:vAlign w:val="bottom"/>
            <w:tcBorders>
              <w:bottom w:val="single" w:sz="8" w:color="CCEEFF"/>
            </w:tcBorders>
            <w:gridSpan w:val="8"/>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amount of recognized liabilities for repurchase agreements in offsetting disclosure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r>
      <w:tr>
        <w:trPr>
          <w:trHeight w:val="20"/>
        </w:trPr>
        <w:tc>
          <w:tcPr>
            <w:tcW w:w="3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Amounts related to agreements not included in offsetting disclosure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debt securities held-to-maturity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7"/>
        </w:trPr>
        <w:tc>
          <w:tcPr>
            <w:tcW w:w="4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64,559</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163,603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165,538</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18,449</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243,028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248,546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67,312</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172,046</w:t>
            </w:r>
          </w:p>
        </w:tc>
      </w:tr>
      <w:tr>
        <w:trPr>
          <w:trHeight w:val="23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29,445</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268,803</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cost basis, unrealized gains and losses, and fair value of debt securities available-for-sale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U.S. Treasuries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152,759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154,632</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Government agencies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3,175</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215,159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227,325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1,236,101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1,256,633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318,815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322,465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201,195</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106,621</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2,232,781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2,272,046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U.S. Treasuries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150,712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149,307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Government agencies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25,553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233,941</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1,445,910</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391,917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199,163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182,676</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2,660,263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2,628,467</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$724 million and $925 million were pledged to secure public deposits, derivatives and other secured borrowings at September 30, 2019 and December 31, 2018, respectively.</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debt securities held-to-maturity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3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55,776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58,373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57,676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60,273</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2,191</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136,376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5,094</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r>
      <w:tr>
        <w:trPr>
          <w:trHeight w:val="24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174,812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188,453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7,381</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debt securities available-for-sale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3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72,466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111,223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183,689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1,622</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870</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156,894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165,339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322,233</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2,967</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120,391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120,391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2,172</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agencies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1,716</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234,583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775,360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21,898</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355,292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7,933</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1,921</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2,335</w:t>
            </w:r>
          </w:p>
        </w:tc>
      </w:tr>
      <w:tr>
        <w:trPr>
          <w:trHeight w:val="24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328,787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1,555,326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34,941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1,884,113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38,250</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there were 49 debt securities available-for-sale and 29 debt securities held-to-maturity that were in an unrealized loss position. United does not intend to sell nor believes it will be required to sell securities in an unrealized loss position prior to the recovery of their amortized cost basis. Unrealized losses at September 30, 2019 were primarily attributable to changes in interest rates.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and nine months ended September 30, 2019 or 2018.</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2019 and 2018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76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33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02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90"/>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Proceeds from sales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16,383</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225,883</w:t>
            </w:r>
          </w:p>
        </w:tc>
        <w:tc>
          <w:tcPr>
            <w:tcW w:w="120" w:type="dxa"/>
            <w:vAlign w:val="bottom"/>
          </w:tcPr>
          <w:p>
            <w:pPr>
              <w:spacing w:after="0"/>
              <w:rPr>
                <w:sz w:val="24"/>
                <w:szCs w:val="24"/>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156,679</w:t>
            </w:r>
          </w:p>
        </w:tc>
        <w:tc>
          <w:tcPr>
            <w:tcW w:w="1020" w:type="dxa"/>
            <w:vAlign w:val="bottom"/>
          </w:tcPr>
          <w:p>
            <w:pPr>
              <w:spacing w:after="0"/>
              <w:rPr>
                <w:sz w:val="24"/>
                <w:szCs w:val="24"/>
                <w:color w:val="auto"/>
              </w:rPr>
            </w:pPr>
          </w:p>
        </w:tc>
      </w:tr>
      <w:tr>
        <w:trPr>
          <w:trHeight w:val="271"/>
        </w:trPr>
        <w:tc>
          <w:tcPr>
            <w:tcW w:w="504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CCEEFF"/>
            </w:tcBorders>
            <w:shd w:val="clear" w:color="auto" w:fill="CCEEFF"/>
          </w:tcPr>
          <w:p>
            <w:pPr>
              <w:spacing w:after="0"/>
              <w:rPr>
                <w:sz w:val="23"/>
                <w:szCs w:val="23"/>
                <w:color w:val="auto"/>
              </w:rPr>
            </w:pPr>
          </w:p>
        </w:tc>
      </w:tr>
      <w:tr>
        <w:trPr>
          <w:trHeight w:val="237"/>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Gross gains on sales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c>
          <w:tcPr>
            <w:tcW w:w="102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Gross losses on sales</w:t>
            </w:r>
          </w:p>
        </w:tc>
        <w:tc>
          <w:tcPr>
            <w:tcW w:w="8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20" w:type="dxa"/>
            <w:vAlign w:val="bottom"/>
            <w:tcBorders>
              <w:bottom w:val="single" w:sz="8" w:color="CCEEFF"/>
            </w:tcBorders>
            <w:shd w:val="clear" w:color="auto" w:fill="CCEEFF"/>
          </w:tcPr>
          <w:p>
            <w:pPr>
              <w:spacing w:after="0"/>
              <w:rPr>
                <w:sz w:val="23"/>
                <w:szCs w:val="23"/>
                <w:color w:val="auto"/>
              </w:rPr>
            </w:pPr>
          </w:p>
        </w:tc>
      </w:tr>
      <w:tr>
        <w:trPr>
          <w:trHeight w:val="284"/>
        </w:trPr>
        <w:tc>
          <w:tcPr>
            <w:tcW w:w="504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6"/>
                <w:szCs w:val="16"/>
                <w:color w:val="auto"/>
              </w:rPr>
              <w:t>Net gains (losses) on sales of securities</w:t>
            </w: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20" w:type="dxa"/>
            <w:vAlign w:val="bottom"/>
            <w:tcBorders>
              <w:bottom w:val="single" w:sz="8" w:color="CCEEFF"/>
            </w:tcBorders>
          </w:tcPr>
          <w:p>
            <w:pPr>
              <w:spacing w:after="0"/>
              <w:rPr>
                <w:sz w:val="24"/>
                <w:szCs w:val="24"/>
                <w:color w:val="auto"/>
              </w:rPr>
            </w:pPr>
          </w:p>
        </w:tc>
      </w:tr>
      <w:tr>
        <w:trPr>
          <w:trHeight w:val="271"/>
        </w:trPr>
        <w:tc>
          <w:tcPr>
            <w:tcW w:w="50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50"/>
        </w:trPr>
        <w:tc>
          <w:tcPr>
            <w:tcW w:w="50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Income tax expense (benefit) attributable to sales</w:t>
            </w:r>
          </w:p>
        </w:tc>
        <w:tc>
          <w:tcPr>
            <w:tcW w:w="82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2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amortized cost and fair value of debt securities available-for-sale and held-to-maturity at September 30, 2019, by contractual maturity, are presented in the following table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200" w:type="dxa"/>
            <w:vAlign w:val="bottom"/>
          </w:tcPr>
          <w:p>
            <w:pPr>
              <w:spacing w:after="0"/>
              <w:rPr>
                <w:sz w:val="18"/>
                <w:szCs w:val="18"/>
                <w:color w:val="auto"/>
              </w:rPr>
            </w:pPr>
          </w:p>
        </w:tc>
        <w:tc>
          <w:tcPr>
            <w:tcW w:w="3280" w:type="dxa"/>
            <w:vAlign w:val="bottom"/>
            <w:gridSpan w:val="4"/>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Held-to-Maturity</w:t>
            </w: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20"/>
                <w:szCs w:val="20"/>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Within 1 year</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29,786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29,887</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122,973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152,759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154,632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agencies: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7"/>
        </w:trPr>
        <w:tc>
          <w:tcPr>
            <w:tcW w:w="4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Within 1 year</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11,322</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 to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16,339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8,047</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More than 10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143,778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153,723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41,935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43,814</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215,159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227,325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61,251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64,559</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bonds: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Within 1 year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77,700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 to 10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201,195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7"/>
        </w:trPr>
        <w:tc>
          <w:tcPr>
            <w:tcW w:w="4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More than 10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104,975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104,875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106,729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106,621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securities other than mortgage-backed securities: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Within 1 year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151,006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1,376</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256,940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260,809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11,322</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 to 10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8,047</w:t>
            </w:r>
          </w:p>
        </w:tc>
      </w:tr>
      <w:tr>
        <w:trPr>
          <w:trHeight w:val="237"/>
        </w:trPr>
        <w:tc>
          <w:tcPr>
            <w:tcW w:w="4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252,319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262,365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41,935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43,814</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1,236,101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1,256,633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165,538</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318,815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322,465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18,449</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2,232,781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2,272,046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248,546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1,692,010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1,647,904</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1,933,868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1,812,420</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1,271,243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1,278,347</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1,000,801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796,158</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729,506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564,614</w:t>
            </w:r>
          </w:p>
        </w:tc>
      </w:tr>
      <w:tr>
        <w:trPr>
          <w:trHeight w:val="217"/>
        </w:trPr>
        <w:tc>
          <w:tcPr>
            <w:tcW w:w="7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6,627,428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6,099,443</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1,120,828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1,049,232</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668,987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694,010</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229,352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211,011</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125,517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122,013</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131,154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207,692</w:t>
            </w:r>
          </w:p>
        </w:tc>
      </w:tr>
      <w:tr>
        <w:trPr>
          <w:trHeight w:val="217"/>
        </w:trPr>
        <w:tc>
          <w:tcPr>
            <w:tcW w:w="7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loans</w:t>
            </w:r>
          </w:p>
        </w:tc>
        <w:tc>
          <w:tcPr>
            <w:tcW w:w="2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8,903,266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8,383,401</w:t>
            </w:r>
          </w:p>
        </w:tc>
      </w:tr>
      <w:tr>
        <w:trPr>
          <w:trHeight w:val="33"/>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allowance for loan losses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(61,203)</w:t>
            </w:r>
          </w:p>
        </w:tc>
      </w:tr>
      <w:tr>
        <w:trPr>
          <w:trHeight w:val="244"/>
        </w:trPr>
        <w:tc>
          <w:tcPr>
            <w:tcW w:w="7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Loans, net</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8,840,752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8,322,198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2019 and December 31, 2018, loans totaling $4.15 billion and $3.98 billion, respectively, were pledged as collateral to secure Federal Home Loan Bank advances, securitized notes payable and other contingent funding sources.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September 30, 2019, the carrying value and outstanding balance of purchased credit impaired (“PCI”) loans accounted for under ASC 310-30 were $69.7 million and $97.1 million, respectively. At December 31, 2018, the carrying value and outstanding balance of PCI loans were $74.4 million and $109 million, respectively. The following table presents changes in the balance of the accretable yield for PCI loans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10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1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26,868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17,686</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due to acquisitions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1,977</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Accretion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Reclassification from nonaccretable difference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10,136</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expected cash flows that do not affect nonaccretable difference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4,163</w:t>
            </w:r>
          </w:p>
        </w:tc>
      </w:tr>
      <w:tr>
        <w:trPr>
          <w:trHeight w:val="244"/>
        </w:trPr>
        <w:tc>
          <w:tcPr>
            <w:tcW w:w="6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22,846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24,678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22,846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24,678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accretable yield on PCI loans, the fair value adjustments on purchased loans outside the scope of ASC 310-30 are also accreted to interest revenue over the life of the loans. At September 30, 2019 and December 31, 2018, the remaining accretable net fair value discount on loans acquired through a business combination and not accounted for under ASC 310-30 was $5.69 million and $4.31 million, respectively, which included a net premium on acquired equipment financing loans. In addition, indirect auto loans purchased at a premium outside of a business combination had a remaining premium of $1.91 million and $3.72 million, respectively, as of September 30, 2019 and December 31,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2019 and December 31, 2018, equipment financing assets included leases of $39.5 million and $30.4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31,915</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58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3,593</w:t>
            </w:r>
          </w:p>
        </w:tc>
        <w:tc>
          <w:tcPr>
            <w:tcW w:w="160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Initial direct costs</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827</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Security deposits</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60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Purchase accounting premium</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806</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Unearned income</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w:t>
            </w:r>
          </w:p>
        </w:tc>
        <w:tc>
          <w:tcPr>
            <w:tcW w:w="1600" w:type="dxa"/>
            <w:vAlign w:val="bottom"/>
          </w:tcPr>
          <w:p>
            <w:pPr>
              <w:spacing w:after="0"/>
              <w:rPr>
                <w:sz w:val="20"/>
                <w:szCs w:val="20"/>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30,384</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September 30, 2019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Remainder of 2019</w:t>
            </w:r>
          </w:p>
        </w:tc>
        <w:tc>
          <w:tcPr>
            <w:tcW w:w="580" w:type="dxa"/>
            <w:vAlign w:val="bottom"/>
            <w:tcBorders>
              <w:top w:val="single" w:sz="8" w:color="CCEEFF"/>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4,048</w:t>
            </w:r>
          </w:p>
        </w:tc>
        <w:tc>
          <w:tcPr>
            <w:tcW w:w="27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780"/>
              <w:spacing w:after="0"/>
              <w:rPr>
                <w:sz w:val="20"/>
                <w:szCs w:val="20"/>
                <w:color w:val="auto"/>
              </w:rPr>
            </w:pPr>
            <w:r>
              <w:rPr>
                <w:rFonts w:ascii="Times New Roman" w:cs="Times New Roman" w:eastAsia="Times New Roman" w:hAnsi="Times New Roman"/>
                <w:sz w:val="16"/>
                <w:szCs w:val="16"/>
                <w:color w:val="auto"/>
              </w:rPr>
              <w:t>2020</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14,455</w:t>
            </w:r>
          </w:p>
        </w:tc>
        <w:tc>
          <w:tcPr>
            <w:tcW w:w="272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2021</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10,740</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780"/>
              <w:spacing w:after="0"/>
              <w:rPr>
                <w:sz w:val="20"/>
                <w:szCs w:val="20"/>
                <w:color w:val="auto"/>
              </w:rPr>
            </w:pPr>
            <w:r>
              <w:rPr>
                <w:rFonts w:ascii="Times New Roman" w:cs="Times New Roman" w:eastAsia="Times New Roman" w:hAnsi="Times New Roman"/>
                <w:sz w:val="16"/>
                <w:szCs w:val="16"/>
                <w:color w:val="auto"/>
              </w:rPr>
              <w:t>2022</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7,131</w:t>
            </w:r>
          </w:p>
        </w:tc>
        <w:tc>
          <w:tcPr>
            <w:tcW w:w="272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4,226</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1,576</w:t>
            </w:r>
          </w:p>
        </w:tc>
        <w:tc>
          <w:tcPr>
            <w:tcW w:w="2720" w:type="dxa"/>
            <w:vAlign w:val="bottom"/>
          </w:tcPr>
          <w:p>
            <w:pPr>
              <w:spacing w:after="0"/>
              <w:rPr>
                <w:sz w:val="20"/>
                <w:szCs w:val="20"/>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42,176</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allowance for credit losses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Beginning</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Beginning</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12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0"/>
        </w:trPr>
        <w:tc>
          <w:tcPr>
            <w:tcW w:w="20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Offs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(Release)Provision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Provision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39"/>
        </w:trPr>
        <w:tc>
          <w:tcPr>
            <w:tcW w:w="2020" w:type="dxa"/>
            <w:vAlign w:val="bottom"/>
            <w:shd w:val="clear" w:color="auto" w:fill="CCEEFF"/>
          </w:tcPr>
          <w:p>
            <w:pPr>
              <w:ind w:left="40"/>
              <w:spacing w:after="0" w:line="139" w:lineRule="exact"/>
              <w:rPr>
                <w:sz w:val="20"/>
                <w:szCs w:val="20"/>
                <w:color w:val="auto"/>
              </w:rPr>
            </w:pPr>
            <w:r>
              <w:rPr>
                <w:rFonts w:ascii="Times New Roman" w:cs="Times New Roman" w:eastAsia="Times New Roman" w:hAnsi="Times New Roman"/>
                <w:sz w:val="14"/>
                <w:szCs w:val="14"/>
                <w:color w:val="auto"/>
              </w:rPr>
              <w:t>Owner occupied commercial</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11,545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11,419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12,909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12,454</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00" w:type="dxa"/>
            <w:vAlign w:val="bottom"/>
          </w:tcPr>
          <w:p>
            <w:pPr>
              <w:spacing w:after="0"/>
              <w:rPr>
                <w:sz w:val="13"/>
                <w:szCs w:val="13"/>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473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11,062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10,862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11,082</w:t>
            </w:r>
          </w:p>
        </w:tc>
        <w:tc>
          <w:tcPr>
            <w:tcW w:w="0" w:type="dxa"/>
            <w:vAlign w:val="bottom"/>
          </w:tcPr>
          <w:p>
            <w:pPr>
              <w:spacing w:after="0"/>
              <w:rPr>
                <w:sz w:val="1"/>
                <w:szCs w:val="1"/>
                <w:color w:val="auto"/>
              </w:rPr>
            </w:pPr>
          </w:p>
        </w:tc>
      </w:tr>
      <w:tr>
        <w:trPr>
          <w:trHeight w:val="193"/>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4,355</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10,318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1,485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4,220</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8,290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9,845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9,746</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4,838</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65"/>
        </w:trPr>
        <w:tc>
          <w:tcPr>
            <w:tcW w:w="2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Total allowance for loan</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62,204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3,033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62,514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61,071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60,940</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Allowance for unfunded</w:t>
            </w:r>
          </w:p>
        </w:tc>
        <w:tc>
          <w:tcPr>
            <w:tcW w:w="100" w:type="dxa"/>
            <w:vAlign w:val="bottom"/>
          </w:tcPr>
          <w:p>
            <w:pPr>
              <w:spacing w:after="0"/>
              <w:rPr>
                <w:sz w:val="13"/>
                <w:szCs w:val="13"/>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3,391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3"/>
                <w:szCs w:val="13"/>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193"/>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tcBorders>
              <w:top w:val="single" w:sz="8" w:color="CCEEFF"/>
            </w:tcBorders>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auto"/>
              </w:rPr>
              <w:t>Total allowance for credit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65,595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65,972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63,966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64,300</w:t>
            </w:r>
          </w:p>
        </w:tc>
        <w:tc>
          <w:tcPr>
            <w:tcW w:w="0" w:type="dxa"/>
            <w:vAlign w:val="bottom"/>
          </w:tcPr>
          <w:p>
            <w:pPr>
              <w:spacing w:after="0"/>
              <w:rPr>
                <w:sz w:val="1"/>
                <w:szCs w:val="1"/>
                <w:color w:val="auto"/>
              </w:rPr>
            </w:pPr>
          </w:p>
        </w:tc>
      </w:tr>
      <w:tr>
        <w:trPr>
          <w:trHeight w:val="185"/>
        </w:trPr>
        <w:tc>
          <w:tcPr>
            <w:tcW w:w="2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Charge-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Beginning</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(Release)</w:t>
            </w:r>
          </w:p>
        </w:tc>
        <w:tc>
          <w:tcPr>
            <w:tcW w:w="12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Offs</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39"/>
        </w:trPr>
        <w:tc>
          <w:tcPr>
            <w:tcW w:w="202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Owner occupied commercial</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12,207</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(949)</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11,419</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14,776</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(3,194)</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12,454</w:t>
            </w:r>
          </w:p>
        </w:tc>
        <w:tc>
          <w:tcPr>
            <w:tcW w:w="0" w:type="dxa"/>
            <w:vAlign w:val="bottom"/>
          </w:tcPr>
          <w:p>
            <w:pPr>
              <w:spacing w:after="0"/>
              <w:rPr>
                <w:sz w:val="1"/>
                <w:szCs w:val="1"/>
                <w:color w:val="auto"/>
              </w:rPr>
            </w:pPr>
          </w:p>
        </w:tc>
      </w:tr>
      <w:tr>
        <w:trPr>
          <w:trHeight w:val="193"/>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11,073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839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11,082</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4,355</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10,337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10,407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10,523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5,138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4,220</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8,295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9,746</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4,838</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2,371</w:t>
            </w:r>
          </w:p>
        </w:tc>
        <w:tc>
          <w:tcPr>
            <w:tcW w:w="0" w:type="dxa"/>
            <w:vAlign w:val="bottom"/>
          </w:tcPr>
          <w:p>
            <w:pPr>
              <w:spacing w:after="0"/>
              <w:rPr>
                <w:sz w:val="1"/>
                <w:szCs w:val="1"/>
                <w:color w:val="auto"/>
              </w:rPr>
            </w:pPr>
          </w:p>
        </w:tc>
      </w:tr>
      <w:tr>
        <w:trPr>
          <w:trHeight w:val="265"/>
        </w:trPr>
        <w:tc>
          <w:tcPr>
            <w:tcW w:w="2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0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840</w:t>
            </w:r>
          </w:p>
        </w:tc>
        <w:tc>
          <w:tcPr>
            <w:tcW w:w="0" w:type="dxa"/>
            <w:vAlign w:val="bottom"/>
          </w:tcPr>
          <w:p>
            <w:pPr>
              <w:spacing w:after="0"/>
              <w:rPr>
                <w:sz w:val="1"/>
                <w:szCs w:val="1"/>
                <w:color w:val="auto"/>
              </w:rPr>
            </w:pPr>
          </w:p>
        </w:tc>
      </w:tr>
      <w:tr>
        <w:trPr>
          <w:trHeight w:val="275"/>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33"/>
        </w:trPr>
        <w:tc>
          <w:tcPr>
            <w:tcW w:w="2020" w:type="dxa"/>
            <w:vAlign w:val="bottom"/>
          </w:tcPr>
          <w:p>
            <w:pPr>
              <w:ind w:left="280"/>
              <w:spacing w:after="0" w:line="133" w:lineRule="exact"/>
              <w:rPr>
                <w:sz w:val="20"/>
                <w:szCs w:val="20"/>
                <w:color w:val="auto"/>
              </w:rPr>
            </w:pPr>
            <w:r>
              <w:rPr>
                <w:rFonts w:ascii="Times New Roman" w:cs="Times New Roman" w:eastAsia="Times New Roman" w:hAnsi="Times New Roman"/>
                <w:sz w:val="14"/>
                <w:szCs w:val="14"/>
                <w:color w:val="auto"/>
              </w:rPr>
              <w:t>Total allowance for loan</w:t>
            </w:r>
          </w:p>
        </w:tc>
        <w:tc>
          <w:tcPr>
            <w:tcW w:w="10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61,203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9,602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62,514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58,914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6,352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60,940</w:t>
            </w:r>
          </w:p>
        </w:tc>
        <w:tc>
          <w:tcPr>
            <w:tcW w:w="0" w:type="dxa"/>
            <w:vAlign w:val="bottom"/>
          </w:tcPr>
          <w:p>
            <w:pPr>
              <w:spacing w:after="0"/>
              <w:rPr>
                <w:sz w:val="1"/>
                <w:szCs w:val="1"/>
                <w:color w:val="auto"/>
              </w:rPr>
            </w:pPr>
          </w:p>
        </w:tc>
      </w:tr>
      <w:tr>
        <w:trPr>
          <w:trHeight w:val="193"/>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Allowance for unfunded</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3,360</w:t>
            </w:r>
          </w:p>
        </w:tc>
        <w:tc>
          <w:tcPr>
            <w:tcW w:w="0" w:type="dxa"/>
            <w:vAlign w:val="bottom"/>
          </w:tcPr>
          <w:p>
            <w:pPr>
              <w:spacing w:after="0"/>
              <w:rPr>
                <w:sz w:val="1"/>
                <w:szCs w:val="1"/>
                <w:color w:val="auto"/>
              </w:rPr>
            </w:pPr>
          </w:p>
        </w:tc>
      </w:tr>
      <w:tr>
        <w:trPr>
          <w:trHeight w:val="198"/>
        </w:trPr>
        <w:tc>
          <w:tcPr>
            <w:tcW w:w="2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20" w:type="dxa"/>
            <w:vAlign w:val="bottom"/>
          </w:tcPr>
          <w:p>
            <w:pPr>
              <w:ind w:left="280"/>
              <w:spacing w:after="0" w:line="133" w:lineRule="exact"/>
              <w:rPr>
                <w:sz w:val="20"/>
                <w:szCs w:val="20"/>
                <w:color w:val="auto"/>
              </w:rPr>
            </w:pPr>
            <w:r>
              <w:rPr>
                <w:rFonts w:ascii="Times New Roman" w:cs="Times New Roman" w:eastAsia="Times New Roman" w:hAnsi="Times New Roman"/>
                <w:sz w:val="14"/>
                <w:szCs w:val="14"/>
                <w:color w:val="auto"/>
              </w:rPr>
              <w:t>Total allowance for credit</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64,613</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(12,267)</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9,650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65,972</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61,226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(9,438)</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5,112</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7,400</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64,300</w:t>
            </w:r>
          </w:p>
        </w:tc>
        <w:tc>
          <w:tcPr>
            <w:tcW w:w="0" w:type="dxa"/>
            <w:vAlign w:val="bottom"/>
          </w:tcPr>
          <w:p>
            <w:pPr>
              <w:spacing w:after="0"/>
              <w:rPr>
                <w:sz w:val="1"/>
                <w:szCs w:val="1"/>
                <w:color w:val="auto"/>
              </w:rPr>
            </w:pPr>
          </w:p>
        </w:tc>
      </w:tr>
      <w:tr>
        <w:trPr>
          <w:trHeight w:val="190"/>
        </w:trPr>
        <w:tc>
          <w:tcPr>
            <w:tcW w:w="2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represent the recorded investment in loans by portfolio segment and the balance of the allowance for loan losses assigned to each segment based on the method of evaluating the loans for impairment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6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55"/>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10,446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11,328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12,207</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10,737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11,062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11,073</w:t>
            </w: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5,305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4,802</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10,337</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5,452</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8,295</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4,648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4,683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853</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255"/>
        </w:trPr>
        <w:tc>
          <w:tcPr>
            <w:tcW w:w="24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allowance for loan losses</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59,893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62,514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58,131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61,203</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Allowance for unfunded commitments</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3,410</w:t>
            </w:r>
          </w:p>
        </w:tc>
        <w:tc>
          <w:tcPr>
            <w:tcW w:w="0" w:type="dxa"/>
            <w:vAlign w:val="bottom"/>
          </w:tcPr>
          <w:p>
            <w:pPr>
              <w:spacing w:after="0"/>
              <w:rPr>
                <w:sz w:val="1"/>
                <w:szCs w:val="1"/>
                <w:color w:val="auto"/>
              </w:rPr>
            </w:pPr>
          </w:p>
        </w:tc>
      </w:tr>
      <w:tr>
        <w:trPr>
          <w:trHeight w:val="242"/>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64,613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Loans Outstanding</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Individually</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Collectively</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6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55"/>
        </w:trPr>
        <w:tc>
          <w:tcPr>
            <w:tcW w:w="24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18,562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1,663,913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9,535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1,692,010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17,602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1,620,450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1,647,904</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10,748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1,886,317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36,803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1,933,868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16,584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1,757,525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38,311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1,812,420</w:t>
            </w: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estate</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1,268,815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1,271,243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1,276,318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1,278,347</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990,513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1,000,801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2,491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787,760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796,158</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724,664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4,731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729,506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556,672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564,614</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16,672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1,095,179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8,977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1,120,828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1,025,862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1,049,232</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667,286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668,987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692,122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694,010</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227,564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229,352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209,070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211,011</w:t>
            </w:r>
          </w:p>
        </w:tc>
        <w:tc>
          <w:tcPr>
            <w:tcW w:w="0" w:type="dxa"/>
            <w:vAlign w:val="bottom"/>
          </w:tcPr>
          <w:p>
            <w:pPr>
              <w:spacing w:after="0"/>
              <w:rPr>
                <w:sz w:val="1"/>
                <w:szCs w:val="1"/>
                <w:color w:val="auto"/>
              </w:rPr>
            </w:pPr>
          </w:p>
        </w:tc>
      </w:tr>
      <w:tr>
        <w:trPr>
          <w:trHeight w:val="275"/>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124,939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125,517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121,269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122,013</w:t>
            </w:r>
          </w:p>
        </w:tc>
        <w:tc>
          <w:tcPr>
            <w:tcW w:w="0" w:type="dxa"/>
            <w:vAlign w:val="bottom"/>
          </w:tcPr>
          <w:p>
            <w:pPr>
              <w:spacing w:after="0"/>
              <w:rPr>
                <w:sz w:val="1"/>
                <w:szCs w:val="1"/>
                <w:color w:val="auto"/>
              </w:rPr>
            </w:pPr>
          </w:p>
        </w:tc>
      </w:tr>
      <w:tr>
        <w:trPr>
          <w:trHeight w:val="265"/>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12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130,111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131,154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206,455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207,692</w:t>
            </w:r>
          </w:p>
        </w:tc>
        <w:tc>
          <w:tcPr>
            <w:tcW w:w="0" w:type="dxa"/>
            <w:vAlign w:val="bottom"/>
          </w:tcPr>
          <w:p>
            <w:pPr>
              <w:spacing w:after="0"/>
              <w:rPr>
                <w:sz w:val="1"/>
                <w:szCs w:val="1"/>
                <w:color w:val="auto"/>
              </w:rPr>
            </w:pPr>
          </w:p>
        </w:tc>
      </w:tr>
      <w:tr>
        <w:trPr>
          <w:trHeight w:val="242"/>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8,779,301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8,903,266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8,253,503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8,383,401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loan is considered impaired when, based on current events and circumstances, it is probable that all amounts due according to the original contractual terms of the loan will not be collected. On a quarterly basis, management individually evaluates certain impaired loans, including all non-PCI nonaccrual relationships with a balance of $500,000 or greater and all troubled debt restructurings (“TDRs”) for impairment. Impairment for collateral dependent loans within this population is measured based on the fair value of the collateral. If impairment is identified, the loan is generally charged down to the fair value of the underlying collateral, less selling costs. Impairment for non-collateral dependent TDRs within this population is measured based on discounted cash flows or the loan’s observable market price. Impairment identified using these methods would result in the establishment of a specific reserve.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of collateral less costs to sell at the time they are placed on nonaccrual status.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Commercial and consumer asset quality committees meet monthly to review charge-offs that have occurred during the previous month. Participants include the respective Chief Credit Officer, Senior Risk Officers, Senior Credit Officers, Regional Credit Managers, and Special Asset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loans individually evaluated for impairment by class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Allowance for</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Unpaid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Allowance for</w:t>
            </w:r>
          </w:p>
        </w:tc>
      </w:tr>
      <w:tr>
        <w:trPr>
          <w:trHeight w:val="203"/>
        </w:trPr>
        <w:tc>
          <w:tcPr>
            <w:tcW w:w="334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Unpaid Principal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Loan Losses</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Recorded</w:t>
            </w: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Loan Losses</w:t>
            </w:r>
          </w:p>
        </w:tc>
      </w:tr>
      <w:tr>
        <w:trPr>
          <w:trHeight w:val="212"/>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Allocated</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Allocated</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 no related allowance recorded: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9,225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with no related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77"/>
        </w:trPr>
        <w:tc>
          <w:tcPr>
            <w:tcW w:w="3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1,367</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2,312</w:t>
            </w:r>
          </w:p>
        </w:tc>
      </w:tr>
      <w:tr>
        <w:trPr>
          <w:trHeight w:val="244"/>
        </w:trPr>
        <w:tc>
          <w:tcPr>
            <w:tcW w:w="3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58,849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54,272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59,824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55,449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2,312</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and December 31, 2018, $2.12 million and $2.31 million, respectively, of specific reserves were allocated to customers whose loan terms have been modified in TDRs. As of September 30, 2019 and December 31, 2018, there were no commitments to lend additional amounts to customers with outstanding loans that are classified as TDRs.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when the borrower is unable to amortize the loan. Modified PCI loans are not accounted for as TDRs because they are not separated from the pools, and as such are not classified as impaired loans.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4" w:name="page25"/>
    <w:bookmarkEnd w:id="2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Loans modified under the terms of a TDR during the three and nine months ended September 30, 2019 and 2018 are presented in the following table. In addition, the table presents loans modified under the terms of a TDR that defaulted (became 90 days or more delinquent)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432"/>
              <w:spacing w:after="0"/>
              <w:rPr>
                <w:sz w:val="20"/>
                <w:szCs w:val="20"/>
                <w:color w:val="auto"/>
              </w:rPr>
            </w:pPr>
            <w:r>
              <w:rPr>
                <w:rFonts w:ascii="Times New Roman" w:cs="Times New Roman" w:eastAsia="Times New Roman" w:hAnsi="Times New Roman"/>
                <w:sz w:val="14"/>
                <w:szCs w:val="14"/>
                <w:b w:val="1"/>
                <w:bCs w:val="1"/>
                <w:color w:val="auto"/>
                <w:w w:val="98"/>
              </w:rPr>
              <w:t>New TDRs</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TDRs Modified Within the Previous</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Pre-modification</w:t>
            </w:r>
          </w:p>
        </w:tc>
        <w:tc>
          <w:tcPr>
            <w:tcW w:w="120" w:type="dxa"/>
            <w:vAlign w:val="bottom"/>
          </w:tcPr>
          <w:p>
            <w:pPr>
              <w:spacing w:after="0"/>
              <w:rPr>
                <w:sz w:val="12"/>
                <w:szCs w:val="12"/>
                <w:color w:val="auto"/>
              </w:rPr>
            </w:pPr>
          </w:p>
        </w:tc>
        <w:tc>
          <w:tcPr>
            <w:tcW w:w="3940" w:type="dxa"/>
            <w:vAlign w:val="bottom"/>
            <w:gridSpan w:val="11"/>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Post-Modification Outstanding Recorded Investment by Type of</w:t>
            </w:r>
          </w:p>
        </w:tc>
        <w:tc>
          <w:tcPr>
            <w:tcW w:w="21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Twelve Months That Have</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Modification</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Subsequently Defaulted</w:t>
            </w:r>
          </w:p>
        </w:tc>
        <w:tc>
          <w:tcPr>
            <w:tcW w:w="0" w:type="dxa"/>
            <w:vAlign w:val="bottom"/>
          </w:tcPr>
          <w:p>
            <w:pPr>
              <w:spacing w:after="0"/>
              <w:rPr>
                <w:sz w:val="1"/>
                <w:szCs w:val="1"/>
                <w:color w:val="auto"/>
              </w:rPr>
            </w:pPr>
          </w:p>
        </w:tc>
      </w:tr>
      <w:tr>
        <w:trPr>
          <w:trHeight w:val="118"/>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5"/>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Recorded</w:t>
            </w:r>
          </w:p>
        </w:tc>
        <w:tc>
          <w:tcPr>
            <w:tcW w:w="120" w:type="dxa"/>
            <w:vAlign w:val="bottom"/>
          </w:tcPr>
          <w:p>
            <w:pPr>
              <w:spacing w:after="0"/>
              <w:rPr>
                <w:sz w:val="13"/>
                <w:szCs w:val="13"/>
                <w:color w:val="auto"/>
              </w:rPr>
            </w:pPr>
          </w:p>
        </w:tc>
        <w:tc>
          <w:tcPr>
            <w:tcW w:w="94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w w:val="92"/>
              </w:rPr>
              <w:t>Rate</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tcPr>
          <w:p>
            <w:pPr>
              <w:jc w:val="right"/>
              <w:ind w:right="192"/>
              <w:spacing w:after="0" w:line="15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Contracts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Investment</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Reduction</w:t>
            </w:r>
          </w:p>
        </w:tc>
        <w:tc>
          <w:tcPr>
            <w:tcW w:w="1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Structure</w:t>
            </w:r>
          </w:p>
        </w:tc>
        <w:tc>
          <w:tcPr>
            <w:tcW w:w="26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6"/>
                <w:szCs w:val="16"/>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64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7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8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899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1,785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3,048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2,726</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3,037</w:t>
            </w:r>
          </w:p>
        </w:tc>
        <w:tc>
          <w:tcPr>
            <w:tcW w:w="1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3,647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3,647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4,256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1,276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1,869</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3,753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3,637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3,743</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commercial</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1,186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Home equity lines of credit</w:t>
            </w:r>
          </w:p>
        </w:tc>
        <w:tc>
          <w:tcPr>
            <w:tcW w:w="10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62"/>
        </w:trPr>
        <w:tc>
          <w:tcPr>
            <w:tcW w:w="30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263"/>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Consumer direct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71"/>
        </w:trPr>
        <w:tc>
          <w:tcPr>
            <w:tcW w:w="3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Indirect auto</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424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243"/>
        </w:trPr>
        <w:tc>
          <w:tcPr>
            <w:tcW w:w="3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loans</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6,747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6,088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6,618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1,973</w:t>
            </w:r>
          </w:p>
        </w:tc>
      </w:tr>
      <w:tr>
        <w:trPr>
          <w:trHeight w:val="20"/>
        </w:trPr>
        <w:tc>
          <w:tcPr>
            <w:tcW w:w="3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4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average balances of impaired loans and income recognized on impaired loans while they were considered impaired are presented below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Cash Basis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8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Cash Basis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Revenue</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 Revenue</w:t>
            </w:r>
          </w:p>
        </w:tc>
      </w:tr>
      <w:tr>
        <w:trPr>
          <w:trHeight w:val="212"/>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Received</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Average Balance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8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Received</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35,180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40,794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84"/>
        </w:trPr>
        <w:tc>
          <w:tcPr>
            <w:tcW w:w="33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54,721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58,470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780</w:t>
            </w:r>
          </w:p>
        </w:tc>
      </w:tr>
      <w:tr>
        <w:trPr>
          <w:trHeight w:val="271"/>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679</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36,222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1,617</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43,095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1,697</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r>
      <w:tr>
        <w:trPr>
          <w:trHeight w:val="244"/>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55,314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60,968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2,316</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or pool of loans. No PCI loans were classified as nonaccrual at September 30,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additional interest revenue that would have been earned if the loans classified as nonaccrual had performed in accordance with the original terms was approximately $338,000 and $213,000 for the three months ended September 30, 2019 and 2018, respectively, and $965,000 and $812,000 for the nine months ended September 30, 2019 and 2018, respectively.</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recorded investment in nonaccrual loans by loan class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18"/>
                <w:szCs w:val="18"/>
                <w:color w:val="auto"/>
              </w:rPr>
            </w:pPr>
          </w:p>
        </w:tc>
        <w:tc>
          <w:tcPr>
            <w:tcW w:w="35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6,421</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7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605</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2,677</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5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12,280</w:t>
            </w:r>
          </w:p>
        </w:tc>
        <w:tc>
          <w:tcPr>
            <w:tcW w:w="194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8,035</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2,360</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Consumer direct</w:t>
            </w:r>
          </w:p>
        </w:tc>
        <w:tc>
          <w:tcPr>
            <w:tcW w:w="180" w:type="dxa"/>
            <w:vAlign w:val="bottom"/>
          </w:tcPr>
          <w:p>
            <w:pPr>
              <w:spacing w:after="0"/>
              <w:rPr>
                <w:sz w:val="20"/>
                <w:szCs w:val="20"/>
                <w:color w:val="auto"/>
              </w:rPr>
            </w:pP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6"/>
                <w:szCs w:val="16"/>
                <w:color w:val="auto"/>
              </w:rPr>
              <w:t>Indirect auto</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44"/>
        </w:trPr>
        <w:tc>
          <w:tcPr>
            <w:tcW w:w="5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30,832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23,778</w:t>
            </w:r>
          </w:p>
        </w:tc>
        <w:tc>
          <w:tcPr>
            <w:tcW w:w="194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Excluding PCI loans, substantially all loans more than 90 days past due were on nonaccrual status at September 30, 2019 and December 31, 2018. The following table presents the aging of the recorded investment in past due loans by class of loans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1,673,169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1,692,010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1,886,635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1,933,868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1,262,148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1,271,243</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993,552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1,000,801</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721,167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729,506</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18,475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11,439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32,327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6,536,671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58,430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6,627,428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1,104,126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1,120,828</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668,987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229,352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124,396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125,517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129,984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131,154</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27,193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46,494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8,787,079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69,693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8,903,266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1,631,602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1,647,904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1,771,893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1,812,420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1,269,632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1,278,347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789,916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796,158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551,924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564,614</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12,973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4,438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6,014,967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62,420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6,099,443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1,030,883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1,049,232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688,520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694,010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211,011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120,777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122,013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205,986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207,692</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22,405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8,134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38,304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8,270,648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74,449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8,383,401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Watch.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Equipment Financing Receivables and Consumer Purpose Loans. </w:t>
      </w:r>
      <w:r>
        <w:rPr>
          <w:rFonts w:ascii="Times New Roman" w:cs="Times New Roman" w:eastAsia="Times New Roman" w:hAnsi="Times New Roman"/>
          <w:sz w:val="18"/>
          <w:szCs w:val="18"/>
          <w:color w:val="auto"/>
        </w:rPr>
        <w:t>United applies a pass / fail grading system to all equipment financing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Based on the most recent analysis performed, the risk category of loans by class of loans as of the dates indicated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Doubtful /</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0"/>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Pass</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Watch</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Substandard</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50"/>
        </w:trPr>
        <w:tc>
          <w:tcPr>
            <w:tcW w:w="44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As of September 30, 2019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49"/>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1,606,137</w:t>
            </w:r>
          </w:p>
        </w:tc>
        <w:tc>
          <w:tcPr>
            <w:tcW w:w="14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32,725</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43,613</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1,682,475</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1,844,176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25,451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27,438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1,897,065</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1,199,399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32,105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39,379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1,270,883</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963,742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22,393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7,665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993,800</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722,801</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1,974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724,775</w:t>
            </w:r>
          </w:p>
        </w:tc>
      </w:tr>
      <w:tr>
        <w:trPr>
          <w:trHeight w:val="257"/>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6,336,255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112,674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120,069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6,568,998</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1,099,233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12,618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1,111,851</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663,087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4,499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667,586</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228,029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228,847</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124,729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125,137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129,306</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1,848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131,154</w:t>
            </w:r>
          </w:p>
        </w:tc>
      </w:tr>
      <w:tr>
        <w:trPr>
          <w:trHeight w:val="250"/>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loans, excluding PCI loans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8,580,639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112,674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140,260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8,833,573</w:t>
            </w: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1,905</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5,262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2,368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9,535</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26,499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8,204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36,803</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86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360</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3,190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3,230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7,001</w:t>
            </w:r>
          </w:p>
        </w:tc>
      </w:tr>
      <w:tr>
        <w:trPr>
          <w:trHeight w:val="272"/>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4,715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4,731</w:t>
            </w:r>
          </w:p>
        </w:tc>
      </w:tr>
      <w:tr>
        <w:trPr>
          <w:trHeight w:val="249"/>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36,395</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7,938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58,430</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7,505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8,977</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1,361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1,401</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467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505</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354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380</w:t>
            </w:r>
          </w:p>
        </w:tc>
      </w:tr>
      <w:tr>
        <w:trPr>
          <w:trHeight w:val="272"/>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250"/>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46,082</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69,693</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95"/>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loan portfolio</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8,626,721</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126,771</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149,774</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8,903,266</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1,585,797</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16,651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35,604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1,638,052</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1,735,456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20,923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17,730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1,774,109</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1,247,206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8,430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22,303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1,277,939</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777,780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4,533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790,251</w:t>
            </w:r>
          </w:p>
        </w:tc>
      </w:tr>
      <w:tr>
        <w:trPr>
          <w:trHeight w:val="272"/>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553,995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2,677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556,672</w:t>
            </w:r>
          </w:p>
        </w:tc>
      </w:tr>
      <w:tr>
        <w:trPr>
          <w:trHeight w:val="249"/>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5,900,234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50,537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86,252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6,037,023</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1,028,660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11,422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1,040,082</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688,493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3,905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692,398</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209,744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210,277</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121,247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121,480</w:t>
            </w:r>
          </w:p>
        </w:tc>
      </w:tr>
      <w:tr>
        <w:trPr>
          <w:trHeight w:val="272"/>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205,632</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2,060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207,692</w:t>
            </w:r>
          </w:p>
        </w:tc>
      </w:tr>
      <w:tr>
        <w:trPr>
          <w:trHeight w:val="250"/>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loans, excluding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8,154,010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50,556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104,386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8,308,952</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3,352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3,726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9,852</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23,430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13,403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1,478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38,311</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266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408</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3,503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2,216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5,907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7,725</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7,942</w:t>
            </w:r>
          </w:p>
        </w:tc>
      </w:tr>
      <w:tr>
        <w:trPr>
          <w:trHeight w:val="257"/>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38,276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7,731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62,420</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6,914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2,236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9,150</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1,492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1,612</w:t>
            </w:r>
          </w:p>
        </w:tc>
      </w:tr>
      <w:tr>
        <w:trPr>
          <w:trHeight w:val="262"/>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3"/>
                <w:szCs w:val="13"/>
                <w:color w:val="auto"/>
              </w:rPr>
              <w:t>687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734</w:t>
            </w:r>
          </w:p>
        </w:tc>
      </w:tr>
      <w:tr>
        <w:trPr>
          <w:trHeight w:val="278"/>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493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533</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r>
      <w:tr>
        <w:trPr>
          <w:trHeight w:val="250"/>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PCI loans</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47,862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16,413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10,174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74,449</w:t>
            </w:r>
          </w:p>
        </w:tc>
      </w:tr>
    </w:tbl>
    <w:p>
      <w:pPr>
        <w:sectPr>
          <w:pgSz w:w="11900" w:h="16838" w:orient="portrait"/>
          <w:cols w:equalWidth="0" w:num="1">
            <w:col w:w="11420"/>
          </w:cols>
          <w:pgMar w:left="240" w:top="117" w:right="239" w:bottom="0" w:gutter="0" w:footer="0" w:header="0"/>
        </w:sectPr>
      </w:pPr>
    </w:p>
    <w:bookmarkStart w:id="30" w:name="page31"/>
    <w:bookmarkEnd w:id="30"/>
    <w:p>
      <w:pPr>
        <w:spacing w:after="0"/>
        <w:tabs>
          <w:tab w:leader="none" w:pos="4320" w:val="left"/>
          <w:tab w:leader="none" w:pos="4920" w:val="left"/>
          <w:tab w:leader="none" w:pos="5720" w:val="left"/>
          <w:tab w:leader="none" w:pos="6500" w:val="left"/>
          <w:tab w:leader="none" w:pos="7100" w:val="left"/>
          <w:tab w:leader="none" w:pos="7900" w:val="left"/>
          <w:tab w:leader="none" w:pos="8560" w:val="left"/>
          <w:tab w:leader="none" w:pos="9540" w:val="left"/>
          <w:tab w:leader="none" w:pos="9900" w:val="left"/>
          <w:tab w:leader="none" w:pos="1050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Total loan portfolio</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8,201,872</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66,969</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114,560</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8,383,401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39370</wp:posOffset>
            </wp:positionV>
            <wp:extent cx="4339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040"/>
          </w:cols>
          <w:pgMar w:left="520" w:top="3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520" w:top="306"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Reclassifications Out of Accumulated Other Comprehensive Income</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accumulated other comprehensive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Details about Accumulated Other</w:t>
            </w:r>
          </w:p>
        </w:tc>
        <w:tc>
          <w:tcPr>
            <w:tcW w:w="320" w:type="dxa"/>
            <w:vAlign w:val="bottom"/>
            <w:vMerge w:val="restart"/>
          </w:tcPr>
          <w:p>
            <w:pPr>
              <w:spacing w:after="0"/>
              <w:rPr>
                <w:sz w:val="18"/>
                <w:szCs w:val="18"/>
                <w:color w:val="auto"/>
              </w:rPr>
            </w:pPr>
          </w:p>
        </w:tc>
        <w:tc>
          <w:tcPr>
            <w:tcW w:w="2100" w:type="dxa"/>
            <w:vAlign w:val="bottom"/>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w:t>
            </w:r>
          </w:p>
        </w:tc>
        <w:tc>
          <w:tcPr>
            <w:tcW w:w="0" w:type="dxa"/>
            <w:vAlign w:val="bottom"/>
          </w:tcPr>
          <w:p>
            <w:pPr>
              <w:spacing w:after="0"/>
              <w:rPr>
                <w:sz w:val="1"/>
                <w:szCs w:val="1"/>
                <w:color w:val="auto"/>
              </w:rPr>
            </w:pPr>
          </w:p>
        </w:tc>
      </w:tr>
      <w:tr>
        <w:trPr>
          <w:trHeight w:val="33"/>
        </w:trPr>
        <w:tc>
          <w:tcPr>
            <w:tcW w:w="3000" w:type="dxa"/>
            <w:vAlign w:val="bottom"/>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Comprehensive Income Components</w:t>
            </w: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Where Net Income is Presented</w:t>
            </w:r>
          </w:p>
        </w:tc>
        <w:tc>
          <w:tcPr>
            <w:tcW w:w="0" w:type="dxa"/>
            <w:vAlign w:val="bottom"/>
          </w:tcPr>
          <w:p>
            <w:pPr>
              <w:spacing w:after="0"/>
              <w:rPr>
                <w:sz w:val="1"/>
                <w:szCs w:val="1"/>
                <w:color w:val="auto"/>
              </w:rPr>
            </w:pPr>
          </w:p>
        </w:tc>
      </w:tr>
      <w:tr>
        <w:trPr>
          <w:trHeight w:val="33"/>
        </w:trPr>
        <w:tc>
          <w:tcPr>
            <w:tcW w:w="450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Realized gains (losses) on available-for-sale securities: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0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10"/>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losses included in net income on available-for-sale securities transferred to held-to-maturity:</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 interest revenue</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benefit</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3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of tax</w:t>
            </w:r>
          </w:p>
        </w:tc>
        <w:tc>
          <w:tcPr>
            <w:tcW w:w="0" w:type="dxa"/>
            <w:vAlign w:val="bottom"/>
          </w:tcPr>
          <w:p>
            <w:pPr>
              <w:spacing w:after="0"/>
              <w:rPr>
                <w:sz w:val="1"/>
                <w:szCs w:val="1"/>
                <w:color w:val="auto"/>
              </w:rPr>
            </w:pPr>
          </w:p>
        </w:tc>
      </w:tr>
      <w:tr>
        <w:trPr>
          <w:trHeight w:val="271"/>
        </w:trPr>
        <w:tc>
          <w:tcPr>
            <w:tcW w:w="3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Amortization of losses included in net income on derivative financial instruments accounted for as cash flow hedges: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losses on de-</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r>
      <w:tr>
        <w:trPr>
          <w:trHeight w:val="223"/>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designated positions</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deposit interest expense</w:t>
            </w:r>
          </w:p>
        </w:tc>
      </w:tr>
      <w:tr>
        <w:trPr>
          <w:trHeight w:val="216"/>
        </w:trPr>
        <w:tc>
          <w:tcPr>
            <w:tcW w:w="3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losses on de-</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0"/>
        </w:trPr>
        <w:tc>
          <w:tcPr>
            <w:tcW w:w="3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designated positions</w:t>
            </w:r>
          </w:p>
        </w:tc>
        <w:tc>
          <w:tcPr>
            <w:tcW w:w="60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expense</w:t>
            </w:r>
          </w:p>
        </w:tc>
      </w:tr>
      <w:tr>
        <w:trPr>
          <w:trHeight w:val="33"/>
        </w:trPr>
        <w:tc>
          <w:tcPr>
            <w:tcW w:w="30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37"/>
        </w:trPr>
        <w:tc>
          <w:tcPr>
            <w:tcW w:w="3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33"/>
        </w:trPr>
        <w:tc>
          <w:tcPr>
            <w:tcW w:w="30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30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3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Reclassifications related to defined benefit pension plan activity: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Prior service cost</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33"/>
        </w:trPr>
        <w:tc>
          <w:tcPr>
            <w:tcW w:w="3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Actuarial losses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6"/>
        </w:trPr>
        <w:tc>
          <w:tcPr>
            <w:tcW w:w="3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defined benefit pension</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0"/>
        </w:trPr>
        <w:tc>
          <w:tcPr>
            <w:tcW w:w="30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plan</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Merger-related and other charges</w:t>
            </w:r>
          </w:p>
        </w:tc>
      </w:tr>
      <w:tr>
        <w:trPr>
          <w:trHeight w:val="33"/>
        </w:trPr>
        <w:tc>
          <w:tcPr>
            <w:tcW w:w="30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37"/>
        </w:trPr>
        <w:tc>
          <w:tcPr>
            <w:tcW w:w="3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33"/>
        </w:trPr>
        <w:tc>
          <w:tcPr>
            <w:tcW w:w="30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71"/>
        </w:trPr>
        <w:tc>
          <w:tcPr>
            <w:tcW w:w="30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shown above in parentheses reduce earnings.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48,362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43,682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136,709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120,974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and undistributed earnings allocated to unvested shares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48,011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43,381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135,727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120,124</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79,663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79,806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79,714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79,588</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84"/>
        </w:trPr>
        <w:tc>
          <w:tcPr>
            <w:tcW w:w="5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79,667</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79,818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79,718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79,598</w:t>
            </w:r>
          </w:p>
        </w:tc>
      </w:tr>
      <w:tr>
        <w:trPr>
          <w:trHeight w:val="271"/>
        </w:trPr>
        <w:tc>
          <w:tcPr>
            <w:tcW w:w="5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2019, United excluded 1,000 potentially dilutive shares of common stock issuable upon exercise of stock options with a weighted average exercise price of $30.45 from the computation of diluted earnings per share because of their antidilutive effect.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2018, United had potentially dilutive warrants outstanding to purchase 219,909 shares of common stock at $61.40 per share. For the three and nine months ended September 30, 2018, there were also 33,283 and 32,283, respectively, of potentially dilutive shares of common stock issuable upon exercise of stock options that were excluded from the computation of diluted earnings per share because of their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Objective of Using Derivatives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7"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The table below presents the fair value of derivative financial instruments as of the dates indicated as well as their classification on the consolidated balance sheets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hedge of brokered CDs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r>
      <w:tr>
        <w:trPr>
          <w:trHeight w:val="217"/>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37,081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5,216</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7,620</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10,651</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9,661</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Risk participations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13,339</w:t>
            </w:r>
          </w:p>
        </w:tc>
      </w:tr>
      <w:tr>
        <w:trPr>
          <w:trHeight w:val="237"/>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De-designated hedges</w:t>
            </w: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derivative positions are between United and certain commercial loan customers with offsetting positions to dealers under a back-to-back swap/cap program. In addition, to accommodate customers, United occasionally enters into credit risk participation agreements with counterparty banks to accept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 Collateral used to support the credit risk for the underlying lending relationship is also available to offset the risk of credit risk participations and customer derivative positions.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statements of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7"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Hedges of Interest Rate Risk</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2019 and December 31, 2018 United did not have any active cash flow hedges. Changes in balance sheet composition and interest rate risk position made cash flow hedges not currently necessary as protection against rising interest rates.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During the second quarter of 2019, United amortized the remaining balance of losses on terminated hedging positions from other comprehensive income, which was the only effect of cash flow hedges on the consolidated statements of income for the nine months ended September 30, 2019 and 2018. See Note 7 for further detail.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Hedges of Interest Rate Risk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At September 30, 2019, United had four interest rate swaps with a notional amount of $37.9 million that were designated as fair value hedges of interest rate risk and were pay-variable / receive-fixed swaps hedging the changes in the fair value of fixed-rate brokered time deposits resulting from changes in interest rates. As of September 30, 2019, the hedged brokered time deposits, which were included in brokered deposits on the consolidated balance sheet, had a carrying value of $36.3 million, which included cumulative fair value hedging adjustments of $480,000. At December 31, 2018, United had four interest rate swaps with an aggregate notional amount of $39.0 million that were designated as fair value hedges of interest rate risk and were pay-variable / receive-fixed, hedging the changes in the fair value of fixed-rate brokered time deposits resulting from changes in interest rates.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United also recognized a net increase in interest expense of $97,000 and $300,000, respectively, for the three and nine months ended September 30, 2019 and a net increase in interest expense of $74,000 and $154,000, respectively, for the three and nine months ended September 30, 2018 related to fair value hedges of brokered time deposits, which includes net settlements on the derivatives. United recognized an increase in interest revenue on securities during the nine months ended September 30, 2018 of $17,000 related to fair value hedges of corporate bonds which were terminated during the first quarter of 2018.</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fair value hedging relationships on the consolidated statement of income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w:t>
            </w: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Recognized in Income</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Recognized in Income</w:t>
            </w: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vMerge w:val="restart"/>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w w:val="99"/>
              </w:rPr>
              <w:t>on Derivative</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00" w:type="dxa"/>
            <w:vAlign w:val="bottom"/>
            <w:gridSpan w:val="4"/>
            <w:vMerge w:val="restart"/>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on Hedged Item</w:t>
            </w:r>
          </w:p>
        </w:tc>
        <w:tc>
          <w:tcPr>
            <w:tcW w:w="0" w:type="dxa"/>
            <w:vAlign w:val="bottom"/>
          </w:tcPr>
          <w:p>
            <w:pPr>
              <w:spacing w:after="0"/>
              <w:rPr>
                <w:sz w:val="1"/>
                <w:szCs w:val="1"/>
                <w:color w:val="auto"/>
              </w:rPr>
            </w:pPr>
          </w:p>
        </w:tc>
      </w:tr>
      <w:tr>
        <w:trPr>
          <w:trHeight w:val="131"/>
        </w:trPr>
        <w:tc>
          <w:tcPr>
            <w:tcW w:w="3460" w:type="dxa"/>
            <w:vAlign w:val="bottom"/>
          </w:tcPr>
          <w:p>
            <w:pPr>
              <w:spacing w:after="0"/>
              <w:rPr>
                <w:sz w:val="11"/>
                <w:szCs w:val="11"/>
                <w:color w:val="auto"/>
              </w:rPr>
            </w:pPr>
          </w:p>
        </w:tc>
        <w:tc>
          <w:tcPr>
            <w:tcW w:w="2620" w:type="dxa"/>
            <w:vAlign w:val="bottom"/>
            <w:gridSpan w:val="2"/>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rPr>
              <w:t>(Loss) Recognized</w:t>
            </w:r>
          </w:p>
        </w:tc>
        <w:tc>
          <w:tcPr>
            <w:tcW w:w="3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Income on Derivative</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hedges of brokered CDs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hedges of brokered CDs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hedges of corporate bonds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 (Loss)</w:t>
            </w:r>
          </w:p>
        </w:tc>
        <w:tc>
          <w:tcPr>
            <w:tcW w:w="180" w:type="dxa"/>
            <w:vAlign w:val="bottom"/>
          </w:tcPr>
          <w:p>
            <w:pPr>
              <w:spacing w:after="0"/>
              <w:rPr>
                <w:sz w:val="17"/>
                <w:szCs w:val="17"/>
                <w:color w:val="auto"/>
              </w:rPr>
            </w:pPr>
          </w:p>
        </w:tc>
        <w:tc>
          <w:tcPr>
            <w:tcW w:w="2880" w:type="dxa"/>
            <w:vAlign w:val="bottom"/>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Amount of Gain (Loss) Recognized in</w:t>
            </w: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Income on Derivative</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274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Recognized in Income on</w:t>
            </w:r>
          </w:p>
        </w:tc>
        <w:tc>
          <w:tcPr>
            <w:tcW w:w="180" w:type="dxa"/>
            <w:vAlign w:val="bottom"/>
          </w:tcPr>
          <w:p>
            <w:pPr>
              <w:spacing w:after="0"/>
              <w:rPr>
                <w:sz w:val="11"/>
                <w:szCs w:val="11"/>
                <w:color w:val="auto"/>
              </w:rPr>
            </w:pPr>
          </w:p>
        </w:tc>
        <w:tc>
          <w:tcPr>
            <w:tcW w:w="2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0" w:type="dxa"/>
            <w:vAlign w:val="bottom"/>
          </w:tcPr>
          <w:p>
            <w:pPr>
              <w:spacing w:after="0"/>
              <w:rPr>
                <w:sz w:val="20"/>
                <w:szCs w:val="20"/>
                <w:color w:val="auto"/>
              </w:rPr>
            </w:pP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De-designated hedges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 participations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rate caps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De-designated hedges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Mortgage loan revenue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Risk participations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3,813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As of September 30, 2019, collateral totaling $16.3 million was pledged toward derivatives in a liability position.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have an exercise price no less than the fair market value of the underlying stock at the date of grant. The general terms of the plan include a vesting period (usually four years, although certain acquisition-related performance grants may have periods of less than four years and up to ten years) with an exercisable period not to exceed ten years. Certain options, restricted stock and restricted stock unit awards provide for accelerated vesting if there is a change in control (as defined in the plan). Through September 30, 2019, incentive stock options, nonqualified stock options, restricted stock and restricted stock unit awards, base salary stock grants and performance share awards have been granted under the plan. As of September 30, 2019, 1.31 million additional awards remained available for grant under the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stock option activity for the first nine months of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2"/>
        </w:trPr>
        <w:tc>
          <w:tcPr>
            <w:tcW w:w="5160" w:type="dxa"/>
            <w:vAlign w:val="bottom"/>
            <w:gridSpan w:val="2"/>
          </w:tcPr>
          <w:p>
            <w:pPr>
              <w:ind w:left="2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December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September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Exercisable at September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model. No stock options were granted during the nine months ended September 30, 2019 and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recognized $18,000 in compensation expense related to stock options during the nine months ended September 30, 2018, and no compensation expense related to stock options in the same period of 2019. The amount of compensation expense was determined based on the fair value of the options at the time of grant, multiplied by the number of options granted that were expected to vest, which was then amortized over the vesting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units activity for the first nine months of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2"/>
        </w:trPr>
        <w:tc>
          <w:tcPr>
            <w:tcW w:w="5160" w:type="dxa"/>
            <w:vAlign w:val="bottom"/>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Restricted Stock Unit Awards</w:t>
            </w:r>
          </w:p>
        </w:tc>
        <w:tc>
          <w:tcPr>
            <w:tcW w:w="15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7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2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December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759,746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301,301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4,589</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September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856,116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24,271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Historically, compensation expense for restricted stock units has been based on the market value of United’s common stock on the date of grant. During the third quarter of 2019, as it had during the third quarter 2018, in addition to the time-based restricted stock unit awards, United’s Board of Directors approved performance-based restricted stock units. The performance-based restricted stock awards granted during the third quarter 2019 will vest based on achieving, during the applicable calendar-year performance periods from 2020 through 2023, certain performance and market targets relative to a bank peer group. Achieving target performance on both the performance and market targets for all performance periods will result in the issuance of 47,642 shares, although additional shares may be issued if more stringent performance and market hurdles are met. The per share fair market value of these performance-based restricted stock unit award of $26.32 was estimated using the Monte Carlo Simulation valuation model. United recognizes the impact of forfeitures as they occur. The value of restricted stock unit awards is amortized into expense over the service period. For the nine months ended September 30, 2019 and 2018, expense of $7.40 million and $3.79 million, respectively, was recognized related to restricted stock unit awards granted to United employees. Of the expense related to restricted stock unit awards during the nine months ended September 30,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expense of $5.28 million for the nine months ended September 30, 2019 was recognized in salaries and employee benefits expense, as was the entire amount for the nine months ended September 30, 2018. In addition, for the nine months ended September 30, 2019 and 2018, $283,000 and $264,000, respectively, was recognized in other operating expense for restricted stock unit awards granted to members of United’s Board of Directors.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$1.96 million and $1.04 million was included in the determination of income tax expense for the nine months ended September 30, 2019 and 2018, respectively. As of September 30, 2019, there was $16.5 million of unrecognized expense related to non-vested restricted stock unit awards granted under the plan. That cost is expected to be recognized over a weighted-average period of 2.6 years. As of September 30, 2019, there was no unrecognized expense related to non-vested stock options granted under the plan.</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of 2018, United’s Board of Directors approved an increase and extension of the ongoing common stock repurchase program, authorizing $50 million of repurchases of United’s outstanding common stock. The program is scheduled to expire on the earlier of United’s repurchase of its common stock having an aggregate purchase price of $50 million or December 31, 2019. Under the program, shares may be repurchased in the open market or in privately negotiated transactions, from time to time, subject to market conditions. During the three and nine months ended September 30, 2019, 195,443 and 500,495 shares, respectively, were repurchased under the program. During the nine months ended September 30, 2018, no shares were repurchased under the program. As of September 30, 2019, United had remaining authorization to repurchase up to $37.0 million of outstanding common stock under the program. In November of 2019, the Board of Directors authorized an updated repurchase program for $50 million of its common shares that may be acquired through December 31,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three and nine months ended September 30, 2019 was $14.0 million and $40.1 million, respectively, which represented effective tax rates of 22.4% and 22.7%, respectively, for those periods. The income tax provision for the three and nine months ended September 30, 2018 was $13.1 million and $37.4 million, respectively, which represented effective tax rates of 23.1% and 23.6%, respectively, for those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and December 31, 2018, United maintained a valuation allowance on its net deferred tax asset of $3.37 million.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2016. Although it is not possible to know the ultimate outcome of future examinations, management believes that the liability recorded for uncertain tax positions is appropriate. At September 30, 2019 and December 31, 2018, unrecognized income tax benefits related to uncertain tax positions totaled $3.26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20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SBA/USDA Loans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recognizes servicing rights upon the sale of SBA/USDA loans sold with servicing retained. Management has elected to carry this asset at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nature of the asset, the key valuation inputs are unobservable, and management classifies this asset as Level 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Residential Mortgage Servicing Rights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mortgage loans sold with servicing retained. Management has elected to carry this asset at fair value. Given the nature of the asset, the key valuation inputs are unobservable, and management classifies this asset as Level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the fair value of pension plan assets, see Note 17 in the 2018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154,632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154,632</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Government agencies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3,175</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3,175</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227,325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227,325</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1,256,633</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1,256,633</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322,465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322,465</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200,197</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201,195</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106,621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106,621</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1,836</w:t>
            </w: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54,625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54,625</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7,668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7,668</w:t>
            </w: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7,246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7,246</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11,089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11,089</w:t>
            </w:r>
          </w:p>
        </w:tc>
      </w:tr>
      <w:tr>
        <w:trPr>
          <w:trHeight w:val="270"/>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37,512</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43,755</w:t>
            </w:r>
          </w:p>
        </w:tc>
      </w:tr>
      <w:tr>
        <w:trPr>
          <w:trHeight w:val="282"/>
        </w:trPr>
        <w:tc>
          <w:tcPr>
            <w:tcW w:w="51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164,136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2,208,553</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8"/>
              </w:rPr>
              <w:t>25,576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2,398,265</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7,680</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9,531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16,244</w:t>
            </w:r>
          </w:p>
        </w:tc>
      </w:tr>
      <w:tr>
        <w:trPr>
          <w:trHeight w:val="242"/>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23,924</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1"/>
        </w:trPr>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Debt securities available for sale</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149,307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149,307</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Agencies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25,553</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25,553</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233,941</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233,941</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1,445,910</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1,445,910</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391,917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391,917</w:t>
            </w:r>
          </w:p>
        </w:tc>
      </w:tr>
      <w:tr>
        <w:trPr>
          <w:trHeight w:val="265"/>
        </w:trPr>
        <w:tc>
          <w:tcPr>
            <w:tcW w:w="51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198,168</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199,163</w:t>
            </w:r>
          </w:p>
        </w:tc>
      </w:tr>
      <w:tr>
        <w:trPr>
          <w:trHeight w:val="275"/>
        </w:trPr>
        <w:tc>
          <w:tcPr>
            <w:tcW w:w="51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182,676</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182,676</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18,935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18,935</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6,404</w:t>
            </w: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7,510</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11,877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11,877</w:t>
            </w:r>
          </w:p>
        </w:tc>
      </w:tr>
      <w:tr>
        <w:trPr>
          <w:trHeight w:val="270"/>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12,864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8"/>
              </w:rPr>
              <w:t>11,841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24,705</w:t>
            </w:r>
          </w:p>
        </w:tc>
      </w:tr>
      <w:tr>
        <w:trPr>
          <w:trHeight w:val="282"/>
        </w:trPr>
        <w:tc>
          <w:tcPr>
            <w:tcW w:w="516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156,787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2,509,964</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98"/>
              </w:rPr>
              <w:t>32,223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2,698,974</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5"/>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5"/>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6,404</w:t>
            </w:r>
          </w:p>
        </w:tc>
      </w:tr>
      <w:tr>
        <w:trPr>
          <w:trHeight w:val="265"/>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10,701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8"/>
              </w:rPr>
              <w:t>15,732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26,433</w:t>
            </w:r>
          </w:p>
        </w:tc>
      </w:tr>
      <w:tr>
        <w:trPr>
          <w:trHeight w:val="242"/>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8"/>
              </w:rPr>
              <w:t>15,732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32,837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549"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549"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6"/>
              </w:rPr>
              <w:t>Servicing</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Residential</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6"/>
              </w:rPr>
              <w:t>Servicing</w:t>
            </w: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Residential</w:t>
            </w:r>
          </w:p>
        </w:tc>
        <w:tc>
          <w:tcPr>
            <w:tcW w:w="140" w:type="dxa"/>
            <w:vAlign w:val="bottom"/>
          </w:tcPr>
          <w:p>
            <w:pPr>
              <w:spacing w:after="0"/>
              <w:rPr>
                <w:sz w:val="13"/>
                <w:szCs w:val="13"/>
                <w:color w:val="auto"/>
              </w:rPr>
            </w:pPr>
          </w:p>
        </w:tc>
        <w:tc>
          <w:tcPr>
            <w:tcW w:w="760" w:type="dxa"/>
            <w:vAlign w:val="bottom"/>
          </w:tcPr>
          <w:p>
            <w:pPr>
              <w:jc w:val="center"/>
              <w:ind w:right="52"/>
              <w:spacing w:after="0" w:line="159"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for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mortgage</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for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mortgage</w:t>
            </w:r>
          </w:p>
        </w:tc>
        <w:tc>
          <w:tcPr>
            <w:tcW w:w="140" w:type="dxa"/>
            <w:vAlign w:val="bottom"/>
          </w:tcPr>
          <w:p>
            <w:pPr>
              <w:spacing w:after="0"/>
              <w:rPr>
                <w:sz w:val="12"/>
                <w:szCs w:val="12"/>
                <w:color w:val="auto"/>
              </w:rPr>
            </w:pPr>
          </w:p>
        </w:tc>
        <w:tc>
          <w:tcPr>
            <w:tcW w:w="7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SBA/USDA</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servicing</w:t>
            </w:r>
          </w:p>
        </w:tc>
        <w:tc>
          <w:tcPr>
            <w:tcW w:w="10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SBA/USDA</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servicing</w:t>
            </w: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Available-for-</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loans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loans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0" w:type="dxa"/>
            <w:vAlign w:val="bottom"/>
          </w:tcPr>
          <w:p>
            <w:pPr>
              <w:spacing w:after="0"/>
              <w:rPr>
                <w:sz w:val="1"/>
                <w:szCs w:val="1"/>
                <w:color w:val="auto"/>
              </w:rPr>
            </w:pPr>
          </w:p>
        </w:tc>
      </w:tr>
      <w:tr>
        <w:trPr>
          <w:trHeight w:val="250"/>
        </w:trPr>
        <w:tc>
          <w:tcPr>
            <w:tcW w:w="2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beginning</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7,744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9,012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7,380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10,679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14,510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18,366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7,509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10,801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990</w:t>
            </w:r>
          </w:p>
        </w:tc>
        <w:tc>
          <w:tcPr>
            <w:tcW w:w="0" w:type="dxa"/>
            <w:vAlign w:val="bottom"/>
          </w:tcPr>
          <w:p>
            <w:pPr>
              <w:spacing w:after="0"/>
              <w:rPr>
                <w:sz w:val="1"/>
                <w:szCs w:val="1"/>
                <w:color w:val="auto"/>
              </w:rPr>
            </w:pPr>
          </w:p>
        </w:tc>
      </w:tr>
      <w:tr>
        <w:trPr>
          <w:trHeight w:val="263"/>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included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 earnings - fair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value adjustments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1260" w:type="dxa"/>
            <w:vAlign w:val="bottom"/>
          </w:tcPr>
          <w:p>
            <w:pPr>
              <w:ind w:left="40"/>
              <w:spacing w:after="0" w:line="143" w:lineRule="exact"/>
              <w:rPr>
                <w:sz w:val="20"/>
                <w:szCs w:val="20"/>
                <w:color w:val="auto"/>
              </w:rPr>
            </w:pPr>
            <w:r>
              <w:rPr>
                <w:rFonts w:ascii="Times New Roman" w:cs="Times New Roman" w:eastAsia="Times New Roman" w:hAnsi="Times New Roman"/>
                <w:sz w:val="14"/>
                <w:szCs w:val="14"/>
                <w:color w:val="auto"/>
              </w:rPr>
              <w:t>Balance at end of</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6,243</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6,713</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7,246</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11,089</w:t>
            </w:r>
          </w:p>
        </w:tc>
        <w:tc>
          <w:tcPr>
            <w:tcW w:w="120" w:type="dxa"/>
            <w:vAlign w:val="bottom"/>
          </w:tcPr>
          <w:p>
            <w:pPr>
              <w:spacing w:after="0"/>
              <w:rPr>
                <w:sz w:val="12"/>
                <w:szCs w:val="12"/>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998</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14,416</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18,745</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215"/>
        </w:trPr>
        <w:tc>
          <w:tcPr>
            <w:tcW w:w="1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9"/>
              </w:rPr>
              <w:t>beginning of period $</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15,732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7,510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11,877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16,744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7,740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3"/>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1,266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3,880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3,505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settlements</w:t>
            </w:r>
          </w:p>
        </w:tc>
        <w:tc>
          <w:tcPr>
            <w:tcW w:w="14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63"/>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included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 earnings - fair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value adjustments</w:t>
            </w:r>
          </w:p>
        </w:tc>
        <w:tc>
          <w:tcPr>
            <w:tcW w:w="14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(3,949)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3,348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260" w:type="dxa"/>
            <w:vAlign w:val="bottom"/>
            <w:tcBorders>
              <w:top w:val="single" w:sz="8" w:color="CCEEFF"/>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Balance at end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6,243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6,713</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7,246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11,089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998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14,416</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18,745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7,498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12,031</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75"/>
        </w:trPr>
        <w:tc>
          <w:tcPr>
            <w:tcW w:w="1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period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presents quantitative information about Level 3 fair value measurements for fair value on a recurring basis as of the dates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b w:val="1"/>
          <w:bCs w:val="1"/>
          <w:color w:val="auto"/>
        </w:rPr>
        <w:t>Level 3 Assets and Liabilities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34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86"/>
        </w:trPr>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6"/>
                <w:szCs w:val="16"/>
                <w:color w:val="auto"/>
              </w:rPr>
            </w:pPr>
          </w:p>
        </w:tc>
        <w:tc>
          <w:tcPr>
            <w:tcW w:w="25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-8255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sectPr>
          <w:pgSz w:w="11900" w:h="16838" w:orient="portrait"/>
          <w:cols w:equalWidth="0" w:num="2">
            <w:col w:w="2000" w:space="420"/>
            <w:col w:w="9000"/>
          </w:cols>
          <w:pgMar w:left="240" w:top="117"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2"/>
          <w:szCs w:val="12"/>
          <w:color w:val="auto"/>
        </w:rPr>
        <w:t>Servicing rights for SBA/USDA loans</w:t>
      </w:r>
    </w:p>
    <w:p>
      <w:pPr>
        <w:spacing w:after="0" w:line="3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Residential mortgage servicing rights</w:t>
      </w: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Corporate bonds</w:t>
      </w:r>
    </w:p>
    <w:p>
      <w:pPr>
        <w:spacing w:after="0" w:line="20" w:lineRule="exact"/>
        <w:rPr>
          <w:sz w:val="20"/>
          <w:szCs w:val="20"/>
          <w:color w:val="auto"/>
        </w:rPr>
      </w:pPr>
      <w:r>
        <w:rPr>
          <w:sz w:val="20"/>
          <w:szCs w:val="20"/>
          <w:color w:val="auto"/>
        </w:rPr>
        <w:br w:type="column"/>
      </w:r>
    </w:p>
    <w:p>
      <w:pPr>
        <w:spacing w:after="0"/>
        <w:tabs>
          <w:tab w:leader="none" w:pos="660" w:val="left"/>
          <w:tab w:leader="none" w:pos="1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7,246</w:t>
      </w:r>
      <w:r>
        <w:rPr>
          <w:sz w:val="20"/>
          <w:szCs w:val="20"/>
          <w:color w:val="auto"/>
        </w:rPr>
        <w:tab/>
      </w:r>
      <w:r>
        <w:rPr>
          <w:rFonts w:ascii="Times New Roman" w:cs="Times New Roman" w:eastAsia="Times New Roman" w:hAnsi="Times New Roman"/>
          <w:sz w:val="12"/>
          <w:szCs w:val="12"/>
          <w:color w:val="auto"/>
        </w:rPr>
        <w:t>$</w:t>
      </w:r>
    </w:p>
    <w:p>
      <w:pPr>
        <w:spacing w:after="0" w:line="3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11,089</w:t>
      </w:r>
    </w:p>
    <w:p>
      <w:pPr>
        <w:spacing w:after="0" w:line="200" w:lineRule="exact"/>
        <w:rPr>
          <w:sz w:val="20"/>
          <w:szCs w:val="20"/>
          <w:color w:val="auto"/>
        </w:rPr>
      </w:pPr>
    </w:p>
    <w:p>
      <w:pPr>
        <w:spacing w:after="0" w:line="3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998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7,510</w:t>
            </w:r>
          </w:p>
        </w:tc>
        <w:tc>
          <w:tcPr>
            <w:tcW w:w="1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257"/>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Prepayment rate</w:t>
            </w:r>
          </w:p>
        </w:tc>
        <w:tc>
          <w:tcPr>
            <w:tcW w:w="0" w:type="dxa"/>
            <w:vAlign w:val="bottom"/>
          </w:tcPr>
          <w:p>
            <w:pPr>
              <w:spacing w:after="0"/>
              <w:rPr>
                <w:sz w:val="1"/>
                <w:szCs w:val="1"/>
                <w:color w:val="auto"/>
              </w:rPr>
            </w:pPr>
          </w:p>
        </w:tc>
      </w:tr>
      <w:tr>
        <w:trPr>
          <w:trHeight w:val="270"/>
        </w:trPr>
        <w:tc>
          <w:tcPr>
            <w:tcW w:w="4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8"/>
              </w:rPr>
              <w:t>11,877</w:t>
            </w:r>
          </w:p>
        </w:tc>
        <w:tc>
          <w:tcPr>
            <w:tcW w:w="1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Prepayment rate</w:t>
            </w: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Multiple factors, including but not limited</w:t>
            </w:r>
          </w:p>
        </w:tc>
        <w:tc>
          <w:tcPr>
            <w:tcW w:w="0" w:type="dxa"/>
            <w:vAlign w:val="bottom"/>
          </w:tcPr>
          <w:p>
            <w:pPr>
              <w:spacing w:after="0"/>
              <w:rPr>
                <w:sz w:val="1"/>
                <w:szCs w:val="1"/>
                <w:color w:val="auto"/>
              </w:rPr>
            </w:pPr>
          </w:p>
        </w:tc>
      </w:tr>
      <w:tr>
        <w:trPr>
          <w:trHeight w:val="149"/>
        </w:trPr>
        <w:tc>
          <w:tcPr>
            <w:tcW w:w="4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995</w:t>
            </w:r>
          </w:p>
        </w:tc>
        <w:tc>
          <w:tcPr>
            <w:tcW w:w="41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Indicative bid provided by a   to, current operations, financial condition,</w:t>
            </w:r>
          </w:p>
        </w:tc>
        <w:tc>
          <w:tcPr>
            <w:tcW w:w="0" w:type="dxa"/>
            <w:vAlign w:val="bottom"/>
          </w:tcPr>
          <w:p>
            <w:pPr>
              <w:spacing w:after="0"/>
              <w:rPr>
                <w:sz w:val="1"/>
                <w:szCs w:val="1"/>
                <w:color w:val="auto"/>
              </w:rPr>
            </w:pPr>
          </w:p>
        </w:tc>
      </w:tr>
      <w:tr>
        <w:trPr>
          <w:trHeight w:val="93"/>
        </w:trPr>
        <w:tc>
          <w:tcPr>
            <w:tcW w:w="480" w:type="dxa"/>
            <w:vAlign w:val="bottom"/>
            <w:vMerge w:val="continue"/>
          </w:tcPr>
          <w:p>
            <w:pPr>
              <w:spacing w:after="0"/>
              <w:rPr>
                <w:sz w:val="8"/>
                <w:szCs w:val="8"/>
                <w:color w:val="auto"/>
              </w:rPr>
            </w:pPr>
          </w:p>
        </w:tc>
        <w:tc>
          <w:tcPr>
            <w:tcW w:w="1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broker</w:t>
            </w: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w w:val="95"/>
              </w:rPr>
              <w:t>cash flows, and recently executed financing</w:t>
            </w:r>
          </w:p>
        </w:tc>
        <w:tc>
          <w:tcPr>
            <w:tcW w:w="0" w:type="dxa"/>
            <w:vAlign w:val="bottom"/>
          </w:tcPr>
          <w:p>
            <w:pPr>
              <w:spacing w:after="0"/>
              <w:rPr>
                <w:sz w:val="1"/>
                <w:szCs w:val="1"/>
                <w:color w:val="auto"/>
              </w:rPr>
            </w:pPr>
          </w:p>
        </w:tc>
      </w:tr>
      <w:tr>
        <w:trPr>
          <w:trHeight w:val="69"/>
        </w:trPr>
        <w:tc>
          <w:tcPr>
            <w:tcW w:w="48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-643255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-300355</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2300"/>
        <w:spacing w:after="0"/>
        <w:rPr>
          <w:sz w:val="20"/>
          <w:szCs w:val="20"/>
          <w:color w:val="auto"/>
        </w:rPr>
      </w:pPr>
      <w:r>
        <w:rPr>
          <w:rFonts w:ascii="Times New Roman" w:cs="Times New Roman" w:eastAsia="Times New Roman" w:hAnsi="Times New Roman"/>
          <w:sz w:val="14"/>
          <w:szCs w:val="14"/>
          <w:color w:val="auto"/>
        </w:rPr>
        <w:t>transactions related to the company</w:t>
      </w:r>
    </w:p>
    <w:p>
      <w:pPr>
        <w:spacing w:after="0" w:line="20" w:lineRule="exact"/>
        <w:rPr>
          <w:sz w:val="20"/>
          <w:szCs w:val="20"/>
          <w:color w:val="auto"/>
        </w:rPr>
      </w:pPr>
      <w:r>
        <w:rPr>
          <w:sz w:val="20"/>
          <w:szCs w:val="20"/>
          <w:color w:val="auto"/>
        </w:rPr>
        <w:br w:type="column"/>
      </w: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11.8%</w:t>
      </w:r>
      <w:r>
        <w:rPr>
          <w:sz w:val="20"/>
          <w:szCs w:val="20"/>
          <w:color w:val="auto"/>
        </w:rPr>
        <w:tab/>
      </w:r>
      <w:r>
        <w:rPr>
          <w:rFonts w:ascii="Times New Roman" w:cs="Times New Roman" w:eastAsia="Times New Roman" w:hAnsi="Times New Roman"/>
          <w:sz w:val="12"/>
          <w:szCs w:val="12"/>
          <w:color w:val="auto"/>
        </w:rPr>
        <w:t>14.5%</w:t>
      </w:r>
    </w:p>
    <w:p>
      <w:pPr>
        <w:spacing w:after="0" w:line="9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15.3%</w:t>
      </w:r>
      <w:r>
        <w:rPr>
          <w:sz w:val="20"/>
          <w:szCs w:val="20"/>
          <w:color w:val="auto"/>
        </w:rPr>
        <w:tab/>
      </w:r>
      <w:r>
        <w:rPr>
          <w:rFonts w:ascii="Times New Roman" w:cs="Times New Roman" w:eastAsia="Times New Roman" w:hAnsi="Times New Roman"/>
          <w:sz w:val="12"/>
          <w:szCs w:val="12"/>
          <w:color w:val="auto"/>
        </w:rPr>
        <w:t>12.1%</w:t>
      </w:r>
    </w:p>
    <w:p>
      <w:pPr>
        <w:spacing w:after="0" w:line="10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10.0%</w:t>
      </w:r>
      <w:r>
        <w:rPr>
          <w:sz w:val="20"/>
          <w:szCs w:val="20"/>
          <w:color w:val="auto"/>
        </w:rPr>
        <w:tab/>
      </w:r>
      <w:r>
        <w:rPr>
          <w:rFonts w:ascii="Times New Roman" w:cs="Times New Roman" w:eastAsia="Times New Roman" w:hAnsi="Times New Roman"/>
          <w:sz w:val="12"/>
          <w:szCs w:val="12"/>
          <w:color w:val="auto"/>
        </w:rPr>
        <w:t>10.0%</w:t>
      </w:r>
    </w:p>
    <w:p>
      <w:pPr>
        <w:spacing w:after="0" w:line="10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15.8%</w:t>
      </w:r>
      <w:r>
        <w:rPr>
          <w:sz w:val="20"/>
          <w:szCs w:val="20"/>
          <w:color w:val="auto"/>
        </w:rPr>
        <w:tab/>
      </w:r>
      <w:r>
        <w:rPr>
          <w:rFonts w:ascii="Times New Roman" w:cs="Times New Roman" w:eastAsia="Times New Roman" w:hAnsi="Times New Roman"/>
          <w:sz w:val="12"/>
          <w:szCs w:val="12"/>
          <w:color w:val="auto"/>
        </w:rPr>
        <w:t>10.6%</w:t>
      </w:r>
    </w:p>
    <w:p>
      <w:pPr>
        <w:spacing w:after="0" w:line="29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4"/>
          <w:szCs w:val="14"/>
          <w:color w:val="auto"/>
        </w:rPr>
        <w:t>N/A</w:t>
      </w:r>
      <w:r>
        <w:rPr>
          <w:sz w:val="20"/>
          <w:szCs w:val="20"/>
          <w:color w:val="auto"/>
        </w:rPr>
        <w:tab/>
      </w:r>
      <w:r>
        <w:rPr>
          <w:rFonts w:ascii="Times New Roman" w:cs="Times New Roman" w:eastAsia="Times New Roman" w:hAnsi="Times New Roman"/>
          <w:sz w:val="14"/>
          <w:szCs w:val="14"/>
          <w:color w:val="auto"/>
        </w:rPr>
        <w:t>N/A</w:t>
      </w:r>
    </w:p>
    <w:p>
      <w:pPr>
        <w:spacing w:after="0" w:line="298" w:lineRule="exact"/>
        <w:rPr>
          <w:sz w:val="20"/>
          <w:szCs w:val="20"/>
          <w:color w:val="auto"/>
        </w:rPr>
      </w:pPr>
    </w:p>
    <w:p>
      <w:pPr>
        <w:sectPr>
          <w:pgSz w:w="11900" w:h="16838" w:orient="portrait"/>
          <w:cols w:equalWidth="0" w:num="4">
            <w:col w:w="2100" w:space="360"/>
            <w:col w:w="1280" w:space="460"/>
            <w:col w:w="4960" w:space="720"/>
            <w:col w:w="1540"/>
          </w:cols>
          <w:pgMar w:left="240" w:top="117"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assets - mortgage</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2,732</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1,190</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 model</w:t>
            </w:r>
          </w:p>
        </w:tc>
        <w:tc>
          <w:tcPr>
            <w:tcW w:w="2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Pull through rate</w:t>
            </w:r>
          </w:p>
        </w:tc>
        <w:tc>
          <w:tcPr>
            <w:tcW w:w="1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83.3%</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80.7%</w:t>
            </w:r>
          </w:p>
        </w:tc>
      </w:tr>
      <w:tr>
        <w:trPr>
          <w:trHeight w:val="55"/>
        </w:trPr>
        <w:tc>
          <w:tcPr>
            <w:tcW w:w="2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assets - other</w:t>
            </w:r>
          </w:p>
        </w:tc>
        <w:tc>
          <w:tcPr>
            <w:tcW w:w="114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3,511</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10,651</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Dealer priced</w:t>
            </w:r>
          </w:p>
        </w:tc>
        <w:tc>
          <w:tcPr>
            <w:tcW w:w="2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Dealer priced</w:t>
            </w:r>
          </w:p>
        </w:tc>
        <w:tc>
          <w:tcPr>
            <w:tcW w:w="17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N/A</w:t>
            </w: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liabilities - risk participations</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 model</w:t>
            </w:r>
          </w:p>
        </w:tc>
        <w:tc>
          <w:tcPr>
            <w:tcW w:w="2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Probable exposure rate</w:t>
            </w:r>
          </w:p>
        </w:tc>
        <w:tc>
          <w:tcPr>
            <w:tcW w:w="1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0.33%</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w w:val="99"/>
              </w:rPr>
              <w:t>0.44%</w:t>
            </w:r>
          </w:p>
        </w:tc>
      </w:tr>
      <w:tr>
        <w:trPr>
          <w:trHeight w:val="55"/>
        </w:trPr>
        <w:tc>
          <w:tcPr>
            <w:tcW w:w="2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Probability of default rate</w:t>
            </w:r>
          </w:p>
        </w:tc>
        <w:tc>
          <w:tcPr>
            <w:tcW w:w="17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1.80%</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99"/>
              </w:rPr>
              <w:t>1.80%</w:t>
            </w:r>
          </w:p>
        </w:tc>
      </w:tr>
      <w:tr>
        <w:trPr>
          <w:trHeight w:val="216"/>
        </w:trPr>
        <w:tc>
          <w:tcPr>
            <w:tcW w:w="2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liabilities - other</w:t>
            </w: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6,699</w:t>
            </w:r>
          </w:p>
        </w:tc>
        <w:tc>
          <w:tcPr>
            <w:tcW w:w="8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15,724</w:t>
            </w:r>
          </w:p>
        </w:tc>
        <w:tc>
          <w:tcPr>
            <w:tcW w:w="1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Dealer priced</w:t>
            </w:r>
          </w:p>
        </w:tc>
        <w:tc>
          <w:tcPr>
            <w:tcW w:w="2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Dealer priced</w:t>
            </w:r>
          </w:p>
        </w:tc>
        <w:tc>
          <w:tcPr>
            <w:tcW w:w="17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September 30, 2019, mortgage loans held for sale for which the fair value option was elected had an aggregate fair value and outstanding principal balance of $54.6 million and $53.1 million, respectively. At December 31, 2018, mortgage loans held for sale for which the fair value option was elected had an aggregate fair value and outstanding principal balance of $18.9 million and $18.2 million, respectively. Interest income on these loans is calculated based on the note rate of the loan and is recorded in interest revenue. During the three and nine months ended September 30, 2019, changes in fair value of these loans resulted in net losses of $2,000 and net gains of $873,000, respectively. During the three and nine months ended September 30, 2018, changes in fair value of these loans resulted in net losses of $412,000 and $157,000, respectively. Gains and losses resulting from the change in fair value of these loans are recorded in mortgage loan and other related fees. These changes in fair value were mostly offset by hedging activities. An immaterial portion of these amounts was attributable to changes in instrument-specific credit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September 30, 2019 and December 31, 2018,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17"/>
        </w:trPr>
        <w:tc>
          <w:tcPr>
            <w:tcW w:w="162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9,119</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9,119</w:t>
            </w:r>
          </w:p>
        </w:tc>
        <w:tc>
          <w:tcPr>
            <w:tcW w:w="170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84"/>
        </w:trPr>
        <w:tc>
          <w:tcPr>
            <w:tcW w:w="162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16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17"/>
        </w:trPr>
        <w:tc>
          <w:tcPr>
            <w:tcW w:w="162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8,631</w:t>
            </w:r>
          </w:p>
        </w:tc>
        <w:tc>
          <w:tcPr>
            <w:tcW w:w="1700" w:type="dxa"/>
            <w:vAlign w:val="bottom"/>
            <w:shd w:val="clear" w:color="auto" w:fill="CCEEFF"/>
          </w:tcPr>
          <w:p>
            <w:pPr>
              <w:spacing w:after="0"/>
              <w:rPr>
                <w:sz w:val="18"/>
                <w:szCs w:val="18"/>
                <w:color w:val="auto"/>
              </w:rPr>
            </w:pPr>
          </w:p>
        </w:tc>
      </w:tr>
      <w:tr>
        <w:trPr>
          <w:trHeight w:val="33"/>
        </w:trPr>
        <w:tc>
          <w:tcPr>
            <w:tcW w:w="16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7"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90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243,028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248,546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248,546</w:t>
            </w: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leases, net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8,840,752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8,804,331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8,804,331</w:t>
            </w:r>
          </w:p>
        </w:tc>
      </w:tr>
      <w:tr>
        <w:trPr>
          <w:trHeight w:val="289"/>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5"/>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10,756,517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10,756,838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10,756,838</w:t>
            </w: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39,998</w:t>
            </w: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240,245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246,567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246,567</w:t>
            </w:r>
          </w:p>
        </w:tc>
      </w:tr>
      <w:tr>
        <w:trPr>
          <w:trHeight w:val="28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3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50"/>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274,407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268,803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268,803</w:t>
            </w: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leases, net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8,322,198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8,277,387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8,277,387</w:t>
            </w:r>
          </w:p>
        </w:tc>
      </w:tr>
      <w:tr>
        <w:trPr>
          <w:trHeight w:val="289"/>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5"/>
        </w:trPr>
        <w:tc>
          <w:tcPr>
            <w:tcW w:w="3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10,534,513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10,528,834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10,528,834</w:t>
            </w:r>
          </w:p>
        </w:tc>
      </w:tr>
      <w:tr>
        <w:trPr>
          <w:trHeight w:val="265"/>
        </w:trPr>
        <w:tc>
          <w:tcPr>
            <w:tcW w:w="3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159,988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159,988</w:t>
            </w:r>
          </w:p>
        </w:tc>
      </w:tr>
      <w:tr>
        <w:trPr>
          <w:trHeight w:val="275"/>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debt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267,189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278,996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278,996</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2,138,428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2,129,463</w:t>
            </w: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Letters of credit</w:t>
            </w: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25,447</w:t>
            </w:r>
          </w:p>
        </w:tc>
      </w:tr>
      <w:tr>
        <w:trPr>
          <w:trHeight w:val="33"/>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wholly-owned bank subsidiary, United Community Bank (the “Bank”), holds minor investments in certain limited partnerships for Community Reinvestment Act purposes. As of September 30, 2019, the Bank had committed to fund an additional $6.87 million related to future capital calls that had not been reflected in the consolidated balance sheet.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0" w:type="dxa"/>
            <w:vAlign w:val="bottom"/>
          </w:tcPr>
          <w:p>
            <w:pPr>
              <w:spacing w:after="0"/>
              <w:rPr>
                <w:sz w:val="18"/>
                <w:szCs w:val="18"/>
                <w:color w:val="auto"/>
              </w:rPr>
            </w:pP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Core deposit intangible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62,652</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59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(46,141)</w:t>
            </w:r>
          </w:p>
        </w:tc>
        <w:tc>
          <w:tcPr>
            <w:tcW w:w="1820" w:type="dxa"/>
            <w:vAlign w:val="bottom"/>
          </w:tcPr>
          <w:p>
            <w:pPr>
              <w:spacing w:after="0"/>
              <w:rPr>
                <w:sz w:val="20"/>
                <w:szCs w:val="20"/>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88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16,511</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59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Noncompete agreements</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3,144</w:t>
            </w:r>
          </w:p>
        </w:tc>
        <w:tc>
          <w:tcPr>
            <w:tcW w:w="182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820" w:type="dxa"/>
            <w:vAlign w:val="bottom"/>
            <w:tcBorders>
              <w:bottom w:val="single" w:sz="8" w:color="CCEEFF"/>
            </w:tcBorders>
            <w:shd w:val="clear" w:color="auto" w:fill="CCEEFF"/>
          </w:tcPr>
          <w:p>
            <w:pPr>
              <w:spacing w:after="0"/>
              <w:rPr>
                <w:sz w:val="23"/>
                <w:szCs w:val="23"/>
                <w:color w:val="auto"/>
              </w:rPr>
            </w:pPr>
          </w:p>
        </w:tc>
      </w:tr>
      <w:tr>
        <w:trPr>
          <w:trHeight w:val="217"/>
        </w:trPr>
        <w:tc>
          <w:tcPr>
            <w:tcW w:w="596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Net noncompete agreements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c>
          <w:tcPr>
            <w:tcW w:w="1820" w:type="dxa"/>
            <w:vAlign w:val="bottom"/>
          </w:tcPr>
          <w:p>
            <w:pPr>
              <w:spacing w:after="0"/>
              <w:rPr>
                <w:sz w:val="18"/>
                <w:szCs w:val="18"/>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Total intangibles subject to amortization, net</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16,960</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59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327,425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307,112</w:t>
            </w:r>
          </w:p>
        </w:tc>
        <w:tc>
          <w:tcPr>
            <w:tcW w:w="1820" w:type="dxa"/>
            <w:vAlign w:val="bottom"/>
          </w:tcPr>
          <w:p>
            <w:pPr>
              <w:spacing w:after="0"/>
              <w:rPr>
                <w:sz w:val="20"/>
                <w:szCs w:val="20"/>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324,072</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4100" w:type="dxa"/>
            <w:vAlign w:val="bottom"/>
            <w:gridSpan w:val="7"/>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7"/>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Goodwill, net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Goodwill, net of</w:t>
            </w: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r>
      <w:tr>
        <w:trPr>
          <w:trHeight w:val="212"/>
        </w:trPr>
        <w:tc>
          <w:tcPr>
            <w:tcW w:w="25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Impairment Losses</w:t>
            </w: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Impairment Losses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Goodwill</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Impairment Losses</w:t>
            </w: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633,015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327,425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612,702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307,112</w:t>
            </w:r>
          </w:p>
        </w:tc>
      </w:tr>
      <w:tr>
        <w:trPr>
          <w:trHeight w:val="237"/>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Acquisition of FMBT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20,313</w:t>
            </w: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327,425</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84"/>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2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612,702</w:t>
            </w:r>
          </w:p>
        </w:tc>
        <w:tc>
          <w:tcPr>
            <w:tcW w:w="12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307,112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526,181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220,591</w:t>
            </w: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Navitas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87,379</w:t>
            </w:r>
          </w:p>
        </w:tc>
      </w:tr>
      <w:tr>
        <w:trPr>
          <w:trHeight w:val="270"/>
        </w:trPr>
        <w:tc>
          <w:tcPr>
            <w:tcW w:w="26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Measurement period adjustments</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r>
      <w:tr>
        <w:trPr>
          <w:trHeight w:val="244"/>
        </w:trPr>
        <w:tc>
          <w:tcPr>
            <w:tcW w:w="26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307,112</w:t>
            </w: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Measurement period adjustments for the nine months ended September 30, 2018, were related to Four Oaks Fincorp, Inc. and HCSB Financial Corporation.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core deposit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2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Remainder of 2019</w:t>
            </w:r>
          </w:p>
        </w:tc>
        <w:tc>
          <w:tcPr>
            <w:tcW w:w="640" w:type="dxa"/>
            <w:vAlign w:val="bottom"/>
            <w:tcBorders>
              <w:top w:val="single" w:sz="8" w:color="CCEEFF"/>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1,093</w:t>
            </w: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2"/>
          </w:tcPr>
          <w:p>
            <w:pPr>
              <w:ind w:left="3580"/>
              <w:spacing w:after="0"/>
              <w:rPr>
                <w:sz w:val="20"/>
                <w:szCs w:val="20"/>
                <w:color w:val="auto"/>
              </w:rPr>
            </w:pPr>
            <w:r>
              <w:rPr>
                <w:rFonts w:ascii="Times New Roman" w:cs="Times New Roman" w:eastAsia="Times New Roman" w:hAnsi="Times New Roman"/>
                <w:sz w:val="16"/>
                <w:szCs w:val="16"/>
                <w:color w:val="auto"/>
              </w:rPr>
              <w:t>2020</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3,842</w:t>
            </w:r>
          </w:p>
        </w:tc>
        <w:tc>
          <w:tcPr>
            <w:tcW w:w="352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580"/>
              <w:spacing w:after="0"/>
              <w:rPr>
                <w:sz w:val="20"/>
                <w:szCs w:val="20"/>
                <w:color w:val="auto"/>
              </w:rPr>
            </w:pPr>
            <w:r>
              <w:rPr>
                <w:rFonts w:ascii="Times New Roman" w:cs="Times New Roman" w:eastAsia="Times New Roman" w:hAnsi="Times New Roman"/>
                <w:sz w:val="16"/>
                <w:szCs w:val="16"/>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3,019</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2"/>
          </w:tcPr>
          <w:p>
            <w:pPr>
              <w:ind w:left="3580"/>
              <w:spacing w:after="0"/>
              <w:rPr>
                <w:sz w:val="20"/>
                <w:szCs w:val="20"/>
                <w:color w:val="auto"/>
              </w:rPr>
            </w:pPr>
            <w:r>
              <w:rPr>
                <w:rFonts w:ascii="Times New Roman" w:cs="Times New Roman" w:eastAsia="Times New Roman" w:hAnsi="Times New Roman"/>
                <w:sz w:val="16"/>
                <w:szCs w:val="16"/>
                <w:color w:val="auto"/>
              </w:rPr>
              <w:t>2022</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2,379</w:t>
            </w:r>
          </w:p>
        </w:tc>
        <w:tc>
          <w:tcPr>
            <w:tcW w:w="352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580"/>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1,852</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spacing w:after="0"/>
              <w:rPr>
                <w:sz w:val="20"/>
                <w:szCs w:val="20"/>
                <w:color w:val="auto"/>
              </w:rPr>
            </w:pPr>
          </w:p>
        </w:tc>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3,730</w:t>
            </w:r>
          </w:p>
        </w:tc>
        <w:tc>
          <w:tcPr>
            <w:tcW w:w="3520" w:type="dxa"/>
            <w:vAlign w:val="bottom"/>
          </w:tcPr>
          <w:p>
            <w:pPr>
              <w:spacing w:after="0"/>
              <w:rPr>
                <w:sz w:val="20"/>
                <w:szCs w:val="20"/>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15,915</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Operating Leases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leases for which it is the lessee consist of operating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most of which are excluded from the measurement of the right-of-use asset and lease liability as they are not reasonably certain to be exercised. United also subleases and leases certain real estate properties to third parties under operating leases. As of September 30, 2019, United had a right-of-use asset and lease liability of $21.0 million and $23.3 million, respectively, included in other assets and other liabilities, respectively, on the balance sheet.</w:t>
      </w:r>
    </w:p>
    <w:p>
      <w:pPr>
        <w:sectPr>
          <w:pgSz w:w="11900" w:h="16838" w:orient="portrait"/>
          <w:cols w:equalWidth="0" w:num="1">
            <w:col w:w="11420"/>
          </w:cols>
          <w:pgMar w:left="240" w:top="117" w:right="239" w:bottom="1116"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116"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table below presents the operating lease income and expense recognized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Income Statement</w:t>
            </w:r>
          </w:p>
        </w:tc>
        <w:tc>
          <w:tcPr>
            <w:tcW w:w="180" w:type="dxa"/>
            <w:vAlign w:val="bottom"/>
          </w:tcPr>
          <w:p>
            <w:pPr>
              <w:spacing w:after="0"/>
              <w:rPr>
                <w:sz w:val="17"/>
                <w:szCs w:val="17"/>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380" w:type="dxa"/>
            <w:vAlign w:val="bottom"/>
          </w:tcPr>
          <w:p>
            <w:pPr>
              <w:spacing w:after="0"/>
              <w:rPr>
                <w:sz w:val="18"/>
                <w:szCs w:val="18"/>
                <w:color w:val="auto"/>
              </w:rPr>
            </w:pPr>
          </w:p>
        </w:tc>
        <w:tc>
          <w:tcPr>
            <w:tcW w:w="194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0" w:type="dxa"/>
            <w:vAlign w:val="bottom"/>
          </w:tcPr>
          <w:p>
            <w:pPr>
              <w:spacing w:after="0"/>
              <w:rPr>
                <w:sz w:val="18"/>
                <w:szCs w:val="18"/>
                <w:color w:val="auto"/>
              </w:rPr>
            </w:pP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4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Operating lease cost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3,783</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3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Variable lease cost</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Occupancy expense</w:t>
            </w: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w:t>
            </w:r>
          </w:p>
        </w:tc>
        <w:tc>
          <w:tcPr>
            <w:tcW w:w="114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Short-term lease cost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w:t>
            </w:r>
          </w:p>
        </w:tc>
        <w:tc>
          <w:tcPr>
            <w:tcW w:w="1140" w:type="dxa"/>
            <w:vAlign w:val="bottom"/>
            <w:tcBorders>
              <w:bottom w:val="single" w:sz="8" w:color="CCEEFF"/>
            </w:tcBorders>
            <w:shd w:val="clear" w:color="auto" w:fill="CCEEFF"/>
          </w:tcPr>
          <w:p>
            <w:pPr>
              <w:spacing w:after="0"/>
              <w:rPr>
                <w:sz w:val="23"/>
                <w:szCs w:val="23"/>
                <w:color w:val="auto"/>
              </w:rPr>
            </w:pPr>
          </w:p>
        </w:tc>
      </w:tr>
      <w:tr>
        <w:trPr>
          <w:trHeight w:val="284"/>
        </w:trPr>
        <w:tc>
          <w:tcPr>
            <w:tcW w:w="4380" w:type="dxa"/>
            <w:vAlign w:val="bottom"/>
            <w:tcBorders>
              <w:bottom w:val="single" w:sz="8" w:color="CCEEFF"/>
            </w:tcBorders>
          </w:tcPr>
          <w:p>
            <w:pPr>
              <w:ind w:left="1220"/>
              <w:spacing w:after="0"/>
              <w:rPr>
                <w:sz w:val="20"/>
                <w:szCs w:val="20"/>
                <w:color w:val="auto"/>
              </w:rPr>
            </w:pPr>
            <w:r>
              <w:rPr>
                <w:rFonts w:ascii="Times New Roman" w:cs="Times New Roman" w:eastAsia="Times New Roman" w:hAnsi="Times New Roman"/>
                <w:sz w:val="16"/>
                <w:szCs w:val="16"/>
                <w:color w:val="auto"/>
              </w:rPr>
              <w:t>Total lease cost</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4,211</w:t>
            </w:r>
          </w:p>
        </w:tc>
        <w:tc>
          <w:tcPr>
            <w:tcW w:w="1140" w:type="dxa"/>
            <w:vAlign w:val="bottom"/>
            <w:tcBorders>
              <w:bottom w:val="single" w:sz="8" w:color="CCEEFF"/>
            </w:tcBorders>
          </w:tcPr>
          <w:p>
            <w:pPr>
              <w:spacing w:after="0"/>
              <w:rPr>
                <w:sz w:val="24"/>
                <w:szCs w:val="24"/>
                <w:color w:val="auto"/>
              </w:rPr>
            </w:pPr>
          </w:p>
        </w:tc>
      </w:tr>
      <w:tr>
        <w:trPr>
          <w:trHeight w:val="271"/>
        </w:trPr>
        <w:tc>
          <w:tcPr>
            <w:tcW w:w="43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16"/>
        </w:trPr>
        <w:tc>
          <w:tcPr>
            <w:tcW w:w="43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Sublease income and rental income from owned</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438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properties under operating leases</w:t>
            </w: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886</w:t>
            </w:r>
          </w:p>
        </w:tc>
        <w:tc>
          <w:tcPr>
            <w:tcW w:w="1140" w:type="dxa"/>
            <w:vAlign w:val="bottom"/>
          </w:tcPr>
          <w:p>
            <w:pPr>
              <w:spacing w:after="0"/>
              <w:rPr>
                <w:sz w:val="18"/>
                <w:szCs w:val="18"/>
                <w:color w:val="auto"/>
              </w:rPr>
            </w:pPr>
          </w:p>
        </w:tc>
      </w:tr>
    </w:tbl>
    <w:p>
      <w:pPr>
        <w:spacing w:after="0" w:line="200" w:lineRule="exact"/>
        <w:rPr>
          <w:sz w:val="20"/>
          <w:szCs w:val="20"/>
          <w:color w:val="auto"/>
        </w:rPr>
      </w:pP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the weighted average remaining lease term and weighted average discount rate of operating leases was 5.51 years and 2.79%, respectively. Absent a readily determinable interest rate in the lease agreement, the discount rate applied to each individual lease obligation was the Bank’s incremental borrowing rate for secured borrowings.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September 30, 2019, future minimum lease payments under operating leases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939</w:t>
            </w: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5,394</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5,124</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4,694</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3,992</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5,092</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25,235</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discount</w:t>
            </w:r>
          </w:p>
        </w:tc>
        <w:tc>
          <w:tcPr>
            <w:tcW w:w="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23,272</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2, United adopted Topic 842 using the modified retrospective method with a cumulative effect adjustment to shareholders’ equity without restating comparable periods. As a result, disclosures for comparative periods under the predecessor standard,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are required in the year of transition. As of December 31, 2018, rent commitments under operating leases were $5.35 million, $5.16 million, $4.91 million, $4.48 million, and $3.91 million, for 2019 through 2023, respectively, and $5.04 million in the aggregate for years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Termination of Defined Benefit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United materially settled the liabilities of its funded noncontributory defined benefit pension plan (“Funded Plan”). Participants elected to receive either lump sum distributions or annuity contracts purchased from a third party insurance company that provided for the payment of vested benefits. United contributed $4.90 million to the Funded Plan in the third quarter of 2019 to fund its liquidation.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pension termination, unrecognized losses of $1.56 million, which previously were recorded in accumulated other comprehensive income (loss) on the consolidated balance sheets, were recognized as expense and an additional pension plan settlement loss of $1.38 million was recorded in the consolidated statements of income. Including both charges, the total Funded Plan settlement loss was $2.94 million, which was included in merger-related and other charges for the three and nine months ended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2019, United’s Board of Directors approved a regular quarterly cash dividend of $0.18 per common share. The dividend is payable January 6, 2020, to shareholders of record on December 16, 2019.</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type w:val="continuous"/>
        </w:sectPr>
      </w:pPr>
    </w:p>
    <w:bookmarkStart w:id="45" w:name="page46"/>
    <w:bookmarkEnd w:id="4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September 30, 2019 and December 31, 2018 and our results of operations for the three and nine months ended September 30, 2019 and September 30, 2018.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Quarterly Report on Form 10-Q and the risk factors discussed in our Annual Report on Form 10-K for the fiscal year ended December 31, 2018 (the “2018 10-K”) and the other reports we have filed with the SEC after we filed the 2018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Holding Company is a bank holding company incorporated in the state of Georgia in 1987, which began operations in 1988 by acquiring the capital stock of the Bank, a Georgia state-chartered bank that opened in 1950. United offers a wide array of commercial and consumer banking services and investment advisory services through a 147-branch network throughout Georgia, South Carolina, North Carolina and Tennessee.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2019, United completed the acquisition of First Madison Bank and Trust (“FMBT”). FMBT’s results are included in United’s consolidated results beginning on the acquisition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United had total consolidated assets of $12.8 billion, total loans of $8.90 billion, total deposits of $10.8 billion, and shareholders’ equity of $1.61 billion. United reported net income of $48.4 million, or $0.60 per diluted share, for the third quarter of 2019, compared to net income of $43.7 million, or $0.54 per diluted share, for the third quarter of 2018. For the nine months ended September 30, 2019, United reported net income of $137 million, or $1.70 per diluted share, compared to $121 million, or $1.51 per diluted share, for the first nine months of 2018.</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revenue increased to $119 million for the third quarter of 2019, compared to $112 million for the third quarter of 2018, due to higher loan volume and a higher net interest margin. The net interest margin increased to 4.12% for the three months ended September 30, 2019 from 3.95% for the same period in 2018 primarily due to loan growth, including the addition of the FMBT loan portfolio, the positive effect of a shift in the composition of United’s balance sheet away from securities and into higher yielding loans, and the reduction of borrowed funds since September 30, 2018. These improvements were partially offset by increased interest expense on interest-bearing deposits primarily due to higher interest rates from a year ago, particularly in time deposits. For the nine months ended September 30, 2019, net interest revenue was $353 million and the net interest margin was 4.11% compared to net interest revenue of $324 million and net interest margin of 3.88% for the same period in 2018. These improvements are also attributable to the same factors affecting the third quarter, as well as the inclusion, during the first nine months of 2019, of higher yielding equipment financing loans acquired from NLFC Holdings Corp. and its subsidiaries, collectively known as “Navitas”.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credit losses was $3.10 million for the third quarter of 2019, compared to $1.80 million for the third quarter of 2018. For the nine months ended September 30, 2019, the provision for credit losses was $9.65 million, compared to $7.40 million for the same period in 2018. Net charge-offs for the third quarter of 2019 were $2.72 million compared to $1.47 million for the same period in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2019, United’s allowance for loan losses was $62.5 million, or 0.70% of loans, compared to $61.2 million, or 0.73% of loans, at December 31, 2018, reflecting stable asset quality. At September 30, 2019 and December 31, 2018, nonperforming assets of $30.9 million and $25.1 million, respectively, were 0.24% and 0.20% of total assets,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Noninterest income of $29.0 million for the third quarter of 2019 was up $4.85 million, or 20%, from the third quarter of 2018. The increase was primarily attributable to an increase in mortgage origination activity which resulted in a $3.40 million increase in mortgage fees. United closed $330 million in mortgage loans in the third quarter of 2019 compared with $237 million a year ago. Deposit service charges were also up with increases in interchange and overdraft fees. These increases were partially offset by decreases in gains on sales of United’s Small Business Administration and United States Department of Agriculture (“SBA/USDA”) loans. The decrease results from a change in strategy to hold more of the SBA loan production on balance sheet. For the first nine months of 2019, total noninterest income was up $4.61 million compared to the same period of 2018 mostly due to increases in mortgage loan and related fees, brokerage fees and nominal securities losses in comparison to the $1.30 million of securities losses recorded during the same period of last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 and first nine months of 2019, noninterest expenses of $82.9 million and $241 million, respectively, increased $5.21 million and $12.8 million, respectively, from the same periods of 2018. The increases were primarily attributable to increases in salaries and employee benefits and communications and equipment costs. Merger-related and other charges also contributed to the increases from the prior periods due to the termination and settlement of the acquired Palmetto Bancshares, Inc. funded noncontributory defined benefit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576" w:right="2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pension plan (the “Funded Plan”), acquisition and systems conversions of FMBT, branch closure costs and executive retirement charges. Increases in salaries and employee benefits were driven by several factors, including the addition of FMBT employees, the inclusion of Navitas employees for the full period in 2019, annual merit-based salary increases awarded during the second quarter of 2019, and investments in new staff for key areas of the bank. The increase in communications and equipment expense was primarily a result of increased software maintenance and the addition of new software contracts. These increases were offset by decreases in FDIC assessments and other regulatory charges including a $1.38 million one-time assessment credit received in the third quarter of 2019, and amortization of intangibles.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and reporting policies of United are in accordance with accounting principles generally accepted in the United States (“GAAP”) and conform to general practices within the banking industry. There have been no significant changes to the Critical Accounting Policies as described in United’s 2018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Reconciliation and Explanation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10-Q contains financial information determined by methods other than in accordance with GAAP. Such non-GAAP financial information includes the following measures: “tangible book value per common share,” and “average tangible common equity to average assets. In addition, management presents non-GAAP operating performance measures, which exclude merger-related and other items that are not part of United’s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reported net income and diluted earnings per common share of $48.4 million and $0.60, respectively, for the third quarter of 2019. This compared to net income and diluted earnings per common share of $43.7 million and $0.54, respectively, for the same period in 2018. For the nine months ended September 30, 2019, United reported net income and diluted earnings per share of $137 million and $1.70, respectively, compared to net income and diluted earnings per share of $121 million and $1.51, respectively, for the same period in 2018.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 reported net income - operating (non-GAAP) of $50.4 million and $142 million for the third quarter and first nine months of 2019, compared to $44.1 million and $126 million for the same periods in 2018. For the third quarter and first nine months of 2019, net income - operating (non-GAAP) excludes termination of the funded defined benefit pension plan, merger-related, branch closure, and executive retirement charges, which net of tax, totaled $2.01 million and $5.72 million, respectively. For the third quarter and first nine months of 2018, net income - operating (non-GAAP) excludes merger-related and branch closure charges, which net of tax, totaled $451,000 and $5.22 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80" w:right="239" w:bottom="1440" w:gutter="0" w:footer="0" w:header="0"/>
        </w:sectPr>
      </w:pPr>
    </w:p>
    <w:bookmarkStart w:id="47" w:name="page48"/>
    <w:bookmarkEnd w:id="4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UNITED COMMUNITY BANKS, INC.</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Table 1 - Financial Highlights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Selected Financial Information</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For the Nine Months Ended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2019</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Third Quarter</w:t>
            </w: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Second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Fourth</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w w:val="99"/>
              </w:rPr>
              <w:t>2019 - 2018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YTD 2019 -</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per share data)</w:t>
            </w: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Third Quarter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Quarter</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First Quarter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Quarter</w:t>
            </w: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Third Quarter</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Change</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2018 Change</w:t>
            </w:r>
          </w:p>
        </w:tc>
        <w:tc>
          <w:tcPr>
            <w:tcW w:w="0" w:type="dxa"/>
            <w:vAlign w:val="bottom"/>
          </w:tcPr>
          <w:p>
            <w:pPr>
              <w:spacing w:after="0"/>
              <w:rPr>
                <w:sz w:val="1"/>
                <w:szCs w:val="1"/>
                <w:color w:val="auto"/>
              </w:rPr>
            </w:pPr>
          </w:p>
        </w:tc>
      </w:tr>
      <w:tr>
        <w:trPr>
          <w:trHeight w:val="261"/>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INCOME SUMMARY</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Interest revenue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140,615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136,516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133,854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128,721</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416,287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366,226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21,277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21,372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20,882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18,975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16,611</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63,531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42,355</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interest revenue</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119,338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117,784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115,634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114,879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112,110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352,756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323,871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9 %</w:t>
            </w:r>
          </w:p>
        </w:tc>
        <w:tc>
          <w:tcPr>
            <w:tcW w:w="0" w:type="dxa"/>
            <w:vAlign w:val="bottom"/>
          </w:tcPr>
          <w:p>
            <w:pPr>
              <w:spacing w:after="0"/>
              <w:rPr>
                <w:sz w:val="1"/>
                <w:szCs w:val="1"/>
                <w:color w:val="auto"/>
              </w:rPr>
            </w:pPr>
          </w:p>
        </w:tc>
      </w:tr>
      <w:tr>
        <w:trPr>
          <w:trHeight w:val="261"/>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9,650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Noninterest income</w:t>
            </w: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29,031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24,531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20,968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23,045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24,180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74,530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69,916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4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180" w:type="dxa"/>
            <w:vAlign w:val="bottom"/>
          </w:tcPr>
          <w:p>
            <w:pPr>
              <w:spacing w:after="0"/>
              <w:rPr>
                <w:sz w:val="20"/>
                <w:szCs w:val="20"/>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145,269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139,065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133,302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135,824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134,490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417,636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386,387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273"/>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Expenses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82,924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81,813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76,084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78,242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77,718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240,821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228,043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48"/>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Income before income tax expense</w:t>
            </w:r>
          </w:p>
        </w:tc>
        <w:tc>
          <w:tcPr>
            <w:tcW w:w="180" w:type="dxa"/>
            <w:vAlign w:val="bottom"/>
          </w:tcPr>
          <w:p>
            <w:pPr>
              <w:spacing w:after="0"/>
              <w:rPr>
                <w:sz w:val="21"/>
                <w:szCs w:val="21"/>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56,772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176,815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158,344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Income tax expense</w:t>
            </w:r>
          </w:p>
        </w:tc>
        <w:tc>
          <w:tcPr>
            <w:tcW w:w="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13,983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13,167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12,956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12,445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13,090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40,106</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37,370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4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80" w:type="dxa"/>
            <w:vAlign w:val="bottom"/>
          </w:tcPr>
          <w:p>
            <w:pPr>
              <w:spacing w:after="0"/>
              <w:rPr>
                <w:sz w:val="20"/>
                <w:szCs w:val="20"/>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44,085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44,262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43,682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136,709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120,974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Merger-related and other charges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6,111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2"/>
                <w:szCs w:val="12"/>
                <w:color w:val="auto"/>
              </w:rPr>
              <w:t>Income tax benefit of merger-related and other charges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(890)</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 xml:space="preserve">Net income - operating </w:t>
            </w:r>
            <w:r>
              <w:rPr>
                <w:rFonts w:ascii="Times New Roman" w:cs="Times New Roman" w:eastAsia="Times New Roman" w:hAnsi="Times New Roman"/>
                <w:sz w:val="20"/>
                <w:szCs w:val="20"/>
                <w:b w:val="1"/>
                <w:bCs w:val="1"/>
                <w:color w:val="auto"/>
                <w:vertAlign w:val="superscript"/>
              </w:rPr>
              <w:t>(1)</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50,367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44,829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45,767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44,133</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142,428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126,195</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PERFORMANCE MEASURES</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Per common share: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Diluted net income - GAAP</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0.54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1.51</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Diluted net income - operating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0.55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Cash dividends declared</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0.42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261"/>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Book value</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17.56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17.56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Tangible book value </w:t>
            </w:r>
            <w:r>
              <w:rPr>
                <w:rFonts w:ascii="Times New Roman" w:cs="Times New Roman" w:eastAsia="Times New Roman" w:hAnsi="Times New Roman"/>
                <w:sz w:val="20"/>
                <w:szCs w:val="20"/>
                <w:color w:val="auto"/>
                <w:vertAlign w:val="superscript"/>
              </w:rPr>
              <w:t>(3)</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Key performance ratios: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Return on common equity - GAAP </w:t>
            </w:r>
            <w:r>
              <w:rPr>
                <w:rFonts w:ascii="Times New Roman" w:cs="Times New Roman" w:eastAsia="Times New Roman" w:hAnsi="Times New Roman"/>
                <w:sz w:val="20"/>
                <w:szCs w:val="20"/>
                <w:color w:val="auto"/>
                <w:vertAlign w:val="superscript"/>
              </w:rPr>
              <w:t>(2)(4)</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Return on common equity - operating </w:t>
            </w:r>
            <w:r>
              <w:rPr>
                <w:rFonts w:ascii="Times New Roman" w:cs="Times New Roman" w:eastAsia="Times New Roman" w:hAnsi="Times New Roman"/>
                <w:sz w:val="20"/>
                <w:szCs w:val="20"/>
                <w:color w:val="auto"/>
                <w:vertAlign w:val="superscript"/>
              </w:rPr>
              <w:t>(1)(2)(4)</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12.09</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11.93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ind w:left="280"/>
              <w:spacing w:after="0" w:line="144" w:lineRule="exact"/>
              <w:rPr>
                <w:sz w:val="20"/>
                <w:szCs w:val="20"/>
                <w:color w:val="auto"/>
              </w:rPr>
            </w:pPr>
            <w:r>
              <w:rPr>
                <w:rFonts w:ascii="Times New Roman" w:cs="Times New Roman" w:eastAsia="Times New Roman" w:hAnsi="Times New Roman"/>
                <w:sz w:val="10"/>
                <w:szCs w:val="10"/>
                <w:color w:val="auto"/>
              </w:rPr>
              <w:t xml:space="preserve">Return on tangible common equity - operating </w:t>
            </w:r>
            <w:r>
              <w:rPr>
                <w:rFonts w:ascii="Times New Roman" w:cs="Times New Roman" w:eastAsia="Times New Roman" w:hAnsi="Times New Roman"/>
                <w:sz w:val="16"/>
                <w:szCs w:val="16"/>
                <w:color w:val="auto"/>
                <w:vertAlign w:val="superscript"/>
              </w:rPr>
              <w:t>(1)(2)(3)</w:t>
            </w: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15.88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15.88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15.92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15.62</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Return on assets - GAAP </w:t>
            </w:r>
            <w:r>
              <w:rPr>
                <w:rFonts w:ascii="Times New Roman" w:cs="Times New Roman" w:eastAsia="Times New Roman" w:hAnsi="Times New Roman"/>
                <w:sz w:val="20"/>
                <w:szCs w:val="20"/>
                <w:color w:val="auto"/>
                <w:vertAlign w:val="superscript"/>
              </w:rPr>
              <w:t>(4)</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Return on assets - operating </w:t>
            </w:r>
            <w:r>
              <w:rPr>
                <w:rFonts w:ascii="Times New Roman" w:cs="Times New Roman" w:eastAsia="Times New Roman" w:hAnsi="Times New Roman"/>
                <w:sz w:val="20"/>
                <w:szCs w:val="20"/>
                <w:color w:val="auto"/>
                <w:vertAlign w:val="superscript"/>
              </w:rPr>
              <w:t>(1)(4)</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Dividend payout ratio - GAAP</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27.78</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27.81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 xml:space="preserve">Dividend payout ratio - operating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26.98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27.27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26.75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Net interest margin (fully taxable equivalent) </w:t>
            </w:r>
            <w:r>
              <w:rPr>
                <w:rFonts w:ascii="Times New Roman" w:cs="Times New Roman" w:eastAsia="Times New Roman" w:hAnsi="Times New Roman"/>
                <w:sz w:val="20"/>
                <w:szCs w:val="20"/>
                <w:color w:val="auto"/>
                <w:vertAlign w:val="superscript"/>
              </w:rPr>
              <w:t>(4)</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3.95</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Efficiency ratio - GAAP</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56.82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56.09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57.52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Efficiency ratio - operating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56.39</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55.98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Equity to total assets</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12.25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 xml:space="preserve">Tangible common equity to tangible assets </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23"/>
                <w:szCs w:val="23"/>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9.29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8.95</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ASSET QUALITY</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Nonperforming loans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30,832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26,597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23,624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23,778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22,530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30,832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22,530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color w:val="auto"/>
              </w:rPr>
              <w:t>Foreclosed properties</w:t>
            </w: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1,127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1,305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1,336</w:t>
            </w:r>
          </w:p>
        </w:tc>
        <w:tc>
          <w:tcPr>
            <w:tcW w:w="9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1,336</w:t>
            </w:r>
          </w:p>
        </w:tc>
        <w:tc>
          <w:tcPr>
            <w:tcW w:w="9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Total nonperforming assets ("NPAs")</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30,934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26,672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24,751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25,083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23,866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30,934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23,866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Allowance for loan losses</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62,514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62,204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61,642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60,940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62,514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60,940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charge-offs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1,466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8,291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4,326</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Allowance for loan losses to loans</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xml:space="preserve">Net charge-offs to average loans </w:t>
            </w:r>
            <w:r>
              <w:rPr>
                <w:rFonts w:ascii="Times New Roman" w:cs="Times New Roman" w:eastAsia="Times New Roman" w:hAnsi="Times New Roman"/>
                <w:sz w:val="20"/>
                <w:szCs w:val="20"/>
                <w:color w:val="auto"/>
                <w:vertAlign w:val="superscript"/>
              </w:rPr>
              <w:t>(4)</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NPAs to loans and foreclosed properties</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0.29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0.29</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0.29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NPAs to total assets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AVERAGE BALANCES </w:t>
            </w:r>
            <w:r>
              <w:rPr>
                <w:rFonts w:ascii="Times New Roman" w:cs="Times New Roman" w:eastAsia="Times New Roman" w:hAnsi="Times New Roman"/>
                <w:sz w:val="12"/>
                <w:szCs w:val="12"/>
                <w:i w:val="1"/>
                <w:iCs w:val="1"/>
                <w:color w:val="auto"/>
              </w:rPr>
              <w:t>($ in millions)</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Loans</w:t>
            </w: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8,836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8,670</w:t>
            </w:r>
          </w:p>
        </w:tc>
        <w:tc>
          <w:tcPr>
            <w:tcW w:w="120" w:type="dxa"/>
            <w:vAlign w:val="bottom"/>
          </w:tcPr>
          <w:p>
            <w:pPr>
              <w:spacing w:after="0"/>
              <w:rPr>
                <w:sz w:val="22"/>
                <w:szCs w:val="22"/>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8,430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8,306</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8,200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8,647</w:t>
            </w:r>
          </w:p>
        </w:tc>
        <w:tc>
          <w:tcPr>
            <w:tcW w:w="120" w:type="dxa"/>
            <w:vAlign w:val="bottom"/>
          </w:tcPr>
          <w:p>
            <w:pPr>
              <w:spacing w:after="0"/>
              <w:rPr>
                <w:sz w:val="22"/>
                <w:szCs w:val="22"/>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8,124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Investment securities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2,916</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2,863</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Earning assets</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11,534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11,498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11,534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11,320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11,534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11,197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assets</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12,681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12,608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12,505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12,302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12,600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12,209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61"/>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Deposits</w:t>
            </w:r>
          </w:p>
        </w:tc>
        <w:tc>
          <w:tcPr>
            <w:tcW w:w="180" w:type="dxa"/>
            <w:vAlign w:val="bottom"/>
          </w:tcPr>
          <w:p>
            <w:pPr>
              <w:spacing w:after="0"/>
              <w:rPr>
                <w:sz w:val="22"/>
                <w:szCs w:val="22"/>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10,531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10,361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10,306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9,950</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10,462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9,896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79"/>
        </w:trPr>
        <w:tc>
          <w:tcPr>
            <w:tcW w:w="3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Shareholders’ equity</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1,367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bl>
    <w:p>
      <w:pPr>
        <w:sectPr>
          <w:pgSz w:w="11900" w:h="16884" w:orient="portrait"/>
          <w:cols w:equalWidth="0" w:num="1">
            <w:col w:w="11420"/>
          </w:cols>
          <w:pgMar w:left="240" w:top="1043"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Common shares - basic (thousands)</w:t>
            </w:r>
          </w:p>
        </w:tc>
        <w:tc>
          <w:tcPr>
            <w:tcW w:w="68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79,663</w:t>
            </w:r>
          </w:p>
        </w:tc>
        <w:tc>
          <w:tcPr>
            <w:tcW w:w="32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79,673</w:t>
            </w:r>
          </w:p>
        </w:tc>
        <w:tc>
          <w:tcPr>
            <w:tcW w:w="34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79,807</w:t>
            </w:r>
          </w:p>
        </w:tc>
        <w:tc>
          <w:tcPr>
            <w:tcW w:w="34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79,884</w:t>
            </w:r>
          </w:p>
        </w:tc>
        <w:tc>
          <w:tcPr>
            <w:tcW w:w="320" w:type="dxa"/>
            <w:vAlign w:val="bottom"/>
          </w:tcPr>
          <w:p>
            <w:pPr>
              <w:spacing w:after="0"/>
              <w:rPr>
                <w:sz w:val="13"/>
                <w:szCs w:val="13"/>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79,806</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79,714</w:t>
            </w:r>
          </w:p>
        </w:tc>
        <w:tc>
          <w:tcPr>
            <w:tcW w:w="380" w:type="dxa"/>
            <w:vAlign w:val="bottom"/>
          </w:tcPr>
          <w:p>
            <w:pPr>
              <w:spacing w:after="0"/>
              <w:rPr>
                <w:sz w:val="13"/>
                <w:szCs w:val="13"/>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79,588</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99"/>
        </w:trPr>
        <w:tc>
          <w:tcPr>
            <w:tcW w:w="2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70"/>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Common shares - diluted (thousands)</w:t>
            </w:r>
          </w:p>
        </w:tc>
        <w:tc>
          <w:tcPr>
            <w:tcW w:w="6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79,667</w:t>
            </w: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79,678</w:t>
            </w: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79,813</w:t>
            </w: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79,890</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79,818</w:t>
            </w:r>
          </w:p>
        </w:tc>
        <w:tc>
          <w:tcPr>
            <w:tcW w:w="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79,718</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79,598</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5"/>
        </w:trPr>
        <w:tc>
          <w:tcPr>
            <w:tcW w:w="2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70"/>
        </w:trPr>
        <w:tc>
          <w:tcPr>
            <w:tcW w:w="2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AT PERIOD END </w:t>
            </w:r>
            <w:r>
              <w:rPr>
                <w:rFonts w:ascii="Times New Roman" w:cs="Times New Roman" w:eastAsia="Times New Roman" w:hAnsi="Times New Roman"/>
                <w:sz w:val="12"/>
                <w:szCs w:val="12"/>
                <w:i w:val="1"/>
                <w:iCs w:val="1"/>
                <w:color w:val="auto"/>
              </w:rPr>
              <w:t>($ in millions)</w:t>
            </w:r>
          </w:p>
        </w:tc>
        <w:tc>
          <w:tcPr>
            <w:tcW w:w="6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Loans</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8,903</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8,838</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8,493</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8,383</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8,226</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8</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8,903</w:t>
            </w:r>
          </w:p>
        </w:tc>
        <w:tc>
          <w:tcPr>
            <w:tcW w:w="3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8,226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r>
      <w:tr>
        <w:trPr>
          <w:trHeight w:val="279"/>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Investment securities</w:t>
            </w: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2,515</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2,620</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2,720</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2,903</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2,873</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2,515</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2,873</w:t>
            </w:r>
          </w:p>
        </w:tc>
        <w:tc>
          <w:tcPr>
            <w:tcW w:w="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w:t>
            </w: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assets</w:t>
            </w:r>
          </w:p>
        </w:tc>
        <w:tc>
          <w:tcPr>
            <w:tcW w:w="68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12,809</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12,779</w:t>
            </w:r>
          </w:p>
        </w:tc>
        <w:tc>
          <w:tcPr>
            <w:tcW w:w="34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12,506</w:t>
            </w:r>
          </w:p>
        </w:tc>
        <w:tc>
          <w:tcPr>
            <w:tcW w:w="34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12,573</w:t>
            </w:r>
          </w:p>
        </w:tc>
        <w:tc>
          <w:tcPr>
            <w:tcW w:w="320" w:type="dxa"/>
            <w:vAlign w:val="bottom"/>
          </w:tcPr>
          <w:p>
            <w:pPr>
              <w:spacing w:after="0"/>
              <w:rPr>
                <w:sz w:val="22"/>
                <w:szCs w:val="22"/>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12,405</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3</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12,809</w:t>
            </w:r>
          </w:p>
        </w:tc>
        <w:tc>
          <w:tcPr>
            <w:tcW w:w="380" w:type="dxa"/>
            <w:vAlign w:val="bottom"/>
          </w:tcPr>
          <w:p>
            <w:pPr>
              <w:spacing w:after="0"/>
              <w:rPr>
                <w:sz w:val="22"/>
                <w:szCs w:val="22"/>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12,405</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r>
      <w:tr>
        <w:trPr>
          <w:trHeight w:val="279"/>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Deposits</w:t>
            </w: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10,757</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10,591</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10,534</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10,535</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10,229</w:t>
            </w:r>
          </w:p>
        </w:tc>
        <w:tc>
          <w:tcPr>
            <w:tcW w:w="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10,757</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10,229</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r>
      <w:tr>
        <w:trPr>
          <w:trHeight w:val="261"/>
        </w:trPr>
        <w:tc>
          <w:tcPr>
            <w:tcW w:w="26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Shareholders’ equity</w:t>
            </w:r>
          </w:p>
        </w:tc>
        <w:tc>
          <w:tcPr>
            <w:tcW w:w="68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1,605</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1,566</w:t>
            </w:r>
          </w:p>
        </w:tc>
        <w:tc>
          <w:tcPr>
            <w:tcW w:w="34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1,508</w:t>
            </w:r>
          </w:p>
        </w:tc>
        <w:tc>
          <w:tcPr>
            <w:tcW w:w="34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1,458</w:t>
            </w:r>
          </w:p>
        </w:tc>
        <w:tc>
          <w:tcPr>
            <w:tcW w:w="320" w:type="dxa"/>
            <w:vAlign w:val="bottom"/>
          </w:tcPr>
          <w:p>
            <w:pPr>
              <w:spacing w:after="0"/>
              <w:rPr>
                <w:sz w:val="22"/>
                <w:szCs w:val="22"/>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1,402</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1,605</w:t>
            </w:r>
          </w:p>
        </w:tc>
        <w:tc>
          <w:tcPr>
            <w:tcW w:w="380" w:type="dxa"/>
            <w:vAlign w:val="bottom"/>
          </w:tcPr>
          <w:p>
            <w:pPr>
              <w:spacing w:after="0"/>
              <w:rPr>
                <w:sz w:val="22"/>
                <w:szCs w:val="22"/>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1,402</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14</w:t>
            </w:r>
          </w:p>
        </w:tc>
      </w:tr>
      <w:tr>
        <w:trPr>
          <w:trHeight w:val="279"/>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Common shares outstanding (thousands)</w:t>
            </w: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78,974</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79,075</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79,035</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79,234</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79,202</w:t>
            </w:r>
          </w:p>
        </w:tc>
        <w:tc>
          <w:tcPr>
            <w:tcW w:w="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78,974</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79,202</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bl>
    <w:p>
      <w:pPr>
        <w:spacing w:after="0" w:line="22" w:lineRule="exact"/>
        <w:rPr>
          <w:sz w:val="20"/>
          <w:szCs w:val="20"/>
          <w:color w:val="auto"/>
        </w:rPr>
      </w:pPr>
    </w:p>
    <w:p>
      <w:pPr>
        <w:jc w:val="both"/>
        <w:ind w:firstLine="8"/>
        <w:spacing w:after="0" w:line="572" w:lineRule="auto"/>
        <w:tabs>
          <w:tab w:leader="none" w:pos="139"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 xml:space="preserve">Excludes merger-related and other charges which includes termination of pension plan in the third quarter of 2019, executive retirement charges in the second quarter of 2019 and amortization of certain executive change of control benefits. </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1"/>
          <w:szCs w:val="11"/>
          <w:color w:val="auto"/>
        </w:rPr>
        <w:t xml:space="preserve"> Net income divided by average realized common equity, which excludes accumulated other comprehensive income (loss). </w:t>
      </w:r>
      <w:r>
        <w:rPr>
          <w:rFonts w:ascii="Times New Roman" w:cs="Times New Roman" w:eastAsia="Times New Roman" w:hAnsi="Times New Roman"/>
          <w:sz w:val="15"/>
          <w:szCs w:val="15"/>
          <w:color w:val="auto"/>
          <w:vertAlign w:val="superscript"/>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1"/>
          <w:szCs w:val="11"/>
          <w:color w:val="auto"/>
        </w:rPr>
        <w:t xml:space="preserve"> Annualized.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8" w:right="239" w:bottom="1440" w:gutter="0" w:footer="0" w:header="0"/>
        </w:sectPr>
      </w:pPr>
    </w:p>
    <w:bookmarkStart w:id="49" w:name="page50"/>
    <w:bookmarkEnd w:id="49"/>
    <w:p>
      <w:pPr>
        <w:ind w:left="4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Table 1 (Continued) - Non-GAAP Performance Measures Reconciliation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Selected Financial Information</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38"/>
        </w:trPr>
        <w:tc>
          <w:tcPr>
            <w:tcW w:w="3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1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1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6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24"/>
                <w:szCs w:val="24"/>
                <w:color w:val="auto"/>
              </w:rPr>
            </w:pPr>
          </w:p>
        </w:tc>
        <w:tc>
          <w:tcPr>
            <w:tcW w:w="8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5"/>
        </w:trPr>
        <w:tc>
          <w:tcPr>
            <w:tcW w:w="3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Expense reconciliation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Expenses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82,924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81,813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76,084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78,242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77,718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240,821</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228,043</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(7,431)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(6,111)</w:t>
            </w:r>
          </w:p>
        </w:tc>
        <w:tc>
          <w:tcPr>
            <w:tcW w:w="0" w:type="dxa"/>
            <w:vAlign w:val="bottom"/>
          </w:tcPr>
          <w:p>
            <w:pPr>
              <w:spacing w:after="0"/>
              <w:rPr>
                <w:sz w:val="1"/>
                <w:szCs w:val="1"/>
                <w:color w:val="auto"/>
              </w:rPr>
            </w:pPr>
          </w:p>
        </w:tc>
      </w:tr>
      <w:tr>
        <w:trPr>
          <w:trHeight w:val="282"/>
        </w:trPr>
        <w:tc>
          <w:tcPr>
            <w:tcW w:w="3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Expenses - operating</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80,319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77,726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75,345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77,008</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77,126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233,390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221,932</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48,362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44,085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44,262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45,137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43,682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136,709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120,974</w:t>
            </w: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Pr>
          <w:p>
            <w:pPr>
              <w:spacing w:after="0"/>
              <w:rPr>
                <w:sz w:val="23"/>
                <w:szCs w:val="23"/>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6,111</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(890)</w:t>
            </w:r>
          </w:p>
        </w:tc>
        <w:tc>
          <w:tcPr>
            <w:tcW w:w="0" w:type="dxa"/>
            <w:vAlign w:val="bottom"/>
          </w:tcPr>
          <w:p>
            <w:pPr>
              <w:spacing w:after="0"/>
              <w:rPr>
                <w:sz w:val="1"/>
                <w:szCs w:val="1"/>
                <w:color w:val="auto"/>
              </w:rPr>
            </w:pPr>
          </w:p>
        </w:tc>
      </w:tr>
      <w:tr>
        <w:trPr>
          <w:trHeight w:val="282"/>
        </w:trPr>
        <w:tc>
          <w:tcPr>
            <w:tcW w:w="3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Net income - operating</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50,367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47,232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44,829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45,767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44,133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142,428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126,195</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265"/>
        </w:trPr>
        <w:tc>
          <w:tcPr>
            <w:tcW w:w="3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18.93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17.56</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282"/>
        </w:trPr>
        <w:tc>
          <w:tcPr>
            <w:tcW w:w="3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15.90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15.38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14.24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13.54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11.43 %</w:t>
            </w:r>
          </w:p>
        </w:tc>
        <w:tc>
          <w:tcPr>
            <w:tcW w:w="0" w:type="dxa"/>
            <w:vAlign w:val="bottom"/>
          </w:tcPr>
          <w:p>
            <w:pPr>
              <w:spacing w:after="0"/>
              <w:rPr>
                <w:sz w:val="1"/>
                <w:szCs w:val="1"/>
                <w:color w:val="auto"/>
              </w:rPr>
            </w:pPr>
          </w:p>
        </w:tc>
      </w:tr>
      <w:tr>
        <w:trPr>
          <w:trHeight w:val="265"/>
        </w:trPr>
        <w:tc>
          <w:tcPr>
            <w:tcW w:w="3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5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65"/>
        </w:trPr>
        <w:tc>
          <w:tcPr>
            <w:tcW w:w="3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Return on assets (GAAP)</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82"/>
        </w:trPr>
        <w:tc>
          <w:tcPr>
            <w:tcW w:w="3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Dividend payout ratio reconciliation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 payout ratio (GAAP)</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27.81 %</w:t>
            </w:r>
          </w:p>
        </w:tc>
        <w:tc>
          <w:tcPr>
            <w:tcW w:w="0" w:type="dxa"/>
            <w:vAlign w:val="bottom"/>
          </w:tcPr>
          <w:p>
            <w:pPr>
              <w:spacing w:after="0"/>
              <w:rPr>
                <w:sz w:val="1"/>
                <w:szCs w:val="1"/>
                <w:color w:val="auto"/>
              </w:rPr>
            </w:pPr>
          </w:p>
        </w:tc>
      </w:tr>
      <w:tr>
        <w:trPr>
          <w:trHeight w:val="265"/>
        </w:trPr>
        <w:tc>
          <w:tcPr>
            <w:tcW w:w="3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 payout ratio - operating</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Efficiency ratio (GAAP)</w:t>
            </w: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55.64 %</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56.73 %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56.09 %</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57.52 %</w:t>
            </w:r>
          </w:p>
        </w:tc>
        <w:tc>
          <w:tcPr>
            <w:tcW w:w="0" w:type="dxa"/>
            <w:vAlign w:val="bottom"/>
          </w:tcPr>
          <w:p>
            <w:pPr>
              <w:spacing w:after="0"/>
              <w:rPr>
                <w:sz w:val="1"/>
                <w:szCs w:val="1"/>
                <w:color w:val="auto"/>
              </w:rPr>
            </w:pPr>
          </w:p>
        </w:tc>
      </w:tr>
      <w:tr>
        <w:trPr>
          <w:trHeight w:val="270"/>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82"/>
        </w:trPr>
        <w:tc>
          <w:tcPr>
            <w:tcW w:w="3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53.90 %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54.42 %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55.83 %</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56.39 %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54.36 %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55.98 %</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3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12.53 %</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12.25 %</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12.53 %</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11.30 %</w:t>
            </w:r>
          </w:p>
        </w:tc>
        <w:tc>
          <w:tcPr>
            <w:tcW w:w="0" w:type="dxa"/>
            <w:vAlign w:val="bottom"/>
          </w:tcPr>
          <w:p>
            <w:pPr>
              <w:spacing w:after="0"/>
              <w:rPr>
                <w:sz w:val="1"/>
                <w:szCs w:val="1"/>
                <w:color w:val="auto"/>
              </w:rPr>
            </w:pPr>
          </w:p>
        </w:tc>
      </w:tr>
      <w:tr>
        <w:trPr>
          <w:trHeight w:val="265"/>
        </w:trPr>
        <w:tc>
          <w:tcPr>
            <w:tcW w:w="39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42"/>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20"/>
          </w:cols>
          <w:pgMar w:left="240" w:top="804" w:right="339" w:bottom="482"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Net Interest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revenue for the third quarter of 2019 and 2018 was $119 million and $112 million, respectively. As set forth in the following tables, fully taxable equivalent net interest revenue for the third quarter of 2019 was $120 million, representing an increase of $7.39 million, or 7%, from the same period in 2018. The net interest spread and net interest margin for the third quarter of 2019 of 3.72% and 4.12%, respectively, increased eight basis points and 17 basis points, respectively, from the third quarter of 2018. For the first nine months of 2019 and 2018, net interest revenue was $353 million and $324 million, respectively. Fully taxable equivalent net interest revenue for the first nine months of 2019 was $355 million, an increase of $29.5 million, or 9%, from the first nine months of 2018.</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tables also indicate the relationship between interest revenue and expense and the average amounts of assets and liabilities for the periods indicated. As shown in the tables, both average interest-earning assets and interest-bearing liabilities for the three and nine months ended September 30, 2019 increased compared to the same periods of 2018. The quarterly increase in average interest-earning assets was primarily driven by the increase in average loans of $636 million, or 8%, from the third quarter of 2018, which reflects organic growth and loans obtained through the acquisition of FMBT. The increase in average loans was offset by an intentional decrease in average taxable securities. The nine months ended September 30, 2019, also includes the full nine month effect of equipment financing loans and leases acquired from Navitas. The increase in average assets for the three months ended September 30, 2019 was funded primarily through an increase in average customer deposits since the third quarter of 2018 of $821 million, of which $204 million was noninterest-bearing.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the net interest margin and net interest spread during three and nine months ended September 30, 2019, was primarily attributable to the increase in yield on average loans, which increased 27 and 46 basis points, respectively, from the corresponding periods in 2018. More recently, the federal funds rate decreased 25 basis points since September 30, 2018, which has begun to affect United’s loan yield in the last quarter, however this decrease is moderated by growth in higher yielding loans from the equipment finance business. The increase in the average rate on interest-earning assets more than offset the increase in the average rate paid on interest-bearing liabilities of 24 and 36 basis points from the three and nine months ended September 30, 2018, respectively. The increase in the average rate paid on interest-bearing liabilities is primarily attributable to a higher average rate on interest-bearing deposits, as United increased deposit rates to retain and capture more deposit market share. The increase in noninterest-bearing deposits also contributed to the improvement in the net interest margin for the three and nine months ended September 30,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6" w:right="239" w:bottom="1440" w:gutter="0" w:footer="0" w:header="0"/>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2"/>
        </w:trPr>
        <w:tc>
          <w:tcPr>
            <w:tcW w:w="45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8,835,585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122,526</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5.50%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8,199,856</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108,197</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2,379,927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16,626</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2,763,461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18,847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170,027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1,502</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152,939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182,935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203,707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11,568,474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141,270</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11,319,963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129,212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116,922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123,290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221,930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836,951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703,915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12,680,803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12,301,621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xml:space="preserve">NOW and interest-bearing demand </w:t>
            </w:r>
            <w:r>
              <w:rPr>
                <w:rFonts w:ascii="Times New Roman" w:cs="Times New Roman" w:eastAsia="Times New Roman" w:hAnsi="Times New Roman"/>
                <w:sz w:val="21"/>
                <w:szCs w:val="21"/>
                <w:color w:val="auto"/>
                <w:vertAlign w:val="superscript"/>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2,123,910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3,214</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1,963,312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Money market</w:t>
            </w:r>
            <w:r>
              <w:rPr>
                <w:rFonts w:ascii="Times New Roman" w:cs="Times New Roman" w:eastAsia="Times New Roman" w:hAnsi="Times New Roman"/>
                <w:sz w:val="21"/>
                <w:szCs w:val="21"/>
                <w:color w:val="auto"/>
                <w:vertAlign w:val="superscript"/>
              </w:rPr>
              <w:t>(5)</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2,277,162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5,126</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2,078,116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680,640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1,879,801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8,053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1,545,020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0.86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102,078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7,078,248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6,701,270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1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73,733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50,767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243,935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3,214</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296,366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3,605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405,929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678,546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5,670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7,484,177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21,277</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7,379,816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16,611</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0.89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3,249,218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278,764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11,092,458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10,907,798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1,588,345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1,393,823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12,680,803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12,301,621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119,993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300" w:hanging="332"/>
        <w:spacing w:after="0" w:line="253" w:lineRule="auto"/>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40" w:hanging="332"/>
        <w:spacing w:after="0"/>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1" w:lineRule="exact"/>
        <w:rPr>
          <w:rFonts w:ascii="Times New Roman" w:cs="Times New Roman" w:eastAsia="Times New Roman" w:hAnsi="Times New Roman"/>
          <w:sz w:val="9"/>
          <w:szCs w:val="9"/>
          <w:color w:val="auto"/>
        </w:rPr>
      </w:pPr>
    </w:p>
    <w:p>
      <w:pPr>
        <w:ind w:left="340" w:right="500" w:hanging="332"/>
        <w:spacing w:after="0" w:line="241" w:lineRule="auto"/>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Securities available for sale are shown at amortized cost. Pretax unrealized gains of $35.1 million in 2019 and unrealized losses of $49.9 million in 2018 are included in other assets for purposes of this presentation.</w:t>
      </w:r>
    </w:p>
    <w:p>
      <w:pPr>
        <w:ind w:left="340" w:hanging="332"/>
        <w:spacing w:after="0"/>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pacing w:after="0" w:line="1" w:lineRule="exact"/>
        <w:rPr>
          <w:rFonts w:ascii="Times New Roman" w:cs="Times New Roman" w:eastAsia="Times New Roman" w:hAnsi="Times New Roman"/>
          <w:sz w:val="9"/>
          <w:szCs w:val="9"/>
          <w:color w:val="auto"/>
        </w:rPr>
      </w:pPr>
    </w:p>
    <w:p>
      <w:pPr>
        <w:ind w:left="340" w:hanging="332"/>
        <w:spacing w:after="0"/>
        <w:tabs>
          <w:tab w:leader="none" w:pos="34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reclassification of certain sweep deposits from money market to NOW and interest bearing demand during the third quarter of 2019.</w:t>
      </w:r>
    </w:p>
    <w:p>
      <w:pPr>
        <w:sectPr>
          <w:pgSz w:w="11900" w:h="16838" w:orient="portrait"/>
          <w:cols w:equalWidth="0" w:num="1">
            <w:col w:w="11420"/>
          </w:cols>
          <w:pgMar w:left="240" w:top="738"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738" w:right="239" w:bottom="1440" w:gutter="0" w:footer="0" w:header="0"/>
          <w:type w:val="continuous"/>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b w:val="1"/>
          <w:bCs w:val="1"/>
          <w:color w:val="auto"/>
        </w:rPr>
        <w:t>Table 3 -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2"/>
        </w:trPr>
        <w:tc>
          <w:tcPr>
            <w:tcW w:w="4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8,646,622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357,541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5.53%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8,124,269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307,981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2,532,070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54,229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2,712,900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53,399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186,402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209,836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11,533,881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418,262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4.85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11,197,019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367,609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Cash and due from banks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121,889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138,809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785,862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717,555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12,599,840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12,209,463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 xml:space="preserve">NOW and interest-bearing demand </w:t>
            </w:r>
            <w:r>
              <w:rPr>
                <w:rFonts w:ascii="Times New Roman" w:cs="Times New Roman" w:eastAsia="Times New Roman" w:hAnsi="Times New Roman"/>
                <w:sz w:val="21"/>
                <w:szCs w:val="21"/>
                <w:color w:val="auto"/>
                <w:vertAlign w:val="superscript"/>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2,199,607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10,283</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0.63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2,098,734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Money market </w:t>
            </w:r>
            <w:r>
              <w:rPr>
                <w:rFonts w:ascii="Times New Roman" w:cs="Times New Roman" w:eastAsia="Times New Roman" w:hAnsi="Times New Roman"/>
                <w:sz w:val="21"/>
                <w:szCs w:val="21"/>
                <w:color w:val="auto"/>
                <w:vertAlign w:val="superscript"/>
              </w:rPr>
              <w:t>(5)</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2,187,822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14,100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2,113,972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7,853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Savings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671,883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Time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1,761,374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1,534,823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8,288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0.72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Brokered time deposits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292,835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298,653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4,612</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7,126,805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50,185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6,718,065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0.50</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44,898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58,144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252,686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9,813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295,966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10,679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4.82</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borrowed funds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440,460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13,346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17,002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7,567,265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63,531</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7,464,402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42,355</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0.76</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3,335,450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3,178,387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199,848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11,067,065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10,842,637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1,532,775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1,366,826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12,599,840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12,209,463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354,731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325,254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right="440" w:hanging="172"/>
        <w:spacing w:after="0" w:line="253" w:lineRule="auto"/>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180" w:hanging="172"/>
        <w:spacing w:after="0"/>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1" w:lineRule="exact"/>
        <w:rPr>
          <w:rFonts w:ascii="Times New Roman" w:cs="Times New Roman" w:eastAsia="Times New Roman" w:hAnsi="Times New Roman"/>
          <w:sz w:val="9"/>
          <w:szCs w:val="9"/>
          <w:color w:val="auto"/>
        </w:rPr>
      </w:pPr>
    </w:p>
    <w:p>
      <w:pPr>
        <w:ind w:left="180" w:right="100" w:hanging="172"/>
        <w:spacing w:after="0" w:line="241" w:lineRule="auto"/>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Securities available for sale are shown at amortized cost. Pretax unrealized gains of $4.94 million in 2019 and unrealized losses of $40.4 million in 2018 are included in other assets for purposes of this presentation.</w:t>
      </w:r>
    </w:p>
    <w:p>
      <w:pPr>
        <w:ind w:left="180" w:hanging="172"/>
        <w:spacing w:after="0"/>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net-interest revenue divided by average interest-earning assets.</w:t>
      </w:r>
    </w:p>
    <w:p>
      <w:pPr>
        <w:spacing w:after="0" w:line="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reclassification of certain sweep deposits from money market to NOW and interest bearing demand during the third quarter of 2019.</w:t>
      </w:r>
    </w:p>
    <w:p>
      <w:pPr>
        <w:sectPr>
          <w:pgSz w:w="11900" w:h="16838" w:orient="portrait"/>
          <w:cols w:equalWidth="0" w:num="1">
            <w:col w:w="11420"/>
          </w:cols>
          <w:pgMar w:left="240" w:top="738" w:right="239" w:bottom="1008"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738" w:right="239" w:bottom="1008" w:gutter="0" w:footer="0" w:header="0"/>
          <w:type w:val="continuous"/>
        </w:sectPr>
      </w:pPr>
    </w:p>
    <w:bookmarkStart w:id="53" w:name="page54"/>
    <w:bookmarkEnd w:id="53"/>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34" w:lineRule="exact"/>
        <w:rPr>
          <w:sz w:val="20"/>
          <w:szCs w:val="20"/>
          <w:color w:val="auto"/>
        </w:rPr>
      </w:pPr>
    </w:p>
    <w:p>
      <w:pPr>
        <w:ind w:left="40" w:right="518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Table 4 -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gridSpan w:val="7"/>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6"/>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Compared to 2018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gridSpan w:val="10"/>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Increase (Decrease) Due to Changes in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20"/>
                <w:szCs w:val="20"/>
                <w:color w:val="auto"/>
              </w:rPr>
            </w:pPr>
          </w:p>
        </w:tc>
        <w:tc>
          <w:tcPr>
            <w:tcW w:w="8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22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(FTE)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8,646</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5,683</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20,547</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29,013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49,560</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Taxable securities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Tax-exempt securities (FTE)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17,123</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50,653</w:t>
            </w: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NOW and interest-bearing demand accounts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Money market accounts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6,247</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Savings deposits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Time deposits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12,050</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Brokered deposits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24,832</w:t>
            </w:r>
          </w:p>
        </w:tc>
        <w:tc>
          <w:tcPr>
            <w:tcW w:w="0" w:type="dxa"/>
            <w:vAlign w:val="bottom"/>
          </w:tcPr>
          <w:p>
            <w:pPr>
              <w:spacing w:after="0"/>
              <w:rPr>
                <w:sz w:val="1"/>
                <w:szCs w:val="1"/>
                <w:color w:val="auto"/>
              </w:rPr>
            </w:pPr>
          </w:p>
        </w:tc>
      </w:tr>
      <w:tr>
        <w:trPr>
          <w:trHeight w:val="231"/>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borrowed funds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w:t>
            </w:r>
          </w:p>
        </w:tc>
        <w:tc>
          <w:tcPr>
            <w:tcW w:w="0" w:type="dxa"/>
            <w:vAlign w:val="bottom"/>
          </w:tcPr>
          <w:p>
            <w:pPr>
              <w:spacing w:after="0"/>
              <w:rPr>
                <w:sz w:val="1"/>
                <w:szCs w:val="1"/>
                <w:color w:val="auto"/>
              </w:rPr>
            </w:pPr>
          </w:p>
        </w:tc>
      </w:tr>
      <w:tr>
        <w:trPr>
          <w:trHeight w:val="231"/>
        </w:trPr>
        <w:tc>
          <w:tcPr>
            <w:tcW w:w="40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(4,340)</w:t>
            </w: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25,516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21,176</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Increase in net interest revenue (FTE)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4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7,392</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21,463</w:t>
            </w:r>
          </w:p>
        </w:tc>
        <w:tc>
          <w:tcPr>
            <w:tcW w:w="4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29,477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Reflects reclassification of certain sweep deposits from money market to NOW and interest bearing demand during the third quarter of 2019.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provision for credit losses is based on management’s evaluation of probable incurred losses in the loan portfolio and unfunded loan commitments and corresponding analysis of the allowance for credit losses at quarter-end. The provision for credit losses was $3.10 million and $9.65 million, respectively, for the three and nine months ended September 30, 2019, compared to $1.80 million and $7.40 million, respectively, for the same periods in 2018. For the nine months ended September 30, 2019, net loan charge-offs as an annualized percentage of average outstanding loans were 0.13% compared to 0.07% for the same period in 2018.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FMBT on May 1, 2019. The increase in provision expense for the three and nine months ended September 30, 2019, compared to the same periods of 2018 was primarily a result of loan growth and increased charge-offs. The increase in charge-offs was partly attributable to incorporating equipment financing loans acquired in the Navitas transaction into the loan portfolio for the full first three quarters of 2019. Charge-offs from equipment financing loans totaled $1.38 million and $3.81 million for the three and nine months ended September 30, 2019, which was in line with management’s expectations for this now-seasoned product line of higher yielding loans.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discussion on credit quality and the allowance for loan losses is included in the “Asset Quality and Risk Elements” discussion elsewhere in this document.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80" w:right="2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5 - Noninterest Income</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2"/>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2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33"/>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Overdraft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10,728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10,897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ATM and debit card fees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30"/>
        </w:trPr>
        <w:tc>
          <w:tcPr>
            <w:tcW w:w="2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27,429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 and related fees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Brokerage fees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Gains on sales of SBA/USDA loans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Customer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r>
      <w:tr>
        <w:trPr>
          <w:trHeight w:val="237"/>
        </w:trPr>
        <w:tc>
          <w:tcPr>
            <w:tcW w:w="2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Securities gains (losses), net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w:t>
            </w:r>
          </w:p>
        </w:tc>
      </w:tr>
      <w:tr>
        <w:trPr>
          <w:trHeight w:val="244"/>
        </w:trPr>
        <w:tc>
          <w:tcPr>
            <w:tcW w:w="2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29,031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24,180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74,530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69,916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charges and fees increased $804,000 for the third quarter of 2019 in comparison to the same period of 2018 partly due to the acquisition of FMBT. In addition, United’s annual rebate received from its debit card service provider increased compared to 2018, which contributed to the increase in ATM and debit card fees earned in the third quarter and first nine months of 2019.</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loan and related fees for the third quarter and first nine months of 2019 reflected an increase in fees on mortgage rate locks and mortgage closings compared to the same periods of last year. The increase in fees for the third quarter and nine months ended September 30, 2019, was partially offset by negative fair value adjustments on the mortgage servicing rights asset. The negative fair value adjustments were driven by a decrease in mortgage interest rates. The overall increase in mortgage loan and related fees was primarily attributable to an increased focus on the mortgage division resulting in new investments in mortgage loan offices and staff, as well as reductions in interest rates, which increased the demand for mortgage rate locks and refinances.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Mortgage rate locks during the third quarter of 2019 increased 71% to $508 million in 2019 compared to $298 million in the third quarter of 2018. Mortgage production in the third quarter of 2019 also increased compared to the same period of 2018. United closed 1,265 mortgage loans totaling $330 million in the third quarter of 2019 compared with 1,021 mortgage loans totaling $237 million in the third quarter of 2018. United had $215 million in home purchase mortgage originations in the third quarter of 2019, which accounted for 65% of mortgage production volume, compared to $164 million, or 70% of production volume for the same period a year ago.</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rate locks during the first nine months of 2019 increased 34% to $1.2 billion in 2019 compared to $904 million for the same period of 2018. During the first nine months of 2019, United closed 3,110 mortgage loans totaling $770 million compared to 2,897 loans totaling $688 million for the same period of last year. United had $540 million in home purchase mortgage originations in the first nine months of 2019, which accounted for 70% of mortgage production volume. During the first nine months of 2019, United had $419 million, in home purchase originations, or 62%, of production volume.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Brokerage fees for the third quarter and first nine months of 2019 increased 11% and 29%, respectively, compared to the same periods of 2018, which was a result of increased recurring revenue, which yielded higher and more consistent brokerage revenue.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SBA/USDA lending strategy includes selling a portion of the loan production each quarter. The amount of loans sold depends on several variables including the current lending environment and balance sheet management activities. Beginning in the first quarter of 2019, United made a strategic decision to hold more of its government guaranteed loans in order to benefit from the stable yield on these lower-risk assets. In the third quarter of 2019 and 2018, United sold the guaranteed portion of loans in the amount of $21.0 million and $35.6 million, respectively, which resulted in gains of $1.64 million and $2.61 million, respectively. In the first nine months of 2019 and 2018, United sold the guaranteed portion of loans in the amount of $55.2 million and $86.3 million, respectively, which resulted in gains of $4.41 million and $6.78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76" w:right="2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Other noninterest income for the third quarter and first nine months of 2019 increased from the same periods of 2018 primarily due to increases in equipment finance fee revenue, primarily attributable to loan growth, gains on other investments, and positive fair value adjustments on deferred compensation plan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6 - Noninterest Expenses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2"/>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20" w:type="dxa"/>
            <w:vAlign w:val="bottom"/>
          </w:tcPr>
          <w:p>
            <w:pPr>
              <w:spacing w:after="0"/>
              <w:rPr>
                <w:sz w:val="18"/>
                <w:szCs w:val="18"/>
                <w:color w:val="auto"/>
              </w:rPr>
            </w:pPr>
          </w:p>
        </w:tc>
      </w:tr>
      <w:tr>
        <w:trPr>
          <w:trHeight w:val="33"/>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Percent</w:t>
            </w:r>
          </w:p>
        </w:tc>
      </w:tr>
      <w:tr>
        <w:trPr>
          <w:trHeight w:val="47"/>
        </w:trPr>
        <w:tc>
          <w:tcPr>
            <w:tcW w:w="28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3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47,146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135,384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Occupancy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6"/>
        </w:trPr>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FDIC assessments and other regulatory</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3"/>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charges</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core deposit intangibles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excluding merger-related and</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charges</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77,126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2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noncompete agreements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228,043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expenses for the third quarter and first nine months of 2019 totaled $82.9 million and $241 million, respectively, up 7% and 6%, respectively, from the same periods of 2018. Increases in salaries and employee benefits, professional fees, communications and equipment and merger-related and other charges, partially offset by lower FDIC assessments and other regulatory charges and amortization of noncompete agreements, accounted for much of the change in noninterest expense for the periods presented.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Salaries and employee benefits for the third quarter of 2019 increased 7% from same period of 2018. The increase was primarily attributable to increased brokerage and mortgage commissions resulting from increased production, an increase in bonus expense accrual driven by strong quarterly performance, annual merit-based salary increases awarded during the second quarter of 2019, the addition of FMBT employees, and higher group medical costs. In addition to these factors, increases for the nine months ended September 30, 2019, were driven by additional stock compensation expense from new restricted stock unit awards issued in the third quarter of 2018, investments in additional staff to expand Commercial Banking Solutions and other key areas, the inclusion of Navitas for the entire nine months of 2019 and an increase in the 401(k) matching contribution effective March 1, 2018. Full time equivalent headcount totaled 2,319 at September 30, 2019, up from 2,300 at September 30, 2018.</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Communications and equipment expense increased primarily due to additional software maintenance costs and new software contracts. The increase in professional fees for the third quarter of 2019 is largely attributable to increased accounting fees related to CECL and other projects. Additionally, professional fees for the nine months ended September 30, 2019, increased due to recent acquisition activity. FDIC assessments and other regulatory charges for the three and nine months ended September 30, 2019, decreased relative to the same periods in 2018 primarily due to a reduction in United’s FDIC assessment rate and the receipt of a $1.38 million assessment credit from the FDIC during the third quarter of 2019.</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Merger-related and other charges for the three and nine months ended September 30, 2019 included a $2.94 million charge for the termination and settlement of the Funded Plan, FMBT acquisition related costs, branch closure costs, executive retirement charges, and gains on the sale of surplus properties. Merger-related and other charges for the three and nine months of 2018 consisted primarily of severance, conversion costs, branch closure costs and legal and professional fees.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580" w:right="239" w:bottom="1440" w:gutter="0" w:footer="0" w:header="0"/>
          <w:type w:val="continuous"/>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The reduction of amortization of noncompete agreements was a result of the expiration of certain of these agreements since the third quarter of 2018. At September 30, 2019, all capitalized noncompete agreements have been fully amortized.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three and nine months ended September 30, 2019 was $14.0 million and $40.1 million, respectively, which represents an effective tax rate of 22.4% and 22.7%, respectively. The income tax provision for the three and nine months ended September 30, 2018 was $13.1 million and $37.4 million, which represents an effective tax rate of 23.1% and 23.6%,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2018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assets at September 30, 2019 and December 31, 2018 were $12.8 billion and $12.6 billion, respectively. Average total assets for the third quarter and first nine months of 2019 were $12.7 billion and $12.6 billion, respectively, up from $12.3 billion and $12.2 billion for the same periods of 2018.</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80" w:right="2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Total loans increased 6% since December 31, 2018 due to organic growth and loans obtained in the acquisition of FMBT. As of September 30, 2019, approximately 75% of United’s loans are secured by real estate. The following table presents a summary of the loan portfolio.</w: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7 - Loans Outstanding</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00" w:type="dxa"/>
            <w:vAlign w:val="bottom"/>
          </w:tcPr>
          <w:p>
            <w:pPr>
              <w:spacing w:after="0"/>
              <w:rPr>
                <w:sz w:val="18"/>
                <w:szCs w:val="18"/>
                <w:color w:val="auto"/>
              </w:rPr>
            </w:pPr>
          </w:p>
        </w:tc>
        <w:tc>
          <w:tcPr>
            <w:tcW w:w="3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b w:val="1"/>
                <w:bCs w:val="1"/>
                <w:color w:val="auto"/>
              </w:rPr>
              <w:t>By Loan Type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1,692,010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1,647,904</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1,933,868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1,812,420</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1,271,243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1,278,347</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1,000,801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796,158</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729,506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564,614</w:t>
            </w:r>
          </w:p>
        </w:tc>
        <w:tc>
          <w:tcPr>
            <w:tcW w:w="1940" w:type="dxa"/>
            <w:vAlign w:val="bottom"/>
          </w:tcPr>
          <w:p>
            <w:pPr>
              <w:spacing w:after="0"/>
              <w:rPr>
                <w:sz w:val="20"/>
                <w:szCs w:val="20"/>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6,627,428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6,099,443</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1,120,828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1,049,232</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668,987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694,010</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229,352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211,011</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125,517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122,013</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Indirect auto</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131,154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207,692</w:t>
            </w:r>
          </w:p>
        </w:tc>
        <w:tc>
          <w:tcPr>
            <w:tcW w:w="1940" w:type="dxa"/>
            <w:vAlign w:val="bottom"/>
          </w:tcPr>
          <w:p>
            <w:pPr>
              <w:spacing w:after="0"/>
              <w:rPr>
                <w:sz w:val="20"/>
                <w:szCs w:val="20"/>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Total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8,903,266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8,383,401</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71"/>
        </w:trPr>
        <w:tc>
          <w:tcPr>
            <w:tcW w:w="5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As a percentage of total loans:</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940" w:type="dxa"/>
            <w:vAlign w:val="bottom"/>
          </w:tcPr>
          <w:p>
            <w:pPr>
              <w:spacing w:after="0"/>
              <w:rPr>
                <w:sz w:val="20"/>
                <w:szCs w:val="20"/>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66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940" w:type="dxa"/>
            <w:vAlign w:val="bottom"/>
          </w:tcPr>
          <w:p>
            <w:pPr>
              <w:spacing w:after="0"/>
              <w:rPr>
                <w:sz w:val="20"/>
                <w:szCs w:val="20"/>
                <w:color w:val="auto"/>
              </w:rPr>
            </w:pPr>
          </w:p>
        </w:tc>
      </w:tr>
      <w:tr>
        <w:trPr>
          <w:trHeight w:val="33"/>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1940"/>
              <w:spacing w:after="0"/>
              <w:rPr>
                <w:sz w:val="20"/>
                <w:szCs w:val="20"/>
                <w:color w:val="auto"/>
              </w:rPr>
            </w:pPr>
            <w:r>
              <w:rPr>
                <w:rFonts w:ascii="Times New Roman" w:cs="Times New Roman" w:eastAsia="Times New Roman" w:hAnsi="Times New Roman"/>
                <w:sz w:val="16"/>
                <w:szCs w:val="16"/>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66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Indirect auto</w:t>
            </w:r>
          </w:p>
        </w:tc>
        <w:tc>
          <w:tcPr>
            <w:tcW w:w="180" w:type="dxa"/>
            <w:vAlign w:val="bottom"/>
          </w:tcPr>
          <w:p>
            <w:pPr>
              <w:spacing w:after="0"/>
              <w:rPr>
                <w:sz w:val="20"/>
                <w:szCs w:val="20"/>
                <w:color w:val="auto"/>
              </w:rPr>
            </w:pPr>
          </w:p>
        </w:tc>
        <w:tc>
          <w:tcPr>
            <w:tcW w:w="1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940" w:type="dxa"/>
            <w:vAlign w:val="bottom"/>
          </w:tcPr>
          <w:p>
            <w:pPr>
              <w:spacing w:after="0"/>
              <w:rPr>
                <w:sz w:val="20"/>
                <w:szCs w:val="20"/>
                <w:color w:val="auto"/>
              </w:rPr>
            </w:pPr>
          </w:p>
        </w:tc>
      </w:tr>
      <w:tr>
        <w:trPr>
          <w:trHeight w:val="33"/>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risk management function is responsible for monitoring asset quality and Board of Directors-approved portfolio limits, establishing credit policies and procedures and enforcing the consistent application of these policies and procedures among all lending units. Additional information on the credit risk management function is included in Item 1 under the heading </w:t>
      </w:r>
      <w:r>
        <w:rPr>
          <w:rFonts w:ascii="Times New Roman" w:cs="Times New Roman" w:eastAsia="Times New Roman" w:hAnsi="Times New Roman"/>
          <w:sz w:val="18"/>
          <w:szCs w:val="18"/>
          <w:i w:val="1"/>
          <w:iCs w:val="1"/>
          <w:color w:val="auto"/>
        </w:rPr>
        <w:t>Lending Activities</w:t>
      </w:r>
      <w:r>
        <w:rPr>
          <w:rFonts w:ascii="Times New Roman" w:cs="Times New Roman" w:eastAsia="Times New Roman" w:hAnsi="Times New Roman"/>
          <w:sz w:val="18"/>
          <w:szCs w:val="18"/>
          <w:color w:val="auto"/>
        </w:rPr>
        <w:t xml:space="preserve"> in United’s 2018 10-K.</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borrower is in bankruptcy.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The table below presents performing classified loans for the last five quarters.</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8 - Performing Classified Loans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46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By Category</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37,551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34,650</w:t>
            </w:r>
          </w:p>
        </w:tc>
        <w:tc>
          <w:tcPr>
            <w:tcW w:w="12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32,433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32,909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38,601</w:t>
            </w:r>
          </w:p>
        </w:tc>
      </w:tr>
      <w:tr>
        <w:trPr>
          <w:trHeight w:val="33"/>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24,170</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21,509</w:t>
            </w:r>
          </w:p>
        </w:tc>
      </w:tr>
      <w:tr>
        <w:trPr>
          <w:trHeight w:val="33"/>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8,012</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274</w:t>
            </w:r>
          </w:p>
        </w:tc>
      </w:tr>
      <w:tr>
        <w:trPr>
          <w:trHeight w:val="33"/>
        </w:trPr>
        <w:tc>
          <w:tcPr>
            <w:tcW w:w="4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commercial</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111,054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102,749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80,969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81,703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92,566</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13,582</w:t>
            </w:r>
          </w:p>
        </w:tc>
      </w:tr>
      <w:tr>
        <w:trPr>
          <w:trHeight w:val="33"/>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Home equity</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4,818</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1,397</w:t>
            </w:r>
          </w:p>
        </w:tc>
      </w:tr>
      <w:tr>
        <w:trPr>
          <w:trHeight w:val="33"/>
        </w:trPr>
        <w:tc>
          <w:tcPr>
            <w:tcW w:w="4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w:t>
            </w: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4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1,704</w:t>
            </w:r>
          </w:p>
        </w:tc>
      </w:tr>
      <w:tr>
        <w:trPr>
          <w:trHeight w:val="33"/>
        </w:trPr>
        <w:tc>
          <w:tcPr>
            <w:tcW w:w="44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110,934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114,483</w:t>
            </w:r>
          </w:p>
        </w:tc>
      </w:tr>
      <w:tr>
        <w:trPr>
          <w:trHeight w:val="20"/>
        </w:trPr>
        <w:tc>
          <w:tcPr>
            <w:tcW w:w="4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an independent loan review team reviews the portfolio to ensure consistent application of risk rating policies and procedures.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80"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presents a summary of the changes in the allowance for credit losses for the periods indicated.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9 - Allowance for Credit Losses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222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2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loan and lease losses at beginning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62,204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61,071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61,203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58,914</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Charge-offs: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2,685</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1,277</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440</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862</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417</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761</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1,846</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Indirect auto</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1,043</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loans charged-off</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9,438</w:t>
            </w: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Recoveries: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939</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386</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290</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372</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326</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599</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Indirect auto</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5,112</w:t>
            </w:r>
          </w:p>
        </w:tc>
      </w:tr>
      <w:tr>
        <w:trPr>
          <w:trHeight w:val="21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charge-offs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2,723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8,291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4,326</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loan and lease losses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6,352</w:t>
            </w:r>
          </w:p>
        </w:tc>
      </w:tr>
      <w:tr>
        <w:trPr>
          <w:trHeight w:val="21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loan and lease losses at end of period</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62,514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60,940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62,514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60,940</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unfunded commitments at beginning of period</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2,312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losses on unfunded commitments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1,048</w:t>
            </w:r>
          </w:p>
        </w:tc>
      </w:tr>
      <w:tr>
        <w:trPr>
          <w:trHeight w:val="21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unfunded commitments at end of period</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3,360</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65,972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64,300</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loans and leases: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 period-end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8,903,266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8,226,466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8,903,266</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8,226,466</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Average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8,835,585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8,199,856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8,646,622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8,124,269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loan and lease losses as a percentage of period-end loans and leases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 a percentage of average loans (annualized):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charge-offs</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0.07</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and lease losses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0.10</w:t>
            </w:r>
          </w:p>
        </w:tc>
      </w:tr>
      <w:tr>
        <w:trPr>
          <w:trHeight w:val="33"/>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For further discussion regarding our allowance for credit losses, refer to Critical Accounting Estimates included in the 2018 10-K.</w:t>
      </w:r>
    </w:p>
    <w:p>
      <w:pPr>
        <w:sectPr>
          <w:pgSz w:w="11900" w:h="16838" w:orient="portrait"/>
          <w:cols w:equalWidth="0" w:num="1">
            <w:col w:w="11420"/>
          </w:cols>
          <w:pgMar w:left="240" w:top="580" w:right="239" w:bottom="59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80" w:right="239" w:bottom="590" w:gutter="0" w:footer="0" w:header="0"/>
          <w:type w:val="continuous"/>
        </w:sectPr>
      </w:pPr>
    </w:p>
    <w:bookmarkStart w:id="60" w:name="page61"/>
    <w:bookmarkEnd w:id="60"/>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which includes a portion related to unfunded commitments, totaled $66.0 million at September 30, 2019, compared with $64.6 million at December 31, 2018. At September 30, 2019, the allowance for loan losses was $62.5 million, or 0.70% of loans, compared with $61.2 million, or 0.73% of total loans, at December 31, 2018.</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September 30, 2019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allowance for credit losses in future periods if, in their opinion, the results of their review warrant such adjustments.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nonperforming assets (“NPAs”).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10 - Nonperforming Assets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23,778</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Foreclosed properties/other real estate owned ("OREO")</w:t>
            </w:r>
          </w:p>
        </w:tc>
        <w:tc>
          <w:tcPr>
            <w:tcW w:w="18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1,305</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25,083</w:t>
            </w: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71"/>
        </w:trPr>
        <w:tc>
          <w:tcPr>
            <w:tcW w:w="7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Nonaccrual loans as a percentage of total loans and leases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Nonperforming assets as a percentage of total loans and OREO</w:t>
            </w:r>
          </w:p>
        </w:tc>
        <w:tc>
          <w:tcPr>
            <w:tcW w:w="18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0.30</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Nonperforming assets as a percentage of total assets</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0.20</w:t>
            </w:r>
          </w:p>
        </w:tc>
      </w:tr>
      <w:tr>
        <w:trPr>
          <w:trHeight w:val="27"/>
        </w:trPr>
        <w:tc>
          <w:tcPr>
            <w:tcW w:w="7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September 30,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 For additional information about and discussion of PCI loans, see Note 6 to our consolidated financial statements included in Part I - Item 1 of this Quarterly Report on Form 10-Q.</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58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summarizes nonperforming assets by category as of the dates indicated.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11 - Nonperforming Assets by Category</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Foreclosed</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Foreclosed</w:t>
            </w: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NPAs</w:t>
            </w:r>
          </w:p>
        </w:tc>
        <w:tc>
          <w:tcPr>
            <w:tcW w:w="1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Properties</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NPAs</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8,430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6,591</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1,417</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 construction</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1,026</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2,677</w:t>
            </w:r>
          </w:p>
        </w:tc>
      </w:tr>
      <w:tr>
        <w:trPr>
          <w:trHeight w:val="217"/>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commercial</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16,953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16,986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12,871</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8,689</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Home equity lines of credit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288</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 direct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726</w:t>
            </w:r>
          </w:p>
        </w:tc>
      </w:tr>
      <w:tr>
        <w:trPr>
          <w:trHeight w:val="244"/>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NPAs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30,832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30,934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23,778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25,083</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and December 31, 2018, United had $47.5 million and $52.4 million, respectively, in loans with terms that have been modified in troubled debt restructurings (“TDRs”). Included therein were $7.23 million and $7.09 million, respectively, of TDRs that were classified as nonaccrual and were included in nonperforming loans. The remaining TDRs with an aggregate balance of $40.3 million and $45.3 million, respectively, were performing according to their modified terms and are therefore not considered to be nonperforming assets.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2019 and December 31, 2018, there were $54.3 million and $55.4 million, respectively, of loans classified as impaired, including TDRs. Included in impaired loans at September 30, 2019 and December 31, 2018 were $23.0 million and $23.5 million of loans, respectively, that did not require specific reserves or had previously been charged down to net realizable value. The remaining balance of impaired loans at September 30, 2019 and December 31, 2018 of $31.3 million and $32.0 million, respectively, had specific reserves that totaled $2.12 million and $2.31 million,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activity in nonaccrual loans for the periods indicated.</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Table 12 - Activity in Nonaccrual Loans</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35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35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26,597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21,817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23,778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23,658</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428</w:t>
            </w:r>
          </w:p>
        </w:tc>
        <w:tc>
          <w:tcPr>
            <w:tcW w:w="160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Loans placed on nonaccrual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8,722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5,759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23,797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16,834</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Payments received</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(11,943)</w:t>
            </w:r>
          </w:p>
        </w:tc>
        <w:tc>
          <w:tcPr>
            <w:tcW w:w="160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Loan charge-offs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Foreclosures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60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00"/>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rPr>
              <w:t>30,832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30,832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22,530</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2019 and December 31, 2018, United had debt securities held-to-maturity with a carrying amount of $243 million and $274 million, respectively, and debt securities available-for-sale totaling $2.27 billion and $2.63 billion, respectively. At September 30,</w:t>
      </w:r>
    </w:p>
    <w:p>
      <w:pPr>
        <w:sectPr>
          <w:pgSz w:w="11900" w:h="16838" w:orient="portrait"/>
          <w:cols w:equalWidth="0" w:num="1">
            <w:col w:w="11420"/>
          </w:cols>
          <w:pgMar w:left="240" w:top="580"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580" w:right="239" w:bottom="1440" w:gutter="0" w:footer="0" w:header="0"/>
          <w:type w:val="continuous"/>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2019 and December 31, 2018, the securities portfolio represented approximately 20% and 23%, respectively, of total assets. During 2019, management has intentionally reduced securities and wholesale borrowings as part of a balance sheet deleveraging strategy.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fixed income securities at September 30, 2019 primarily reflect the effect of changes in interest rates. United did not recognize any other than temporary impairment losses on its investment securities during the three and nine months ended September 30, 2019 or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fair value of the assets acquired and liabilities assumed, including separately identifiable intangible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During the third quarter of 2019, all capitalized noncompete agreements became fully amortized. There were no events or circumstances that led management to believe that any impairment exists in goodwill or other intangible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as of September 30, 2019 were $10.8 billion, which consisted of noninterest-bearing demand deposits of $3.53 billion and interest-bearing deposits of $7.23 billion. Since December 31, 2018, noninterest-bearing demand deposits increased $318 million, while interest-bearing deposits decreased $95.6 million. The decrease in interest-bearing deposits reflected a reduction in brokered deposits of $462 million pursuant to the balance sheet deleveraging strategy, partially offset by an increase in interest-bearing customer deposits of $366 million. United’s high level of service, as evidenced by its strong customer satisfaction scores, has been instrumental in attracting and retaining customer deposit accounts.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is a shareholder in the Federal Home Loan Bank of Atlanta (“FHLB”). Through this affiliation, FHLB secured advances totaled $40 million and $160 million as of September 30, 2019 and December 31, 2018. United anticipates continued use of this short and long-term source of funds. At September 30, 2019 and December 31, 2018, United also had long-term debt outstanding of $240 million and $267 million, respectively, which includes senior debentures, subordinated debentures, trust preferred securities, and securitized notes payable. Additional information regarding FHLB advances and long-term debt is provided in Notes 12 and 13, respectively, to the consolidated financial statements included in the 2018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United’s contractual obligations since December 31,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63" w:name="page64"/>
    <w:bookmarkEnd w:id="6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included in United’s 2018 10-K for additional information on off-balance sheet arrangements.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United’s interest sensitivity position at the dates indicated. The change in simulation model results from December 31, 2018 to September 30, 2019 was primarily a result of a change in assumptions implemented in the first quarter of 2019, rather than a reflection of a significant change in balance sheet composition.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 (Decrease) in Net Interest Revenue from Base Scenario at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40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36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b w:val="1"/>
                <w:bCs w:val="1"/>
                <w:color w:val="auto"/>
              </w:rPr>
              <w:t>Change in Rates</w:t>
            </w: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Pr>
          <w:p>
            <w:pPr>
              <w:spacing w:after="0"/>
              <w:rPr>
                <w:sz w:val="20"/>
                <w:szCs w:val="20"/>
                <w:color w:val="auto"/>
              </w:rPr>
            </w:pPr>
          </w:p>
        </w:tc>
        <w:tc>
          <w:tcPr>
            <w:tcW w:w="3660" w:type="dxa"/>
            <w:vAlign w:val="bottom"/>
            <w:gridSpan w:val="2"/>
            <w:vMerge w:val="continue"/>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Ramp</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Shock</w:t>
            </w:r>
          </w:p>
        </w:tc>
        <w:tc>
          <w:tcPr>
            <w:tcW w:w="26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Ramp</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 increase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(0.81)%</w:t>
            </w: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 decrease</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(2.17)</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has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sensitivity. These contracts generally consist of interest rate swaps under which United pays a variable rate (or fixed rate, as the case may be) and receives a fixed rate (or variable rate, as the case may be). In addition, investment securities and wholesale funding strategies are used to manage interest rate risk.</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United will terminate hedging positions when conditions change and the position is no longer necessary to manage overall sensitivity to changes in interest rates. In those situations when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straight-line method of amortization. During the second quarter of 2019, United amortized the remaining balance of losses on terminated hedging positions from other comprehensive income.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United maintains an unencumbered liquid asset reserve to help ensure its ability to meet its obligations under normal conditions for at least a 12-month period and under severely adverse liquidity conditions for a minimum of 30 days.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because the Holding Company is a separate legal entity apart from the Bank, it must provide for its own liquidity. The Holding Company is responsible for the payment of dividends to shareholders, and interest and principal on any outstanding debt or trust preferred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80" w:right="239" w:bottom="1440" w:gutter="0" w:footer="0" w:header="0"/>
        </w:sectPr>
      </w:pPr>
    </w:p>
    <w:bookmarkStart w:id="65" w:name="page66"/>
    <w:bookmarkEnd w:id="65"/>
    <w:p>
      <w:pPr>
        <w:jc w:val="both"/>
        <w:spacing w:after="0" w:line="261" w:lineRule="auto"/>
        <w:rPr>
          <w:sz w:val="20"/>
          <w:szCs w:val="20"/>
          <w:color w:val="auto"/>
        </w:rPr>
      </w:pPr>
      <w:r>
        <w:rPr>
          <w:rFonts w:ascii="Times New Roman" w:cs="Times New Roman" w:eastAsia="Times New Roman" w:hAnsi="Times New Roman"/>
          <w:sz w:val="18"/>
          <w:szCs w:val="18"/>
          <w:color w:val="auto"/>
        </w:rPr>
        <w:t>securities. The Holding Company currently has internal capital resources to meet these obligations. While the Holding Company has access to the capital markets and maintains a line of credit as a contingent funding source, the ultimate source of its liquidity is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2019, United had sufficient qualifying collateral to increase FHLB advances by $1.17 billion and Federal Reserve discount window borrowing capacity of $1.55 billion, as well as unpledged investment securities of $1.79 billion that could be used as collateral for additional borrowings. In addition to these wholesale sources, United has the ability to attract retail deposits by competing more aggressively on pricing.</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consolidated statement of cash flows, net cash provided by operating activities was $96.1 million for the nine months ended September 30, 2019. Net income of $137 million for the nine-month period included non-cash expenses for the following: deferred income tax expense of $12.1 million, depreciation, amortization and accretion of $18.0 million, provision expense of $9.65 million and stock-based compensation expense of $7.68 million. Uses of cash from operating activities included an increase in other assets and accrued interest receivable of $47.2 million and an increase in loans held for sale of $35.7 million. Net cash provided by investing activities of $126 million consisted primarily of $226 million in proceeds from sales and $239 million in proceeds from maturities and calls of debt securities available for sale and equity securities, as well as $39.8 million in proceeds from maturities and calls of debt securities held to maturity. These sources of cash were offset by a $296 million net increase in loans, $45.6 million in purchases of debt securities available for sale and equity securities, net cash paid for acquisitions of $19.5 million, and $16.5 million in purchases of premises and equipment. Net cash used in financing activities of $188 million consisted primarily of a net decrease in FHLB advances of $120 million, cash dividends of $39.4 million and repayments of long-term debt of $27.5 million. In the opinion of management, United’s liquidity position at September 30, 2019, was sufficient to meet its expected cash flow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equity at September 30, 2019 was $1.61 billion, an increase of $148 million from December 31, 2018 due to year-to-date earnings less dividends declared and an increase in the value of available-for-sale securities, partially offset by $13.0 million in share repurchases. Accumulated other comprehensive income (loss), which includes unrealized gains and losses on securities available-for-sale and unamortized prior service cost and actuarial gains and losses on defined benefit pension plans, is excluded in the calculation of regulatory capital adequacy ratios.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September 30, 2019 and December 31, 2018. As of September 30, 2019, capital levels remained characterized as “well-capitalized” under the Basel III Capital Rules in effect at the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Capital Ratios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United Community Banks, Inc.</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2460" w:type="dxa"/>
            <w:vAlign w:val="bottom"/>
          </w:tcPr>
          <w:p>
            <w:pPr>
              <w:spacing w:after="0"/>
              <w:rPr>
                <w:sz w:val="19"/>
                <w:szCs w:val="19"/>
                <w:color w:val="auto"/>
              </w:rPr>
            </w:pPr>
          </w:p>
        </w:tc>
        <w:tc>
          <w:tcPr>
            <w:tcW w:w="2800" w:type="dxa"/>
            <w:vAlign w:val="bottom"/>
            <w:gridSpan w:val="4"/>
          </w:tcPr>
          <w:p>
            <w:pPr>
              <w:ind w:left="640"/>
              <w:spacing w:after="0"/>
              <w:rPr>
                <w:sz w:val="20"/>
                <w:szCs w:val="20"/>
                <w:color w:val="auto"/>
              </w:rPr>
            </w:pPr>
            <w:r>
              <w:rPr>
                <w:rFonts w:ascii="Times New Roman" w:cs="Times New Roman" w:eastAsia="Times New Roman" w:hAnsi="Times New Roman"/>
                <w:sz w:val="17"/>
                <w:szCs w:val="17"/>
                <w:b w:val="1"/>
                <w:bCs w:val="1"/>
                <w:color w:val="auto"/>
              </w:rPr>
              <w:t>Basel III Guidelines</w:t>
            </w:r>
          </w:p>
        </w:tc>
        <w:tc>
          <w:tcPr>
            <w:tcW w:w="260" w:type="dxa"/>
            <w:vAlign w:val="bottom"/>
          </w:tcPr>
          <w:p>
            <w:pPr>
              <w:spacing w:after="0"/>
              <w:rPr>
                <w:sz w:val="19"/>
                <w:szCs w:val="19"/>
                <w:color w:val="auto"/>
              </w:rPr>
            </w:pPr>
          </w:p>
        </w:tc>
        <w:tc>
          <w:tcPr>
            <w:tcW w:w="28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(Consolidated)</w:t>
            </w:r>
          </w:p>
        </w:tc>
        <w:tc>
          <w:tcPr>
            <w:tcW w:w="340" w:type="dxa"/>
            <w:vAlign w:val="bottom"/>
          </w:tcPr>
          <w:p>
            <w:pPr>
              <w:spacing w:after="0"/>
              <w:rPr>
                <w:sz w:val="19"/>
                <w:szCs w:val="19"/>
                <w:color w:val="auto"/>
              </w:rPr>
            </w:pPr>
          </w:p>
        </w:tc>
        <w:tc>
          <w:tcPr>
            <w:tcW w:w="2680" w:type="dxa"/>
            <w:vAlign w:val="bottom"/>
            <w:gridSpan w:val="4"/>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United Community Bank</w:t>
            </w:r>
          </w:p>
        </w:tc>
      </w:tr>
      <w:tr>
        <w:trPr>
          <w:trHeight w:val="29"/>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7"/>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Well</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55"/>
        </w:trPr>
        <w:tc>
          <w:tcPr>
            <w:tcW w:w="2460" w:type="dxa"/>
            <w:vAlign w:val="bottom"/>
          </w:tcPr>
          <w:p>
            <w:pPr>
              <w:spacing w:after="0"/>
              <w:rPr>
                <w:sz w:val="22"/>
                <w:szCs w:val="22"/>
                <w:color w:val="auto"/>
              </w:rPr>
            </w:pPr>
          </w:p>
        </w:tc>
        <w:tc>
          <w:tcPr>
            <w:tcW w:w="1400" w:type="dxa"/>
            <w:vAlign w:val="bottom"/>
            <w:gridSpan w:val="2"/>
          </w:tcPr>
          <w:p>
            <w:pPr>
              <w:ind w:left="180"/>
              <w:spacing w:after="0" w:line="255" w:lineRule="exact"/>
              <w:rPr>
                <w:sz w:val="20"/>
                <w:szCs w:val="20"/>
                <w:color w:val="auto"/>
              </w:rPr>
            </w:pPr>
            <w:r>
              <w:rPr>
                <w:rFonts w:ascii="Times New Roman" w:cs="Times New Roman" w:eastAsia="Times New Roman" w:hAnsi="Times New Roman"/>
                <w:sz w:val="17"/>
                <w:szCs w:val="17"/>
                <w:b w:val="1"/>
                <w:bCs w:val="1"/>
                <w:color w:val="auto"/>
              </w:rPr>
              <w:t xml:space="preserve">Minimum </w:t>
            </w:r>
            <w:r>
              <w:rPr>
                <w:rFonts w:ascii="Times New Roman" w:cs="Times New Roman" w:eastAsia="Times New Roman" w:hAnsi="Times New Roman"/>
                <w:sz w:val="28"/>
                <w:szCs w:val="28"/>
                <w:b w:val="1"/>
                <w:bCs w:val="1"/>
                <w:color w:val="auto"/>
                <w:vertAlign w:val="superscript"/>
              </w:rPr>
              <w:t>(1)</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Capitalized</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160" w:type="dxa"/>
            <w:vAlign w:val="bottom"/>
          </w:tcPr>
          <w:p>
            <w:pPr>
              <w:spacing w:after="0"/>
              <w:rPr>
                <w:sz w:val="22"/>
                <w:szCs w:val="22"/>
                <w:color w:val="auto"/>
              </w:rPr>
            </w:pPr>
          </w:p>
        </w:tc>
        <w:tc>
          <w:tcPr>
            <w:tcW w:w="124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20" w:type="dxa"/>
            <w:vAlign w:val="bottom"/>
          </w:tcPr>
          <w:p>
            <w:pPr>
              <w:spacing w:after="0"/>
              <w:rPr>
                <w:sz w:val="22"/>
                <w:szCs w:val="22"/>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 2019</w:t>
            </w:r>
          </w:p>
        </w:tc>
        <w:tc>
          <w:tcPr>
            <w:tcW w:w="160" w:type="dxa"/>
            <w:vAlign w:val="bottom"/>
          </w:tcPr>
          <w:p>
            <w:pPr>
              <w:spacing w:after="0"/>
              <w:rPr>
                <w:sz w:val="22"/>
                <w:szCs w:val="22"/>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2018</w:t>
            </w:r>
          </w:p>
        </w:tc>
      </w:tr>
      <w:tr>
        <w:trPr>
          <w:trHeight w:val="244"/>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Risk-based ratios:</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1"/>
        </w:trPr>
        <w:tc>
          <w:tcPr>
            <w:tcW w:w="2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1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9"/>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Tier 1 capital</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12.91</w:t>
            </w:r>
          </w:p>
        </w:tc>
      </w:tr>
      <w:tr>
        <w:trPr>
          <w:trHeight w:val="241"/>
        </w:trPr>
        <w:tc>
          <w:tcPr>
            <w:tcW w:w="2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capital</w:t>
            </w:r>
          </w:p>
        </w:tc>
        <w:tc>
          <w:tcPr>
            <w:tcW w:w="1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14.47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13.60</w:t>
            </w:r>
          </w:p>
        </w:tc>
      </w:tr>
      <w:tr>
        <w:trPr>
          <w:trHeight w:val="29"/>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Leverage ratio</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9.98</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1,233,644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1,148,355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1,400,439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1,216,449</w:t>
            </w:r>
          </w:p>
        </w:tc>
      </w:tr>
      <w:tr>
        <w:trPr>
          <w:trHeight w:val="241"/>
        </w:trPr>
        <w:tc>
          <w:tcPr>
            <w:tcW w:w="2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Tier 1 capital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1,257,894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1,172,605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1,400,439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1,216,449</w:t>
            </w:r>
          </w:p>
        </w:tc>
      </w:tr>
      <w:tr>
        <w:trPr>
          <w:trHeight w:val="29"/>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1,435,479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1,348,843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1,466,411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1,281,062</w:t>
            </w:r>
          </w:p>
        </w:tc>
      </w:tr>
      <w:tr>
        <w:trPr>
          <w:trHeight w:val="241"/>
        </w:trPr>
        <w:tc>
          <w:tcPr>
            <w:tcW w:w="2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Risk-weighted assets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9,918,874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9,441,622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9,896,095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9,421,009</w:t>
            </w:r>
          </w:p>
        </w:tc>
      </w:tr>
      <w:tr>
        <w:trPr>
          <w:trHeight w:val="29"/>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2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Average total assets</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12,298,793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12,207,986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12,275,583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12,183,341</w:t>
            </w:r>
          </w:p>
        </w:tc>
      </w:tr>
      <w:tr>
        <w:trPr>
          <w:trHeight w:val="29"/>
        </w:trPr>
        <w:tc>
          <w:tcPr>
            <w:tcW w:w="24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50" w:lineRule="exact"/>
        <w:rPr>
          <w:sz w:val="20"/>
          <w:szCs w:val="20"/>
          <w:color w:val="auto"/>
        </w:rPr>
      </w:pPr>
    </w:p>
    <w:p>
      <w:pPr>
        <w:ind w:left="200" w:hanging="192"/>
        <w:spacing w:after="0"/>
        <w:tabs>
          <w:tab w:leader="none" w:pos="20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As of September 30, 2019 and December 31, 2018 the additional capital conservation buffer in effect was 2.50% and 1.87%, respectively.</w:t>
      </w:r>
    </w:p>
    <w:p>
      <w:pPr>
        <w:spacing w:after="0" w:line="200" w:lineRule="exact"/>
        <w:rPr>
          <w:rFonts w:ascii="Times New Roman" w:cs="Times New Roman" w:eastAsia="Times New Roman" w:hAnsi="Times New Roman"/>
          <w:sz w:val="24"/>
          <w:szCs w:val="24"/>
          <w:color w:val="auto"/>
          <w:vertAlign w:val="superscript"/>
        </w:rPr>
      </w:pPr>
    </w:p>
    <w:p>
      <w:pPr>
        <w:spacing w:after="0" w:line="219" w:lineRule="exact"/>
        <w:rPr>
          <w:rFonts w:ascii="Times New Roman" w:cs="Times New Roman" w:eastAsia="Times New Roman" w:hAnsi="Times New Roman"/>
          <w:sz w:val="24"/>
          <w:szCs w:val="24"/>
          <w:color w:val="auto"/>
          <w:vertAlign w:val="superscript"/>
        </w:rPr>
      </w:pPr>
    </w:p>
    <w:p>
      <w:pPr>
        <w:ind w:left="56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80" w:right="2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United’s common stock trades on the Nasdaq Global Select Market under the symbol “UCBI.” Below is a quarterly schedule of high, low and closing stock prices and average daily volume for 2019 and 2018.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15 - Stock Price Information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Avg Daily</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Avg Daily</w:t>
            </w:r>
          </w:p>
        </w:tc>
      </w:t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Low</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0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Low</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Close</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529,613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402,230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414,541</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509,152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United’s market risk as of September 30, 2019 from that presented in the 2018 10-K. The interest rate sensitivity position at September 30, 2019 is included in Table 13 in Part I - Item 2 - “Management’s Discussion and Analysis of Financial Condition and Results of Operations” of this Quarterly Report on Form 10-Q.</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jc w:val="both"/>
        <w:ind w:firstLine="656"/>
        <w:spacing w:after="0" w:line="261" w:lineRule="auto"/>
        <w:tabs>
          <w:tab w:leader="none" w:pos="9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principal financial officer, we conducted an evaluation of United’s disclosure controls and procedures (as such term is defined in Exchange Act Rule 13a-15(e)) as of September 30, 2019. Based on, that evaluation, United’s principal executive officer and chief financial officer concluded that our disclosure controls and procedures were effective as of the end of the period covered by this report.</w:t>
      </w:r>
    </w:p>
    <w:p>
      <w:pPr>
        <w:spacing w:after="0" w:line="180"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September 30, 2019 that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80" w:right="239" w:bottom="1440" w:gutter="0" w:footer="0" w:header="0"/>
        </w:sectPr>
      </w:pPr>
    </w:p>
    <w:bookmarkStart w:id="67" w:name="page68"/>
    <w:bookmarkEnd w:id="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United and the Bank are parties to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effect upon the consolidated financial condition or results of operations of United.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United’s 2018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made during the quarter ended September 30, 2019 by or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or any “affiliated purchaser,” as defined by Rule 10b-18(a)(3)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320" w:type="dxa"/>
            <w:vAlign w:val="bottom"/>
          </w:tcPr>
          <w:p>
            <w:pPr>
              <w:spacing w:after="0"/>
              <w:rPr>
                <w:sz w:val="17"/>
                <w:szCs w:val="17"/>
                <w:color w:val="auto"/>
              </w:rPr>
            </w:pPr>
          </w:p>
        </w:tc>
        <w:tc>
          <w:tcPr>
            <w:tcW w:w="2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320" w:type="dxa"/>
            <w:vAlign w:val="bottom"/>
          </w:tcPr>
          <w:p>
            <w:pPr>
              <w:spacing w:after="0"/>
              <w:rPr>
                <w:sz w:val="17"/>
                <w:szCs w:val="17"/>
                <w:color w:val="auto"/>
              </w:rPr>
            </w:pPr>
          </w:p>
        </w:tc>
        <w:tc>
          <w:tcPr>
            <w:tcW w:w="2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Approximate Dollar</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Part of Publicly</w:t>
            </w:r>
          </w:p>
        </w:tc>
        <w:tc>
          <w:tcPr>
            <w:tcW w:w="320" w:type="dxa"/>
            <w:vAlign w:val="bottom"/>
          </w:tcPr>
          <w:p>
            <w:pPr>
              <w:spacing w:after="0"/>
              <w:rPr>
                <w:sz w:val="17"/>
                <w:szCs w:val="17"/>
                <w:color w:val="auto"/>
              </w:rPr>
            </w:pPr>
          </w:p>
        </w:tc>
        <w:tc>
          <w:tcPr>
            <w:tcW w:w="2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Value) of Shares that May</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Announced Plans</w:t>
            </w:r>
          </w:p>
        </w:tc>
        <w:tc>
          <w:tcPr>
            <w:tcW w:w="320" w:type="dxa"/>
            <w:vAlign w:val="bottom"/>
          </w:tcPr>
          <w:p>
            <w:pPr>
              <w:spacing w:after="0"/>
              <w:rPr>
                <w:sz w:val="17"/>
                <w:szCs w:val="17"/>
                <w:color w:val="auto"/>
              </w:rPr>
            </w:pPr>
          </w:p>
        </w:tc>
        <w:tc>
          <w:tcPr>
            <w:tcW w:w="2520" w:type="dxa"/>
            <w:vAlign w:val="bottom"/>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Yet Be Purchased Under</w:t>
            </w:r>
          </w:p>
        </w:tc>
      </w:tr>
      <w:tr>
        <w:trPr>
          <w:trHeight w:val="245"/>
        </w:trPr>
        <w:tc>
          <w:tcPr>
            <w:tcW w:w="3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(Dollars in thousands, except for per share amounts)</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per Share</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 xml:space="preserve">the Plans or Programs </w:t>
            </w:r>
            <w:r>
              <w:rPr>
                <w:rFonts w:ascii="Times New Roman" w:cs="Times New Roman" w:eastAsia="Times New Roman" w:hAnsi="Times New Roman"/>
                <w:sz w:val="21"/>
                <w:szCs w:val="21"/>
                <w:b w:val="1"/>
                <w:bCs w:val="1"/>
                <w:color w:val="auto"/>
                <w:w w:val="99"/>
                <w:vertAlign w:val="superscript"/>
              </w:rPr>
              <w:t>(1)</w:t>
            </w:r>
          </w:p>
        </w:tc>
      </w:tr>
      <w:tr>
        <w:trPr>
          <w:trHeight w:val="23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July 1, 2019 - July 31, 2019</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42,160</w:t>
            </w:r>
          </w:p>
        </w:tc>
      </w:tr>
      <w:tr>
        <w:trPr>
          <w:trHeight w:val="237"/>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August 1, 2019 - August 31, 2019</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195,443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36,980</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September 1, 2019 - September 30, 2019</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36,980</w:t>
            </w:r>
          </w:p>
        </w:tc>
      </w:tr>
      <w:tr>
        <w:trPr>
          <w:trHeight w:val="244"/>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195,443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26.51</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195,443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5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36,980</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9" w:lineRule="auto"/>
        <w:tabs>
          <w:tab w:leader="none" w:pos="167"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In November 2018, United announced that its Board of Directors approved an increase and extension of its ongoing common stock repurchase program, authorizing $50 million of repurchases of United’s outstanding common stock. The program is scheduled to expire upon the earlier of United’s repurchase of shares of its common stock having an aggregate purchase price of $50 million and December 31, 2019. Under the program, the shares may be repurchased in the open market or in privately negotiated transactions, from time to time, subject to market and other conditions. </w:t>
      </w:r>
      <w:r>
        <w:rPr>
          <w:rFonts w:ascii="Times New Roman" w:cs="Times New Roman" w:eastAsia="Times New Roman" w:hAnsi="Times New Roman"/>
          <w:sz w:val="15"/>
          <w:szCs w:val="15"/>
          <w:color w:val="212529"/>
        </w:rPr>
        <w:t>The approved share repurchase program does not obligate United to repurchase any dollar amount 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12529"/>
        </w:rPr>
        <w:t xml:space="preserve">number of shares, and the program may be extended, modified, suspended, or discontinued </w:t>
      </w:r>
      <w:r>
        <w:rPr>
          <w:rFonts w:ascii="Times New Roman" w:cs="Times New Roman" w:eastAsia="Times New Roman" w:hAnsi="Times New Roman"/>
          <w:sz w:val="15"/>
          <w:szCs w:val="15"/>
          <w:color w:val="000000"/>
        </w:rPr>
        <w:t>at any time. In November of 2019, the Board of Directors authorized an updated</w:t>
      </w:r>
      <w:r>
        <w:rPr>
          <w:rFonts w:ascii="Times New Roman" w:cs="Times New Roman" w:eastAsia="Times New Roman" w:hAnsi="Times New Roman"/>
          <w:sz w:val="15"/>
          <w:szCs w:val="15"/>
          <w:color w:val="212529"/>
        </w:rPr>
        <w:t xml:space="preserve"> </w:t>
      </w:r>
      <w:r>
        <w:rPr>
          <w:rFonts w:ascii="Times New Roman" w:cs="Times New Roman" w:eastAsia="Times New Roman" w:hAnsi="Times New Roman"/>
          <w:sz w:val="15"/>
          <w:szCs w:val="15"/>
          <w:color w:val="000000"/>
        </w:rPr>
        <w:t>repurchase program for $50 million of its common shares that may be acquired through 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76"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7" w:lineRule="exact"/>
        <w:rPr>
          <w:sz w:val="20"/>
          <w:szCs w:val="20"/>
          <w:color w:val="auto"/>
        </w:rPr>
      </w:pPr>
    </w:p>
    <w:p>
      <w:pPr>
        <w:ind w:left="480"/>
        <w:spacing w:after="0"/>
        <w:tabs>
          <w:tab w:leader="none" w:pos="61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91" w:lineRule="exact"/>
        <w:rPr>
          <w:sz w:val="20"/>
          <w:szCs w:val="20"/>
          <w:color w:val="auto"/>
        </w:rPr>
      </w:pPr>
    </w:p>
    <w:p>
      <w:pPr>
        <w:ind w:left="1880" w:right="20" w:hanging="827"/>
        <w:spacing w:after="0" w:line="282" w:lineRule="auto"/>
        <w:tabs>
          <w:tab w:leader="none" w:pos="1860" w:val="left"/>
        </w:tabs>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71">
        <w:r>
          <w:rPr>
            <w:rFonts w:ascii="Times New Roman" w:cs="Times New Roman" w:eastAsia="Times New Roman" w:hAnsi="Times New Roman"/>
            <w:sz w:val="18"/>
            <w:szCs w:val="18"/>
            <w:u w:val="single" w:color="auto"/>
            <w:color w:val="0000FF"/>
          </w:rPr>
          <w:t>Certification by H. Lynn Harton, President and Chief Executive Officer of United Community Banks, Inc., pursuant to Exchange</w:t>
        </w:r>
      </w:hyperlink>
      <w:r>
        <w:rPr>
          <w:rFonts w:ascii="Times New Roman" w:cs="Times New Roman" w:eastAsia="Times New Roman" w:hAnsi="Times New Roman"/>
          <w:sz w:val="18"/>
          <w:szCs w:val="18"/>
          <w:u w:val="single" w:color="auto"/>
          <w:color w:val="0000FF"/>
        </w:rPr>
        <w:t xml:space="preserve"> </w:t>
      </w:r>
      <w:hyperlink w:anchor="page71">
        <w:r>
          <w:rPr>
            <w:rFonts w:ascii="Times New Roman" w:cs="Times New Roman" w:eastAsia="Times New Roman" w:hAnsi="Times New Roman"/>
            <w:sz w:val="18"/>
            <w:szCs w:val="18"/>
            <w:u w:val="single" w:color="auto"/>
            <w:color w:val="0000FF"/>
          </w:rPr>
          <w:t>Act Rule 13a-14(a).</w:t>
        </w:r>
      </w:hyperlink>
    </w:p>
    <w:p>
      <w:pPr>
        <w:spacing w:after="0" w:line="270" w:lineRule="exact"/>
        <w:rPr>
          <w:rFonts w:ascii="Times New Roman" w:cs="Times New Roman" w:eastAsia="Times New Roman" w:hAnsi="Times New Roman"/>
          <w:sz w:val="18"/>
          <w:szCs w:val="18"/>
          <w:u w:val="single" w:color="auto"/>
          <w:color w:val="0000FF"/>
        </w:rPr>
      </w:pPr>
    </w:p>
    <w:p>
      <w:pPr>
        <w:ind w:left="1880" w:right="20" w:hanging="827"/>
        <w:spacing w:after="0" w:line="282" w:lineRule="auto"/>
        <w:tabs>
          <w:tab w:leader="none" w:pos="1860" w:val="left"/>
        </w:tabs>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w:anchor="page72">
        <w:r>
          <w:rPr>
            <w:rFonts w:ascii="Times New Roman" w:cs="Times New Roman" w:eastAsia="Times New Roman" w:hAnsi="Times New Roman"/>
            <w:sz w:val="18"/>
            <w:szCs w:val="18"/>
            <w:u w:val="single" w:color="auto"/>
            <w:color w:val="0000FF"/>
          </w:rPr>
          <w:t>Certification by Jefferson L. Harralson, Executive Vice President and Chief Financial Officer of United Community Banks, Inc.,</w:t>
        </w:r>
      </w:hyperlink>
      <w:r>
        <w:rPr>
          <w:rFonts w:ascii="Times New Roman" w:cs="Times New Roman" w:eastAsia="Times New Roman" w:hAnsi="Times New Roman"/>
          <w:sz w:val="18"/>
          <w:szCs w:val="18"/>
          <w:u w:val="single" w:color="auto"/>
          <w:color w:val="0000FF"/>
        </w:rPr>
        <w:t xml:space="preserve"> </w:t>
      </w:r>
      <w:hyperlink w:anchor="page72">
        <w:r>
          <w:rPr>
            <w:rFonts w:ascii="Times New Roman" w:cs="Times New Roman" w:eastAsia="Times New Roman" w:hAnsi="Times New Roman"/>
            <w:sz w:val="18"/>
            <w:szCs w:val="18"/>
            <w:u w:val="single" w:color="auto"/>
            <w:color w:val="0000FF"/>
          </w:rPr>
          <w:t>pursuant to Exchange Act Rule 13a-14(a).</w:t>
        </w:r>
      </w:hyperlink>
    </w:p>
    <w:p>
      <w:pPr>
        <w:spacing w:after="0" w:line="270" w:lineRule="exact"/>
        <w:rPr>
          <w:rFonts w:ascii="Times New Roman" w:cs="Times New Roman" w:eastAsia="Times New Roman" w:hAnsi="Times New Roman"/>
          <w:sz w:val="18"/>
          <w:szCs w:val="18"/>
          <w:u w:val="single" w:color="auto"/>
          <w:color w:val="0000FF"/>
        </w:rPr>
      </w:pPr>
    </w:p>
    <w:p>
      <w:pPr>
        <w:ind w:left="1880" w:hanging="701"/>
        <w:spacing w:after="0"/>
        <w:tabs>
          <w:tab w:leader="none" w:pos="1880" w:val="left"/>
        </w:tabs>
        <w:numPr>
          <w:ilvl w:val="0"/>
          <w:numId w:val="13"/>
        </w:numPr>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Certification of CEO and CFO pursuant to 18 U.S.C. Section 1350.</w:t>
        </w:r>
      </w:hyperlink>
    </w:p>
    <w:p>
      <w:pPr>
        <w:spacing w:after="0" w:line="333" w:lineRule="exact"/>
        <w:rPr>
          <w:rFonts w:ascii="Times New Roman" w:cs="Times New Roman" w:eastAsia="Times New Roman" w:hAnsi="Times New Roman"/>
          <w:sz w:val="18"/>
          <w:szCs w:val="18"/>
          <w:u w:val="single" w:color="auto"/>
          <w:color w:val="0000FF"/>
        </w:rPr>
      </w:pPr>
    </w:p>
    <w:p>
      <w:pPr>
        <w:ind w:left="188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Interactive data files for United Community Bank, Inc.’s Quarterly Report on Form 10-Q for the quarter ended September 30, 2019,</w:t>
      </w:r>
    </w:p>
    <w:p>
      <w:pPr>
        <w:spacing w:after="0" w:line="27" w:lineRule="exact"/>
        <w:rPr>
          <w:rFonts w:ascii="Times New Roman" w:cs="Times New Roman" w:eastAsia="Times New Roman" w:hAnsi="Times New Roman"/>
          <w:sz w:val="18"/>
          <w:szCs w:val="18"/>
          <w:u w:val="single" w:color="auto"/>
          <w:color w:val="0000FF"/>
        </w:rPr>
      </w:pPr>
    </w:p>
    <w:p>
      <w:pPr>
        <w:jc w:val="both"/>
        <w:ind w:left="1880"/>
        <w:spacing w:after="0" w:line="250" w:lineRule="auto"/>
        <w:rPr>
          <w:sz w:val="20"/>
          <w:szCs w:val="20"/>
          <w:color w:val="auto"/>
        </w:rPr>
      </w:pPr>
      <w:r>
        <w:rPr>
          <w:rFonts w:ascii="Times New Roman" w:cs="Times New Roman" w:eastAsia="Times New Roman" w:hAnsi="Times New Roman"/>
          <w:sz w:val="18"/>
          <w:szCs w:val="18"/>
          <w:color w:val="auto"/>
        </w:rPr>
        <w:t xml:space="preserve">formatted in Inline XBRL: </w:t>
      </w:r>
      <w:r>
        <w:rPr>
          <w:rFonts w:ascii="Times New Roman" w:cs="Times New Roman" w:eastAsia="Times New Roman" w:hAnsi="Times New Roman"/>
          <w:sz w:val="18"/>
          <w:szCs w:val="18"/>
          <w:color w:val="212529"/>
        </w:rPr>
        <w:t>(i) the Consolidated Balance Sheets (unaudited); (ii) the Consolidated Statements of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(unaudited); (iii) the Consolidated Statements of Comprehensive Income (unaudited); (iv) the Condensed Consolidated Statements in Shareholders’ Equity (unaudited); (v) the Condensed Consolidated Statements of Cash Flows (unaudited); and (vi) the Notes to</w:t>
      </w:r>
    </w:p>
    <w:p>
      <w:pPr>
        <w:spacing w:after="0" w:line="1" w:lineRule="exact"/>
        <w:rPr>
          <w:rFonts w:ascii="Times New Roman" w:cs="Times New Roman" w:eastAsia="Times New Roman" w:hAnsi="Times New Roman"/>
          <w:sz w:val="18"/>
          <w:szCs w:val="18"/>
          <w:u w:val="single" w:color="auto"/>
          <w:color w:val="0000FF"/>
        </w:rPr>
      </w:pPr>
    </w:p>
    <w:p>
      <w:pPr>
        <w:ind w:left="1880" w:hanging="791"/>
        <w:spacing w:after="0"/>
        <w:tabs>
          <w:tab w:leader="none" w:pos="1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Condensed Consolidated Financial Statements (unaudited)</w:t>
      </w:r>
      <w:r>
        <w:rPr>
          <w:rFonts w:ascii="Times New Roman" w:cs="Times New Roman" w:eastAsia="Times New Roman" w:hAnsi="Times New Roman"/>
          <w:sz w:val="18"/>
          <w:szCs w:val="18"/>
          <w:color w:val="000000"/>
        </w:rPr>
        <w:t>.</w:t>
      </w:r>
    </w:p>
    <w:p>
      <w:pPr>
        <w:spacing w:after="0" w:line="369" w:lineRule="exact"/>
        <w:rPr>
          <w:rFonts w:ascii="Times New Roman" w:cs="Times New Roman" w:eastAsia="Times New Roman" w:hAnsi="Times New Roman"/>
          <w:sz w:val="18"/>
          <w:szCs w:val="18"/>
          <w:u w:val="single" w:color="auto"/>
          <w:color w:val="0000FF"/>
        </w:rPr>
      </w:pPr>
    </w:p>
    <w:p>
      <w:pPr>
        <w:jc w:val="right"/>
        <w:spacing w:after="0"/>
        <w:rPr>
          <w:sz w:val="20"/>
          <w:szCs w:val="20"/>
          <w:color w:val="auto"/>
        </w:rPr>
      </w:pPr>
      <w:r>
        <w:rPr>
          <w:rFonts w:ascii="Times New Roman" w:cs="Times New Roman" w:eastAsia="Times New Roman" w:hAnsi="Times New Roman"/>
          <w:sz w:val="18"/>
          <w:szCs w:val="18"/>
          <w:color w:val="auto"/>
        </w:rPr>
        <w:t>The cover page from United Community Bank’s Quarterly Report on Form 10-Q for the quarter ended September 30, 2019</w:t>
      </w:r>
    </w:p>
    <w:p>
      <w:pPr>
        <w:spacing w:after="0" w:line="27" w:lineRule="exact"/>
        <w:rPr>
          <w:rFonts w:ascii="Times New Roman" w:cs="Times New Roman" w:eastAsia="Times New Roman" w:hAnsi="Times New Roman"/>
          <w:sz w:val="18"/>
          <w:szCs w:val="18"/>
          <w:u w:val="single" w:color="auto"/>
          <w:color w:val="0000FF"/>
        </w:rPr>
      </w:pPr>
    </w:p>
    <w:p>
      <w:pPr>
        <w:ind w:left="5620" w:right="5480" w:hanging="4531"/>
        <w:spacing w:after="0" w:line="824" w:lineRule="auto"/>
        <w:tabs>
          <w:tab w:leader="none" w:pos="18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Inline XBRL and included in Exhibit 101) 65</w:t>
      </w:r>
    </w:p>
    <w:p>
      <w:pPr>
        <w:sectPr>
          <w:pgSz w:w="11900" w:h="16838" w:orient="portrait"/>
          <w:cols w:equalWidth="0" w:num="1">
            <w:col w:w="11400"/>
          </w:cols>
          <w:pgMar w:left="240" w:top="576" w:right="2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Alan H. Kumler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6" w:right="239" w:bottom="1440" w:gutter="0" w:footer="0" w:header="0"/>
        </w:sectPr>
      </w:pPr>
    </w:p>
    <w:bookmarkStart w:id="70" w:name="page71"/>
    <w:bookmarkEnd w:id="70"/>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8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8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4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 Lynn Harton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420"/>
          </w:cols>
          <w:pgMar w:left="240" w:top="576" w:right="239" w:bottom="1440" w:gutter="0" w:footer="0" w:header="0"/>
        </w:sectPr>
      </w:pPr>
    </w:p>
    <w:bookmarkStart w:id="71" w:name="page72"/>
    <w:bookmarkEnd w:id="71"/>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87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5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7, 2019</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420"/>
          </w:cols>
          <w:pgMar w:left="240" w:top="576" w:right="239" w:bottom="1440" w:gutter="0" w:footer="0" w:header="0"/>
        </w:sectPr>
      </w:pPr>
    </w:p>
    <w:bookmarkStart w:id="72" w:name="page73"/>
    <w:bookmarkEnd w:id="72"/>
    <w:p>
      <w:pPr>
        <w:ind w:left="1062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September 30, 2019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5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tab/>
        <w:t>H. Lynn Harton</w:t>
      </w:r>
    </w:p>
    <w:p>
      <w:pPr>
        <w:spacing w:after="0" w:line="63"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2019</w:t>
      </w:r>
    </w:p>
    <w:p>
      <w:pPr>
        <w:spacing w:after="0" w:line="3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tab/>
        <w:t>Jefferson L. Harralson</w:t>
      </w:r>
    </w:p>
    <w:p>
      <w:pPr>
        <w:spacing w:after="0" w:line="63"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5860"/>
        <w:spacing w:after="0"/>
        <w:tabs>
          <w:tab w:leader="none" w:pos="65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7,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1"/>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2019-12-28T02:14:46Z</dcterms:created>
  <dcterms:modified xsi:type="dcterms:W3CDTF">2019-12-28T02:14:46Z</dcterms:modified>
</cp:coreProperties>
</file>