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38" w:lineRule="exact"/>
        <w:rPr>
          <w:sz w:val="24"/>
          <w:szCs w:val="24"/>
          <w:color w:val="auto"/>
        </w:rPr>
      </w:pPr>
    </w:p>
    <w:p>
      <w:pPr>
        <w:ind w:left="3320" w:hanging="1006"/>
        <w:spacing w:after="0"/>
        <w:tabs>
          <w:tab w:leader="none" w:pos="3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w:t>
      </w:r>
    </w:p>
    <w:p>
      <w:pPr>
        <w:ind w:left="38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14" w:lineRule="exact"/>
        <w:rPr>
          <w:sz w:val="24"/>
          <w:szCs w:val="24"/>
          <w:color w:val="auto"/>
        </w:rPr>
      </w:pPr>
    </w:p>
    <w:p>
      <w:pPr>
        <w:ind w:left="3320" w:hanging="1006"/>
        <w:spacing w:after="0"/>
        <w:tabs>
          <w:tab w:leader="none" w:pos="33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w:t>
      </w:r>
    </w:p>
    <w:p>
      <w:pPr>
        <w:ind w:left="38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OF THE SECURITIES EXCHANGE ACT OF 1934</w:t>
      </w:r>
    </w:p>
    <w:p>
      <w:pPr>
        <w:spacing w:after="0" w:line="5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w:t>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001-35095</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COMMUNITY BANKS,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20" w:lineRule="exact"/>
        <w:rPr>
          <w:sz w:val="24"/>
          <w:szCs w:val="24"/>
          <w:color w:val="auto"/>
        </w:rPr>
      </w:pPr>
    </w:p>
    <w:tbl>
      <w:tblPr>
        <w:tblLayout w:type="fixed"/>
        <w:tblInd w:w="76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37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Georgia</w:t>
            </w:r>
          </w:p>
        </w:tc>
        <w:tc>
          <w:tcPr>
            <w:tcW w:w="5980" w:type="dxa"/>
            <w:vAlign w:val="bottom"/>
            <w:gridSpan w:val="2"/>
          </w:tcPr>
          <w:p>
            <w:pPr>
              <w:jc w:val="center"/>
              <w:ind w:left="2159"/>
              <w:spacing w:after="0"/>
              <w:rPr>
                <w:sz w:val="20"/>
                <w:szCs w:val="20"/>
                <w:color w:val="auto"/>
              </w:rPr>
            </w:pPr>
            <w:r>
              <w:rPr>
                <w:rFonts w:ascii="Times New Roman" w:cs="Times New Roman" w:eastAsia="Times New Roman" w:hAnsi="Times New Roman"/>
                <w:sz w:val="16"/>
                <w:szCs w:val="16"/>
                <w:b w:val="1"/>
                <w:bCs w:val="1"/>
                <w:color w:val="auto"/>
              </w:rPr>
              <w:t>58-1807304</w:t>
            </w:r>
          </w:p>
        </w:tc>
      </w:tr>
      <w:tr>
        <w:trPr>
          <w:trHeight w:val="234"/>
        </w:trPr>
        <w:tc>
          <w:tcPr>
            <w:tcW w:w="20" w:type="dxa"/>
            <w:vAlign w:val="bottom"/>
          </w:tcPr>
          <w:p>
            <w:pPr>
              <w:spacing w:after="0"/>
              <w:rPr>
                <w:sz w:val="20"/>
                <w:szCs w:val="20"/>
                <w:color w:val="auto"/>
              </w:rPr>
            </w:pPr>
          </w:p>
        </w:tc>
        <w:tc>
          <w:tcPr>
            <w:tcW w:w="372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(State of incorporation)</w:t>
            </w:r>
          </w:p>
        </w:tc>
        <w:tc>
          <w:tcPr>
            <w:tcW w:w="2240" w:type="dxa"/>
            <w:vAlign w:val="bottom"/>
          </w:tcPr>
          <w:p>
            <w:pPr>
              <w:spacing w:after="0"/>
              <w:rPr>
                <w:sz w:val="20"/>
                <w:szCs w:val="20"/>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338"/>
        </w:trPr>
        <w:tc>
          <w:tcPr>
            <w:tcW w:w="20" w:type="dxa"/>
            <w:vAlign w:val="bottom"/>
          </w:tcPr>
          <w:p>
            <w:pPr>
              <w:spacing w:after="0"/>
              <w:rPr>
                <w:sz w:val="24"/>
                <w:szCs w:val="24"/>
                <w:color w:val="auto"/>
              </w:rPr>
            </w:pP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200 East Camperdown Way</w:t>
            </w:r>
          </w:p>
        </w:tc>
        <w:tc>
          <w:tcPr>
            <w:tcW w:w="224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372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Greenville, South Carolina</w:t>
            </w:r>
          </w:p>
        </w:tc>
        <w:tc>
          <w:tcPr>
            <w:tcW w:w="5980" w:type="dxa"/>
            <w:vAlign w:val="bottom"/>
            <w:gridSpan w:val="2"/>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w w:val="99"/>
              </w:rPr>
              <w:t>29601</w:t>
            </w:r>
          </w:p>
        </w:tc>
      </w:tr>
      <w:tr>
        <w:trPr>
          <w:trHeight w:val="209"/>
        </w:trPr>
        <w:tc>
          <w:tcPr>
            <w:tcW w:w="20" w:type="dxa"/>
            <w:vAlign w:val="bottom"/>
            <w:tcBorders>
              <w:top w:val="single" w:sz="8" w:color="auto"/>
            </w:tcBorders>
          </w:tcPr>
          <w:p>
            <w:pPr>
              <w:spacing w:after="0"/>
              <w:rPr>
                <w:sz w:val="18"/>
                <w:szCs w:val="18"/>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91"/>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(800) 822-2651</w:t>
            </w:r>
          </w:p>
        </w:tc>
        <w:tc>
          <w:tcPr>
            <w:tcW w:w="374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11" w:lineRule="exact"/>
        <w:rPr>
          <w:sz w:val="24"/>
          <w:szCs w:val="24"/>
          <w:color w:val="auto"/>
        </w:rPr>
      </w:pPr>
    </w:p>
    <w:tbl>
      <w:tblPr>
        <w:tblLayout w:type="fixed"/>
        <w:tblInd w:w="40" w:type="dxa"/>
        <w:tblCellMar>
          <w:top w:w="0" w:type="dxa"/>
          <w:left w:w="0" w:type="dxa"/>
          <w:bottom w:w="0" w:type="dxa"/>
          <w:right w:w="0" w:type="dxa"/>
        </w:tblCellMar>
      </w:tblPr>
      <w:tr>
        <w:trPr>
          <w:trHeight w:val="190"/>
        </w:trPr>
        <w:tc>
          <w:tcPr>
            <w:tcW w:w="4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280"/>
        </w:trPr>
        <w:tc>
          <w:tcPr>
            <w:tcW w:w="1840" w:type="dxa"/>
            <w:vAlign w:val="bottom"/>
          </w:tcPr>
          <w:p>
            <w:pPr>
              <w:spacing w:after="0"/>
              <w:rPr>
                <w:sz w:val="24"/>
                <w:szCs w:val="24"/>
                <w:color w:val="auto"/>
              </w:rPr>
            </w:pPr>
          </w:p>
        </w:tc>
        <w:tc>
          <w:tcPr>
            <w:tcW w:w="2460" w:type="dxa"/>
            <w:vAlign w:val="bottom"/>
            <w:gridSpan w:val="2"/>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13"/>
        </w:trPr>
        <w:tc>
          <w:tcPr>
            <w:tcW w:w="4300" w:type="dxa"/>
            <w:vAlign w:val="bottom"/>
            <w:gridSpan w:val="3"/>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Common stock, par value $1 per share</w:t>
            </w:r>
          </w:p>
        </w:tc>
        <w:tc>
          <w:tcPr>
            <w:tcW w:w="700" w:type="dxa"/>
            <w:vAlign w:val="bottom"/>
          </w:tcPr>
          <w:p>
            <w:pPr>
              <w:spacing w:after="0"/>
              <w:rPr>
                <w:sz w:val="18"/>
                <w:szCs w:val="18"/>
                <w:color w:val="auto"/>
              </w:rPr>
            </w:pPr>
          </w:p>
        </w:tc>
        <w:tc>
          <w:tcPr>
            <w:tcW w:w="234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UCB</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bl>
    <w:p>
      <w:pPr>
        <w:spacing w:after="0" w:line="345"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19"/>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3"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19"/>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4"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Large 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20" w:type="dxa"/>
            <w:vAlign w:val="bottom"/>
          </w:tcPr>
          <w:p>
            <w:pPr>
              <w:ind w:left="2560"/>
              <w:spacing w:after="0"/>
              <w:rPr>
                <w:sz w:val="20"/>
                <w:szCs w:val="20"/>
                <w:color w:val="auto"/>
              </w:rPr>
            </w:pPr>
            <w:r>
              <w:rPr>
                <w:rFonts w:ascii="Times New Roman" w:cs="Times New Roman" w:eastAsia="Times New Roman" w:hAnsi="Times New Roman"/>
                <w:sz w:val="16"/>
                <w:szCs w:val="16"/>
                <w:b w:val="1"/>
                <w:bCs w:val="1"/>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7" w:lineRule="exact"/>
        <w:rPr>
          <w:sz w:val="24"/>
          <w:szCs w:val="24"/>
          <w:color w:val="auto"/>
        </w:rPr>
      </w:pPr>
    </w:p>
    <w:p>
      <w:pPr>
        <w:spacing w:after="0" w:line="231" w:lineRule="exact"/>
        <w:rPr>
          <w:sz w:val="20"/>
          <w:szCs w:val="20"/>
          <w:color w:val="auto"/>
        </w:rPr>
      </w:pPr>
      <w:r>
        <w:rPr>
          <w:rFonts w:ascii="Times New Roman" w:cs="Times New Roman" w:eastAsia="Times New Roman" w:hAnsi="Times New Roman"/>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Indicate by check mark whether the registrant is a shell company (as defined in Rule 12b-2 of the Exchange Act).</w:t>
      </w:r>
    </w:p>
    <w:p>
      <w:pPr>
        <w:spacing w:after="0" w:line="16" w:lineRule="exact"/>
        <w:rPr>
          <w:sz w:val="24"/>
          <w:szCs w:val="24"/>
          <w:color w:val="auto"/>
        </w:rPr>
      </w:pPr>
    </w:p>
    <w:p>
      <w:pPr>
        <w:ind w:left="5180"/>
        <w:spacing w:after="0" w:line="196" w:lineRule="exact"/>
        <w:rPr>
          <w:sz w:val="20"/>
          <w:szCs w:val="20"/>
          <w:color w:val="auto"/>
        </w:rPr>
      </w:pP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b w:val="1"/>
          <w:bCs w:val="1"/>
          <w:color w:val="auto"/>
        </w:rPr>
        <w:t xml:space="preserve"> No </w:t>
      </w:r>
      <w:r>
        <w:rPr>
          <w:rFonts w:ascii="MS PGothic" w:cs="MS PGothic" w:eastAsia="MS PGothic" w:hAnsi="MS PGothic"/>
          <w:sz w:val="17"/>
          <w:szCs w:val="17"/>
          <w:color w:val="auto"/>
        </w:rPr>
        <w:t>☒</w:t>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There were 119,686,643 shares of the registrant’s common stock, par value $1 per share, outstanding as of April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rPr>
              <w:t>Glossary of Defined Terms</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70"/>
        </w:trPr>
        <w:tc>
          <w:tcPr>
            <w:tcW w:w="5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26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9"/>
        </w:trPr>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Cautionary Note Regarding Forward-looking Statements</w:t>
            </w: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70"/>
        </w:trPr>
        <w:tc>
          <w:tcPr>
            <w:tcW w:w="58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5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7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200" w:type="dxa"/>
            <w:vAlign w:val="bottom"/>
            <w:tcBorders>
              <w:top w:val="single" w:sz="8" w:color="CCEEFF"/>
            </w:tcBorders>
          </w:tcPr>
          <w:p>
            <w:pPr>
              <w:spacing w:after="0"/>
              <w:rPr>
                <w:sz w:val="23"/>
                <w:szCs w:val="23"/>
                <w:color w:val="auto"/>
              </w:rPr>
            </w:pPr>
          </w:p>
        </w:tc>
        <w:tc>
          <w:tcPr>
            <w:tcW w:w="26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10"/>
        </w:trPr>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40" w:type="dxa"/>
            <w:vAlign w:val="bottom"/>
            <w:gridSpan w:val="14"/>
            <w:shd w:val="clear" w:color="auto" w:fill="CCEEFF"/>
          </w:tcPr>
          <w:p>
            <w:pPr>
              <w:jc w:val="center"/>
              <w:ind w:right="4200"/>
              <w:spacing w:after="0" w:line="189" w:lineRule="exact"/>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58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2840" w:type="dxa"/>
            <w:vAlign w:val="bottom"/>
            <w:tcBorders>
              <w:top w:val="single" w:sz="8" w:color="CCEEFF"/>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440" w:type="dxa"/>
            <w:vAlign w:val="bottom"/>
            <w:tcBorders>
              <w:top w:val="single" w:sz="8" w:color="0000FF"/>
            </w:tcBorders>
            <w:gridSpan w:val="11"/>
          </w:tcPr>
          <w:p>
            <w:pPr>
              <w:spacing w:after="0"/>
              <w:rPr>
                <w:sz w:val="19"/>
                <w:szCs w:val="19"/>
                <w:color w:val="auto"/>
              </w:rPr>
            </w:pPr>
          </w:p>
        </w:tc>
        <w:tc>
          <w:tcPr>
            <w:tcW w:w="4200" w:type="dxa"/>
            <w:vAlign w:val="bottom"/>
            <w:tcBorders>
              <w:top w:val="single" w:sz="8" w:color="CCEEFF"/>
            </w:tcBorders>
            <w:gridSpan w:val="3"/>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Balance Sheets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Income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Comprehensive Income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Changes in Shareholders’ Equity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Consolidated Statements of Cash Flows (unaudited)</w:t>
            </w: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9</w:t>
            </w: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Notes to Consolidated Financial Statements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2.</w:t>
            </w: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3.</w:t>
            </w: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4.</w:t>
            </w: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40" w:type="dxa"/>
            <w:vAlign w:val="bottom"/>
            <w:gridSpan w:val="14"/>
          </w:tcPr>
          <w:p>
            <w:pPr>
              <w:jc w:val="center"/>
              <w:ind w:right="4200"/>
              <w:spacing w:after="0" w:line="189" w:lineRule="exact"/>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1A.</w:t>
            </w:r>
          </w:p>
        </w:tc>
        <w:tc>
          <w:tcPr>
            <w:tcW w:w="94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Risk Factors</w:t>
            </w:r>
          </w:p>
        </w:tc>
        <w:tc>
          <w:tcPr>
            <w:tcW w:w="1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shd w:val="clear" w:color="auto" w:fill="CCEEFF"/>
          </w:tcPr>
          <w:p>
            <w:pPr>
              <w:spacing w:after="0"/>
              <w:rPr>
                <w:sz w:val="16"/>
                <w:szCs w:val="16"/>
                <w:color w:val="auto"/>
              </w:rPr>
            </w:pPr>
          </w:p>
        </w:tc>
      </w:tr>
      <w:tr>
        <w:trPr>
          <w:trHeight w:val="21"/>
        </w:trPr>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80" w:type="dxa"/>
            <w:vAlign w:val="bottom"/>
          </w:tcPr>
          <w:p>
            <w:pPr>
              <w:spacing w:after="0"/>
              <w:rPr>
                <w:sz w:val="16"/>
                <w:szCs w:val="16"/>
                <w:color w:val="auto"/>
              </w:rPr>
            </w:pPr>
          </w:p>
        </w:tc>
        <w:tc>
          <w:tcPr>
            <w:tcW w:w="6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Item 2.</w:t>
            </w:r>
          </w:p>
        </w:tc>
        <w:tc>
          <w:tcPr>
            <w:tcW w:w="320" w:type="dxa"/>
            <w:vAlign w:val="bottom"/>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6"/>
              </w:rPr>
              <w:t>Item 5.</w:t>
            </w:r>
          </w:p>
        </w:tc>
        <w:tc>
          <w:tcPr>
            <w:tcW w:w="440" w:type="dxa"/>
            <w:vAlign w:val="bottom"/>
            <w:tcBorders>
              <w:bottom w:val="single" w:sz="8" w:color="CCEEFF"/>
            </w:tcBorders>
            <w:gridSpan w:val="2"/>
            <w:shd w:val="clear" w:color="auto" w:fill="CCEEFF"/>
          </w:tcPr>
          <w:p>
            <w:pPr>
              <w:spacing w:after="0"/>
              <w:rPr>
                <w:sz w:val="18"/>
                <w:szCs w:val="18"/>
                <w:color w:val="auto"/>
              </w:rPr>
            </w:pPr>
          </w:p>
        </w:tc>
        <w:tc>
          <w:tcPr>
            <w:tcW w:w="150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9"/>
              </w:rPr>
              <w:t>Other Information.</w:t>
            </w:r>
          </w:p>
        </w:tc>
        <w:tc>
          <w:tcPr>
            <w:tcW w:w="7980" w:type="dxa"/>
            <w:vAlign w:val="bottom"/>
            <w:tcBorders>
              <w:bottom w:val="single" w:sz="8" w:color="CCEEFF"/>
            </w:tcBorders>
            <w:gridSpan w:val="17"/>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58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6"/>
              </w:rPr>
              <w:t>Item 6.</w:t>
            </w:r>
          </w:p>
        </w:tc>
        <w:tc>
          <w:tcPr>
            <w:tcW w:w="440" w:type="dxa"/>
            <w:vAlign w:val="bottom"/>
            <w:gridSpan w:val="2"/>
          </w:tcPr>
          <w:p>
            <w:pPr>
              <w:spacing w:after="0"/>
              <w:rPr>
                <w:sz w:val="16"/>
                <w:szCs w:val="16"/>
                <w:color w:val="auto"/>
              </w:rPr>
            </w:pPr>
          </w:p>
        </w:tc>
        <w:tc>
          <w:tcPr>
            <w:tcW w:w="9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Exhibits</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Glossary of Defined Terms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may be used throughout this report, including the consolidated financial statements and related notes.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169"/>
        </w:trPr>
        <w:tc>
          <w:tcPr>
            <w:tcW w:w="25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2025 10-K</w:t>
            </w:r>
          </w:p>
        </w:tc>
        <w:tc>
          <w:tcPr>
            <w:tcW w:w="120" w:type="dxa"/>
            <w:vAlign w:val="bottom"/>
            <w:tcBorders>
              <w:top w:val="single" w:sz="8" w:color="CCEEFF"/>
            </w:tcBorders>
            <w:shd w:val="clear" w:color="auto" w:fill="CCEEFF"/>
          </w:tcPr>
          <w:p>
            <w:pPr>
              <w:spacing w:after="0"/>
              <w:rPr>
                <w:sz w:val="14"/>
                <w:szCs w:val="14"/>
                <w:color w:val="auto"/>
              </w:rPr>
            </w:pPr>
          </w:p>
        </w:tc>
        <w:tc>
          <w:tcPr>
            <w:tcW w:w="85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United’s Annual Report on Form 10-K for the year ended December 31, 2025 filed with the SEC on February 17,</w:t>
            </w:r>
          </w:p>
        </w:tc>
        <w:tc>
          <w:tcPr>
            <w:tcW w:w="40" w:type="dxa"/>
            <w:vAlign w:val="bottom"/>
          </w:tcPr>
          <w:p>
            <w:pPr>
              <w:spacing w:after="0"/>
              <w:rPr>
                <w:sz w:val="14"/>
                <w:szCs w:val="14"/>
                <w:color w:val="auto"/>
              </w:rPr>
            </w:pPr>
          </w:p>
        </w:tc>
      </w:tr>
      <w:tr>
        <w:trPr>
          <w:trHeight w:val="243"/>
        </w:trPr>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 w:type="dxa"/>
            <w:vAlign w:val="bottom"/>
          </w:tcPr>
          <w:p>
            <w:pPr>
              <w:spacing w:after="0"/>
              <w:rPr>
                <w:sz w:val="21"/>
                <w:szCs w:val="21"/>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ACL</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AFS</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ALCO</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Asset/Liability Management Committee</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ANB</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ANB Holdings, Inc. and its wholly-owned subsidiary, American National Bank</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AOCI</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Community Bank</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Board</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Banks Inc., Board of Directors</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BOLI</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Bank-owned life insurance</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CECL</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expected credit losses</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CET1</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equity tier 1</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CME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Chicago Mercantile Exchange</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Banks Inc. (interchangeable with "United" below)</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DTA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DTL</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FDM</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Modification made to borrowers experiencing financial difficulty</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Reserve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Reserve Bank</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FHLB</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Home Loan Bank</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FTE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Fully taxable equivalent</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government-sponsored enterprise</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Holding Company</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Banks, Inc. on an unconsolidated basis</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HTM</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Held-to-maturity</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MD&amp;A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MBS</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NOW</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Negotiable order of withdrawal</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NPA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Nonperforming asset</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OCI</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OREO</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real estate owned</w:t>
            </w:r>
          </w:p>
        </w:tc>
        <w:tc>
          <w:tcPr>
            <w:tcW w:w="40" w:type="dxa"/>
            <w:vAlign w:val="bottom"/>
          </w:tcPr>
          <w:p>
            <w:pPr>
              <w:spacing w:after="0"/>
              <w:rPr>
                <w:sz w:val="19"/>
                <w:szCs w:val="19"/>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Peach State</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Peach State Bancshares, Inc. and its wholly owned-subsidiary, Peach State Bank &amp; Trust</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Report on Form 10-Q for the quarterly period ending March 31, 2026</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Small Business Administration</w:t>
            </w:r>
          </w:p>
        </w:tc>
        <w:tc>
          <w:tcPr>
            <w:tcW w:w="40" w:type="dxa"/>
            <w:vAlign w:val="bottom"/>
          </w:tcPr>
          <w:p>
            <w:pPr>
              <w:spacing w:after="0"/>
              <w:rPr>
                <w:sz w:val="19"/>
                <w:szCs w:val="19"/>
                <w:color w:val="auto"/>
              </w:rPr>
            </w:pP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c>
          <w:tcPr>
            <w:tcW w:w="40" w:type="dxa"/>
            <w:vAlign w:val="bottom"/>
          </w:tcPr>
          <w:p>
            <w:pPr>
              <w:spacing w:after="0"/>
              <w:rPr>
                <w:sz w:val="19"/>
                <w:szCs w:val="19"/>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w:t>
            </w:r>
          </w:p>
        </w:tc>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Community Banks, Inc. and its direct and indirect subsidiaries</w:t>
            </w:r>
          </w:p>
        </w:tc>
        <w:tc>
          <w:tcPr>
            <w:tcW w:w="40" w:type="dxa"/>
            <w:vAlign w:val="bottom"/>
          </w:tcPr>
          <w:p>
            <w:pPr>
              <w:spacing w:after="0"/>
              <w:rPr>
                <w:sz w:val="19"/>
                <w:szCs w:val="19"/>
                <w:color w:val="auto"/>
              </w:rPr>
            </w:pPr>
          </w:p>
        </w:tc>
      </w:tr>
      <w:tr>
        <w:trPr>
          <w:trHeight w:val="22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USDA</w:t>
            </w:r>
          </w:p>
        </w:tc>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Department of Agriculture</w:t>
            </w:r>
          </w:p>
        </w:tc>
        <w:tc>
          <w:tcPr>
            <w:tcW w:w="40" w:type="dxa"/>
            <w:vAlign w:val="bottom"/>
          </w:tcPr>
          <w:p>
            <w:pPr>
              <w:spacing w:after="0"/>
              <w:rPr>
                <w:sz w:val="19"/>
                <w:szCs w:val="19"/>
                <w:color w:val="auto"/>
              </w:rPr>
            </w:pPr>
          </w:p>
        </w:tc>
      </w:tr>
      <w:tr>
        <w:trPr>
          <w:trHeight w:val="904"/>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8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4"/>
                <w:szCs w:val="24"/>
                <w:color w:val="auto"/>
              </w:rPr>
            </w:pPr>
          </w:p>
        </w:tc>
      </w:tr>
      <w:tr>
        <w:trPr>
          <w:trHeight w:val="115"/>
        </w:trPr>
        <w:tc>
          <w:tcPr>
            <w:tcW w:w="2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Forward-looking statements are neither statements of historical or current fact nor are they assurances of future performance and generally can be identified by the use of forward-looking terminology such as “believes”, “expects”, “may”, “will”, “could”, “should”, “projects”, “plans”, “goal”, “targets”, “potential”, “estimates”, “pro forma”, “seeks”, “intends”, or “anticipates”, or similar expressions. Forward-looking statements include discussions of strategy, financial projections, guidance and estimates (including their underlying assumptions), statements regarding plans, objectives, expectations or consequences of various transactions (including the expected closing date of our merger with Peach State) or events, and statements about our future performance, operations, products and services, and should be viewed with caution.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forward-looking statements relate to the future, they are subject to known and unknown risks, uncertainties, assumptions, and changes in circumstances, many of which are beyond our control, and that are difficult to predict as to timing, extent, likelihood and degree of occurrence, and that could cause actual results to differ materially from the results implied or anticipated by the statements. Important factors that could cause our actual results and financial condition to differ materially from those indicated in the forward-looking statements include, but are not limited to the following:</w:t>
      </w:r>
    </w:p>
    <w:p>
      <w:pPr>
        <w:spacing w:after="0" w:line="207" w:lineRule="exact"/>
        <w:rPr>
          <w:sz w:val="20"/>
          <w:szCs w:val="20"/>
          <w:color w:val="auto"/>
        </w:rPr>
      </w:pPr>
    </w:p>
    <w:p>
      <w:pPr>
        <w:jc w:val="both"/>
        <w:ind w:left="340" w:hanging="332"/>
        <w:spacing w:after="0" w:line="266"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economic and political conditions that adversely affect the general economy, the banking sector, housing prices, the real estate market, the job market, consumer confidence, the financial condition of our borrowers and consumer spending habits, which may affect, among other things, the levels of NPAs, charge-offs and provision expense;</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loan underwriting, credit review or loss policies associated with economic conditions, examination conclusions or regulatory developments;</w:t>
      </w:r>
    </w:p>
    <w:p>
      <w:pPr>
        <w:spacing w:after="0" w:line="76"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pandemics or public health conditions on the economic and business environments in which we operate, including the impact of actions taken by governmental authorities to address these conditions;</w:t>
      </w:r>
    </w:p>
    <w:p>
      <w:pPr>
        <w:spacing w:after="0" w:line="1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market, operational, liquidity and interest rate risks associated with our business;</w:t>
      </w:r>
    </w:p>
    <w:p>
      <w:pPr>
        <w:spacing w:after="0" w:line="90"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fluctuations or unanticipated changes in the interest rate environment, including interest rate changes made by the Federal Reserve, replacement or reform of other interest rate benchmarks, as well as cash flow reassessments may reduce net interest margin and/or the volumes and values of loans made or held as well as the value of other financial assets;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unanticipated or greater than anticipated adverse conditions in the national or local economies in which we operate;</w:t>
      </w:r>
    </w:p>
    <w:p>
      <w:pPr>
        <w:spacing w:after="0" w:line="76"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loan concentration in industries or sectors that may experience unanticipated or greater than anticipated adverse conditions than other industries or sectors in the national or local economies in which we operate;</w:t>
      </w:r>
    </w:p>
    <w:p>
      <w:pPr>
        <w:spacing w:after="0" w:line="2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expansion into new geographic or product markets;</w:t>
      </w:r>
    </w:p>
    <w:p>
      <w:pPr>
        <w:spacing w:after="0" w:line="76"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with respect to our ability to identify and complete future mergers or acquisitions as well as our ability to successfully expand and integrate those businesses and operations that we acquire;</w:t>
      </w:r>
    </w:p>
    <w:p>
      <w:pPr>
        <w:spacing w:after="0" w:line="1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by each of United and Peach State to obtain required governmental approvals of the proposed transaction on the timeline expected, or at all and without the imposition of adverse conditions; the failure to satisfy other conditions to completion of the proposed Peach State merger, including the approval by Peach State shareholders, or any unexpected delay in closing the proposed transaction or the occurrence of any event, change or other circumstances that could give rise to the termination of the Peach State merger agreement;</w:t>
      </w:r>
    </w:p>
    <w:p>
      <w:pPr>
        <w:spacing w:after="0" w:line="44"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or regulatory proceedings or governmental inquiries or investigations that may be currently pending or later instituted against United or Peach State that relate to the proposed Peach State merger;</w:t>
      </w:r>
    </w:p>
    <w:p>
      <w:pPr>
        <w:spacing w:after="0" w:line="1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cost savings and any revenue synergies from the Peach State merger may not be realized or take longer than anticipated to be realized or that the costs, fees, expenses and charges related to the merger may be greater than anticipated;</w:t>
      </w:r>
    </w:p>
    <w:p>
      <w:pPr>
        <w:spacing w:after="0" w:line="1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from the Peach State merger of customer, supplier, employee or other business partner relationships of United or Peach State;</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employees;</w:t>
      </w:r>
    </w:p>
    <w:p>
      <w:pPr>
        <w:spacing w:after="0" w:line="76"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financial institutions and other financial service providers including non-bank financial technology providers and our ability to attract customers from other financial institutions;</w:t>
      </w:r>
    </w:p>
    <w:p>
      <w:pPr>
        <w:spacing w:after="0" w:line="1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due to fraudulent and negligent conduct of our customers, third-party service providers or employees;</w:t>
      </w:r>
    </w:p>
    <w:p>
      <w:pPr>
        <w:spacing w:after="0" w:line="90"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the vulnerability of our network and online banking portals, and the systems or parties with whom we contract, to unauthorized access, computer viruses, phishing schemes, spam attacks, human error, natural disasters, power loss and other security breaches that could adversely affect our business and financial performance or reputation;</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key components of our business infrastructure and services required to operate our business;</w:t>
      </w:r>
    </w:p>
    <w:p>
      <w:pPr>
        <w:spacing w:after="0" w:line="76"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required to make substantial expenditures to keep pace with regulatory initiatives and the rapid technological changes in the financial services market; including those accelerated by the use of artificial intelligence and machine learning;</w:t>
      </w:r>
    </w:p>
    <w:p>
      <w:pPr>
        <w:spacing w:after="0" w:line="2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access to capital, particularly if there were to be increased capital requirements or enhanced regulatory supervision;</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accounting changes that may adversely affect us;</w:t>
      </w:r>
    </w:p>
    <w:p>
      <w:pPr>
        <w:spacing w:after="0" w:line="7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ACL resulting from the CECL methodology, either alone or as that may be affected by conditions affecting our business;</w:t>
      </w:r>
    </w:p>
    <w:p>
      <w:pPr>
        <w:spacing w:after="0" w:line="90"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(including judgments, costs, fines, reputational harm, inability to obtain necessary approvals and/or other negative effects) from current or future legislation, litigation, regulatory proceedings, examinations, investigations, or similar matters, or developments related thereto;</w:t>
      </w:r>
    </w:p>
    <w:p>
      <w:pPr>
        <w:spacing w:after="0" w:line="1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shutdowns, the effect of which could delay legislative activities or regulatory approval processes that could be harmful to our customers, business activities and strategic initiatives;</w:t>
      </w:r>
    </w:p>
    <w:p>
      <w:pPr>
        <w:spacing w:after="0" w:line="1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that would cause us to conclude that there was impairment of any asset, including intangible assets, such as goodwill;</w:t>
      </w:r>
    </w:p>
    <w:p>
      <w:pPr>
        <w:spacing w:after="0" w:line="90"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declare and pay dividends and other distributions from the Bank to the Holding Company, which could affect Holding Company liquidity, including its ability to pay dividends to shareholders or take other capital actions;</w:t>
      </w:r>
    </w:p>
    <w:p>
      <w:pPr>
        <w:spacing w:after="0" w:line="13" w:lineRule="exact"/>
        <w:rPr>
          <w:rFonts w:ascii="Times New Roman" w:cs="Times New Roman" w:eastAsia="Times New Roman" w:hAnsi="Times New Roman"/>
          <w:sz w:val="18"/>
          <w:szCs w:val="18"/>
          <w:color w:val="auto"/>
        </w:rPr>
      </w:pPr>
    </w:p>
    <w:p>
      <w:pPr>
        <w:ind w:left="340" w:right="100" w:hanging="332"/>
        <w:spacing w:after="0" w:line="261"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effects of events beyond our control that may have a destabilizing effect on financial markets and the economy, such as inflation or recession, terrorist activities, wars and other foreign conflicts, climate change and weather related events, disruptions in our customers’ supply chains, disruptions in transportation, essential utility outages or trade disputes and tariffs including threats thereof, either imposed by the U.S. or other trading partners in retaliation to U.S. tariffs; and</w:t>
      </w:r>
    </w:p>
    <w:p>
      <w:pPr>
        <w:sectPr>
          <w:pgSz w:w="11900" w:h="16838" w:orient="portrait"/>
          <w:cols w:equalWidth="0" w:num="1">
            <w:col w:w="11240"/>
          </w:cols>
          <w:pgMar w:left="320" w:top="927" w:right="339" w:bottom="0" w:gutter="0" w:footer="0" w:header="0"/>
        </w:sectPr>
      </w:pPr>
    </w:p>
    <w:bookmarkStart w:id="4" w:name="page5"/>
    <w:bookmarkEnd w:id="4"/>
    <w:p>
      <w:pPr>
        <w:ind w:left="340" w:hanging="332"/>
        <w:spacing w:after="0" w:line="282"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disclosed in documents filed or furnished by us with or to the SEC, any of which could cause actual results to differ materially from future results expressed, implied or otherwise anticipated by such forward-looking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caution readers that the foregoing list of factors is not exclusive, is not necessarily in order of importance and readers should not place undue reliance on forward-looking statements. Additional factors that may cause actual results to differ materially from those contemplated by any forward-looking statements also may be found in Item 1A, Risk Factors of our 2025 10-K and in Part II, Item 1A, “Risk Factors” of this Report. We do not intend to and, except as required by law, hereby disclaim any obligation to update or revise any forward-looking statement contained in this Report, which speaks only as of the date of its filing with the SEC, whether as a result of new information, future events, or otherwise.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Consolidated Balance Sheets </w:t>
      </w:r>
      <w:r>
        <w:rPr>
          <w:rFonts w:ascii="Times New Roman" w:cs="Times New Roman" w:eastAsia="Times New Roman" w:hAnsi="Times New Roman"/>
          <w:sz w:val="18"/>
          <w:szCs w:val="18"/>
          <w:i w:val="1"/>
          <w:iCs w:val="1"/>
          <w:color w:val="auto"/>
        </w:rPr>
        <w:t>(Unaudited)</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data)</w:t>
            </w:r>
          </w:p>
        </w:tc>
        <w:tc>
          <w:tcPr>
            <w:tcW w:w="20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6"/>
                <w:szCs w:val="16"/>
                <w:color w:val="auto"/>
              </w:rPr>
            </w:pP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4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9"/>
        </w:trPr>
        <w:tc>
          <w:tcPr>
            <w:tcW w:w="8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due from banks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202,586</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Interest-bearing deposits in banks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316,116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193,168</w:t>
            </w: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493,141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395,754</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Trading securities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Debt securities available-for-sale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3,574,546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3,750,863</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Debt securities held-to-maturity (fair value $1,878,414 and $1,918,426, respectively)</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2,211,523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2,237,356</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held for sale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39,381</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Loans and leases held for investment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19,601,641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19,384,317</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allowance for credit losses - loans and leases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(208,396)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(210,429)</w:t>
            </w:r>
          </w:p>
        </w:tc>
        <w:tc>
          <w:tcPr>
            <w:tcW w:w="0" w:type="dxa"/>
            <w:vAlign w:val="bottom"/>
          </w:tcPr>
          <w:p>
            <w:pPr>
              <w:spacing w:after="0"/>
              <w:rPr>
                <w:sz w:val="1"/>
                <w:szCs w:val="1"/>
                <w:color w:val="auto"/>
              </w:rPr>
            </w:pPr>
          </w:p>
        </w:tc>
      </w:tr>
      <w:tr>
        <w:trPr>
          <w:trHeight w:val="207"/>
        </w:trPr>
        <w:tc>
          <w:tcPr>
            <w:tcW w:w="84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Loans and leases, net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19,393,245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19,173,888</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391,883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393,714</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Bank-owned life insurance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365,492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364,184</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and other intangible assets,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964,819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967,882</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Other assets (including $99,020 and $107,583 at fair value, respectively)</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637,192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679,532</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28,176,582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28,002,554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4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6,473,101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6,252,252</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17,551,964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17,546,178</w:t>
            </w: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deposits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24,025,065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23,798,430</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Short-term borrowings</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120,400</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Accrued expense and other liabilities (including $65,178 and $69,482 at fair value, respectively)</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376,351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360,038</w:t>
            </w: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24,521,916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24,363,868</w:t>
            </w:r>
          </w:p>
        </w:tc>
        <w:tc>
          <w:tcPr>
            <w:tcW w:w="0" w:type="dxa"/>
            <w:vAlign w:val="bottom"/>
          </w:tcPr>
          <w:p>
            <w:pPr>
              <w:spacing w:after="0"/>
              <w:rPr>
                <w:sz w:val="1"/>
                <w:szCs w:val="1"/>
                <w:color w:val="auto"/>
              </w:rPr>
            </w:pPr>
          </w:p>
        </w:tc>
      </w:tr>
      <w:tr>
        <w:trPr>
          <w:trHeight w:val="194"/>
        </w:trPr>
        <w:tc>
          <w:tcPr>
            <w:tcW w:w="8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8440" w:type="dxa"/>
            <w:vAlign w:val="bottom"/>
            <w:gridSpan w:val="2"/>
            <w:shd w:val="clear" w:color="auto" w:fill="CCEEFF"/>
          </w:tcPr>
          <w:p>
            <w:pPr>
              <w:ind w:left="140"/>
              <w:spacing w:after="0" w:line="164" w:lineRule="exact"/>
              <w:rPr>
                <w:sz w:val="20"/>
                <w:szCs w:val="20"/>
                <w:color w:val="auto"/>
              </w:rPr>
            </w:pPr>
            <w:r>
              <w:rPr>
                <w:rFonts w:ascii="Times New Roman" w:cs="Times New Roman" w:eastAsia="Times New Roman" w:hAnsi="Times New Roman"/>
                <w:sz w:val="16"/>
                <w:szCs w:val="16"/>
                <w:color w:val="auto"/>
              </w:rPr>
              <w:t>Common stock, $1 par value: 200,000,000 shares authorized,</w:t>
            </w:r>
          </w:p>
        </w:tc>
        <w:tc>
          <w:tcPr>
            <w:tcW w:w="2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119,684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120,598</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119,684,031 and 120,598,266 shares issued and outstanding, respectively</w:t>
            </w:r>
          </w:p>
        </w:tc>
        <w:tc>
          <w:tcPr>
            <w:tcW w:w="2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Capital surplus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2,721,132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2,754,399</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968,188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914,261</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(154,338)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(150,572)</w:t>
            </w:r>
          </w:p>
        </w:tc>
        <w:tc>
          <w:tcPr>
            <w:tcW w:w="0" w:type="dxa"/>
            <w:vAlign w:val="bottom"/>
          </w:tcPr>
          <w:p>
            <w:pPr>
              <w:spacing w:after="0"/>
              <w:rPr>
                <w:sz w:val="1"/>
                <w:szCs w:val="1"/>
                <w:color w:val="auto"/>
              </w:rPr>
            </w:pPr>
          </w:p>
        </w:tc>
      </w:tr>
      <w:tr>
        <w:trPr>
          <w:trHeight w:val="210"/>
        </w:trPr>
        <w:tc>
          <w:tcPr>
            <w:tcW w:w="8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3,654,666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3,638,686</w:t>
            </w:r>
          </w:p>
        </w:tc>
        <w:tc>
          <w:tcPr>
            <w:tcW w:w="0" w:type="dxa"/>
            <w:vAlign w:val="bottom"/>
          </w:tcPr>
          <w:p>
            <w:pPr>
              <w:spacing w:after="0"/>
              <w:rPr>
                <w:sz w:val="1"/>
                <w:szCs w:val="1"/>
                <w:color w:val="auto"/>
              </w:rPr>
            </w:pPr>
          </w:p>
        </w:tc>
      </w:tr>
      <w:tr>
        <w:trPr>
          <w:trHeight w:val="212"/>
        </w:trPr>
        <w:tc>
          <w:tcPr>
            <w:tcW w:w="84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28,176,582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28,002,554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34" w:right="27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Income </w:t>
      </w:r>
      <w:r>
        <w:rPr>
          <w:rFonts w:ascii="Times New Roman" w:cs="Times New Roman" w:eastAsia="Times New Roman" w:hAnsi="Times New Roman"/>
          <w:sz w:val="16"/>
          <w:szCs w:val="16"/>
          <w:i w:val="1"/>
          <w:i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980" w:type="dxa"/>
            <w:vAlign w:val="bottom"/>
          </w:tcPr>
          <w:p>
            <w:pPr>
              <w:spacing w:after="0"/>
              <w:rPr>
                <w:sz w:val="15"/>
                <w:szCs w:val="15"/>
                <w:color w:val="auto"/>
              </w:rPr>
            </w:pPr>
          </w:p>
        </w:tc>
      </w:tr>
      <w:tr>
        <w:trPr>
          <w:trHeight w:val="210"/>
        </w:trPr>
        <w:tc>
          <w:tcPr>
            <w:tcW w:w="7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308"/>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980" w:type="dxa"/>
            <w:vAlign w:val="bottom"/>
            <w:tcBorders>
              <w:bottom w:val="single" w:sz="8" w:color="auto"/>
            </w:tcBorders>
          </w:tcPr>
          <w:p>
            <w:pPr>
              <w:spacing w:after="0"/>
              <w:rPr>
                <w:sz w:val="18"/>
                <w:szCs w:val="18"/>
                <w:color w:val="auto"/>
              </w:rPr>
            </w:pPr>
          </w:p>
        </w:tc>
      </w:tr>
      <w:tr>
        <w:trPr>
          <w:trHeight w:val="202"/>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5"/>
                <w:szCs w:val="15"/>
                <w:i w:val="1"/>
                <w:iCs w:val="1"/>
                <w:color w:val="auto"/>
              </w:rPr>
              <w:t>(in thousands, except per share data)</w:t>
            </w:r>
          </w:p>
        </w:tc>
        <w:tc>
          <w:tcPr>
            <w:tcW w:w="380" w:type="dxa"/>
            <w:vAlign w:val="bottom"/>
          </w:tcPr>
          <w:p>
            <w:pPr>
              <w:spacing w:after="0"/>
              <w:rPr>
                <w:sz w:val="17"/>
                <w:szCs w:val="17"/>
                <w:color w:val="auto"/>
              </w:rPr>
            </w:pPr>
          </w:p>
        </w:tc>
        <w:tc>
          <w:tcPr>
            <w:tcW w:w="1260" w:type="dxa"/>
            <w:vAlign w:val="bottom"/>
          </w:tcPr>
          <w:p>
            <w:pPr>
              <w:jc w:val="right"/>
              <w:ind w:right="588"/>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jc w:val="right"/>
              <w:ind w:right="588"/>
              <w:spacing w:after="0"/>
              <w:rPr>
                <w:sz w:val="20"/>
                <w:szCs w:val="20"/>
                <w:color w:val="auto"/>
              </w:rPr>
            </w:pPr>
            <w:r>
              <w:rPr>
                <w:rFonts w:ascii="Times New Roman" w:cs="Times New Roman" w:eastAsia="Times New Roman" w:hAnsi="Times New Roman"/>
                <w:sz w:val="15"/>
                <w:szCs w:val="15"/>
                <w:b w:val="1"/>
                <w:bCs w:val="1"/>
                <w:color w:val="auto"/>
                <w:w w:val="99"/>
              </w:rPr>
              <w:t>2025</w:t>
            </w:r>
          </w:p>
        </w:tc>
      </w:tr>
      <w:tr>
        <w:trPr>
          <w:trHeight w:val="196"/>
        </w:trPr>
        <w:tc>
          <w:tcPr>
            <w:tcW w:w="7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interest revenue:</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195"/>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revenue:</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0"/>
        </w:trPr>
        <w:tc>
          <w:tcPr>
            <w:tcW w:w="7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Loans, including fees</w:t>
            </w: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286,077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274,056</w:t>
            </w:r>
          </w:p>
        </w:tc>
      </w:tr>
      <w:tr>
        <w:trPr>
          <w:trHeight w:val="195"/>
        </w:trPr>
        <w:tc>
          <w:tcPr>
            <w:tcW w:w="78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Securities: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0"/>
        </w:trPr>
        <w:tc>
          <w:tcPr>
            <w:tcW w:w="7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Taxable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44,483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57,172</w:t>
            </w:r>
          </w:p>
        </w:tc>
      </w:tr>
      <w:tr>
        <w:trPr>
          <w:trHeight w:val="195"/>
        </w:trPr>
        <w:tc>
          <w:tcPr>
            <w:tcW w:w="786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Tax-exempt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1,646</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w:t>
            </w:r>
          </w:p>
        </w:tc>
      </w:tr>
      <w:tr>
        <w:trPr>
          <w:trHeight w:val="210"/>
        </w:trPr>
        <w:tc>
          <w:tcPr>
            <w:tcW w:w="7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w:t>
            </w:r>
          </w:p>
        </w:tc>
      </w:tr>
      <w:tr>
        <w:trPr>
          <w:trHeight w:val="189"/>
        </w:trPr>
        <w:tc>
          <w:tcPr>
            <w:tcW w:w="78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4"/>
                <w:szCs w:val="14"/>
                <w:color w:val="auto"/>
              </w:rPr>
              <w:t>Total interest revenue</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333,961</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335,357</w:t>
            </w:r>
          </w:p>
        </w:tc>
      </w:tr>
      <w:tr>
        <w:trPr>
          <w:trHeight w:val="189"/>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95"/>
        </w:trPr>
        <w:tc>
          <w:tcPr>
            <w:tcW w:w="78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Deposits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98,029</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118,934</w:t>
            </w:r>
          </w:p>
        </w:tc>
      </w:tr>
      <w:tr>
        <w:trPr>
          <w:trHeight w:val="210"/>
        </w:trPr>
        <w:tc>
          <w:tcPr>
            <w:tcW w:w="7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Short-term borrowings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w:t>
            </w:r>
          </w:p>
        </w:tc>
      </w:tr>
      <w:tr>
        <w:trPr>
          <w:trHeight w:val="195"/>
        </w:trPr>
        <w:tc>
          <w:tcPr>
            <w:tcW w:w="78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Federal Home Loan Bank advances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r>
      <w:tr>
        <w:trPr>
          <w:trHeight w:val="210"/>
        </w:trPr>
        <w:tc>
          <w:tcPr>
            <w:tcW w:w="78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Long-term debt</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2,862</w:t>
            </w:r>
          </w:p>
        </w:tc>
      </w:tr>
      <w:tr>
        <w:trPr>
          <w:trHeight w:val="189"/>
        </w:trPr>
        <w:tc>
          <w:tcPr>
            <w:tcW w:w="7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4"/>
                <w:szCs w:val="14"/>
                <w:color w:val="auto"/>
              </w:rPr>
              <w:t>Total interest expense</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101,197</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123,336</w:t>
            </w:r>
          </w:p>
        </w:tc>
      </w:tr>
      <w:tr>
        <w:trPr>
          <w:trHeight w:val="196"/>
        </w:trPr>
        <w:tc>
          <w:tcPr>
            <w:tcW w:w="7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interest revenue</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232,764</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212,021</w:t>
            </w:r>
          </w:p>
        </w:tc>
      </w:tr>
      <w:tr>
        <w:trPr>
          <w:trHeight w:val="149"/>
        </w:trPr>
        <w:tc>
          <w:tcPr>
            <w:tcW w:w="7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03"/>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95"/>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Service charges and fees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9,545</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9,535</w:t>
            </w:r>
          </w:p>
        </w:tc>
      </w:tr>
      <w:tr>
        <w:trPr>
          <w:trHeight w:val="210"/>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 gains and other related fees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6,122</w:t>
            </w:r>
          </w:p>
        </w:tc>
      </w:tr>
      <w:tr>
        <w:trPr>
          <w:trHeight w:val="195"/>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Wealth management fees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4,629</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4,465</w:t>
            </w:r>
          </w:p>
        </w:tc>
      </w:tr>
      <w:tr>
        <w:trPr>
          <w:trHeight w:val="210"/>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gains from sales of other loans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w:t>
            </w:r>
          </w:p>
        </w:tc>
      </w:tr>
      <w:tr>
        <w:trPr>
          <w:trHeight w:val="195"/>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Lending and loan servicing fees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3,971</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4,165</w:t>
            </w:r>
          </w:p>
        </w:tc>
      </w:tr>
      <w:tr>
        <w:trPr>
          <w:trHeight w:val="210"/>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gains, net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6"/>
        </w:trPr>
        <w:tc>
          <w:tcPr>
            <w:tcW w:w="78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15,546</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9,967</w:t>
            </w:r>
          </w:p>
        </w:tc>
      </w:tr>
      <w:tr>
        <w:trPr>
          <w:trHeight w:val="203"/>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noninterest income</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43,746</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35,656</w:t>
            </w:r>
          </w:p>
        </w:tc>
      </w:tr>
      <w:tr>
        <w:trPr>
          <w:trHeight w:val="190"/>
        </w:trPr>
        <w:tc>
          <w:tcPr>
            <w:tcW w:w="78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276,510</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247,677</w:t>
            </w:r>
          </w:p>
        </w:tc>
      </w:tr>
      <w:tr>
        <w:trPr>
          <w:trHeight w:val="148"/>
        </w:trPr>
        <w:tc>
          <w:tcPr>
            <w:tcW w:w="7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96"/>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10,853</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15,419</w:t>
            </w:r>
          </w:p>
        </w:tc>
      </w:tr>
      <w:tr>
        <w:trPr>
          <w:trHeight w:val="168"/>
        </w:trPr>
        <w:tc>
          <w:tcPr>
            <w:tcW w:w="7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96"/>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101,249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84,267</w:t>
            </w:r>
          </w:p>
        </w:tc>
      </w:tr>
      <w:tr>
        <w:trPr>
          <w:trHeight w:val="195"/>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Communications and equipment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14,102</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13,699</w:t>
            </w:r>
          </w:p>
        </w:tc>
      </w:tr>
      <w:tr>
        <w:trPr>
          <w:trHeight w:val="210"/>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Occupancy</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10,929</w:t>
            </w:r>
          </w:p>
        </w:tc>
      </w:tr>
      <w:tr>
        <w:trPr>
          <w:trHeight w:val="195"/>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Advertising and public relations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2,397</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w:t>
            </w:r>
          </w:p>
        </w:tc>
      </w:tr>
      <w:tr>
        <w:trPr>
          <w:trHeight w:val="210"/>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Postage, printing and supplies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w:t>
            </w:r>
          </w:p>
        </w:tc>
      </w:tr>
      <w:tr>
        <w:trPr>
          <w:trHeight w:val="195"/>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Professional fees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5,576</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5,931</w:t>
            </w:r>
          </w:p>
        </w:tc>
      </w:tr>
      <w:tr>
        <w:trPr>
          <w:trHeight w:val="210"/>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Lending and loan servicing expense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w:t>
            </w:r>
          </w:p>
        </w:tc>
      </w:tr>
      <w:tr>
        <w:trPr>
          <w:trHeight w:val="195"/>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Outside services - electronic banking</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3,559</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2,763</w:t>
            </w:r>
          </w:p>
        </w:tc>
      </w:tr>
      <w:tr>
        <w:trPr>
          <w:trHeight w:val="210"/>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FDIC assessments and other regulatory charges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4,642</w:t>
            </w:r>
          </w:p>
        </w:tc>
      </w:tr>
      <w:tr>
        <w:trPr>
          <w:trHeight w:val="195"/>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3,063</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3,286</w:t>
            </w:r>
          </w:p>
        </w:tc>
      </w:tr>
      <w:tr>
        <w:trPr>
          <w:trHeight w:val="210"/>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Merger-related and other charges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w:t>
            </w:r>
          </w:p>
        </w:tc>
      </w:tr>
      <w:tr>
        <w:trPr>
          <w:trHeight w:val="196"/>
        </w:trPr>
        <w:tc>
          <w:tcPr>
            <w:tcW w:w="78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7,150</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7,856</w:t>
            </w:r>
          </w:p>
        </w:tc>
      </w:tr>
      <w:tr>
        <w:trPr>
          <w:trHeight w:val="203"/>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157,302</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141,099</w:t>
            </w:r>
          </w:p>
        </w:tc>
      </w:tr>
      <w:tr>
        <w:trPr>
          <w:trHeight w:val="189"/>
        </w:trPr>
        <w:tc>
          <w:tcPr>
            <w:tcW w:w="78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108,355</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91,159</w:t>
            </w:r>
          </w:p>
        </w:tc>
      </w:tr>
      <w:tr>
        <w:trPr>
          <w:trHeight w:val="203"/>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expense</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24,066</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19,746</w:t>
            </w:r>
          </w:p>
        </w:tc>
      </w:tr>
      <w:tr>
        <w:trPr>
          <w:trHeight w:val="203"/>
        </w:trPr>
        <w:tc>
          <w:tcPr>
            <w:tcW w:w="78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84,289</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71,413</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29"/>
        </w:trPr>
        <w:tc>
          <w:tcPr>
            <w:tcW w:w="7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03"/>
        </w:trPr>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Net income available to common shareholders</w:t>
            </w: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83,737</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69,429</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29"/>
        </w:trPr>
        <w:tc>
          <w:tcPr>
            <w:tcW w:w="7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95"/>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per common share:</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0"/>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0.58</w:t>
            </w:r>
          </w:p>
        </w:tc>
      </w:tr>
      <w:tr>
        <w:trPr>
          <w:trHeight w:val="195"/>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0.69</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0.58</w:t>
            </w:r>
          </w:p>
        </w:tc>
      </w:tr>
      <w:tr>
        <w:trPr>
          <w:trHeight w:val="21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95"/>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120,498</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120,043</w:t>
            </w:r>
          </w:p>
        </w:tc>
      </w:tr>
      <w:tr>
        <w:trPr>
          <w:trHeight w:val="210"/>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120,723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120,201</w:t>
            </w: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7" w:name="page8"/>
    <w:bookmarkEnd w:id="7"/>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Comprehensive Income </w:t>
      </w:r>
      <w:r>
        <w:rPr>
          <w:rFonts w:ascii="Times New Roman" w:cs="Times New Roman" w:eastAsia="Times New Roman" w:hAnsi="Times New Roman"/>
          <w:sz w:val="16"/>
          <w:szCs w:val="16"/>
          <w:i w:val="1"/>
          <w:i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7"/>
          </w:tcPr>
          <w:p>
            <w:pPr>
              <w:jc w:val="center"/>
              <w:ind w:right="8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158"/>
        </w:trPr>
        <w:tc>
          <w:tcPr>
            <w:tcW w:w="7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Before-tax</w:t>
            </w:r>
          </w:p>
        </w:tc>
        <w:tc>
          <w:tcPr>
            <w:tcW w:w="160" w:type="dxa"/>
            <w:vAlign w:val="bottom"/>
          </w:tcPr>
          <w:p>
            <w:pPr>
              <w:spacing w:after="0"/>
              <w:rPr>
                <w:sz w:val="13"/>
                <w:szCs w:val="13"/>
                <w:color w:val="auto"/>
              </w:rPr>
            </w:pPr>
          </w:p>
        </w:tc>
        <w:tc>
          <w:tcPr>
            <w:tcW w:w="10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89"/>
              </w:rPr>
              <w:t>Tax</w:t>
            </w:r>
          </w:p>
        </w:tc>
        <w:tc>
          <w:tcPr>
            <w:tcW w:w="140" w:type="dxa"/>
            <w:vAlign w:val="bottom"/>
          </w:tcPr>
          <w:p>
            <w:pPr>
              <w:spacing w:after="0"/>
              <w:rPr>
                <w:sz w:val="13"/>
                <w:szCs w:val="13"/>
                <w:color w:val="auto"/>
              </w:rPr>
            </w:pPr>
          </w:p>
        </w:tc>
        <w:tc>
          <w:tcPr>
            <w:tcW w:w="980" w:type="dxa"/>
            <w:vAlign w:val="bottom"/>
            <w:vMerge w:val="restart"/>
          </w:tcPr>
          <w:p>
            <w:pPr>
              <w:jc w:val="right"/>
              <w:ind w:right="123"/>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0" w:type="dxa"/>
            <w:vAlign w:val="bottom"/>
          </w:tcPr>
          <w:p>
            <w:pPr>
              <w:spacing w:after="0"/>
              <w:rPr>
                <w:sz w:val="1"/>
                <w:szCs w:val="1"/>
                <w:color w:val="auto"/>
              </w:rPr>
            </w:pPr>
          </w:p>
        </w:tc>
      </w:tr>
      <w:tr>
        <w:trPr>
          <w:trHeight w:val="162"/>
        </w:trPr>
        <w:tc>
          <w:tcPr>
            <w:tcW w:w="7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(Expense)</w:t>
            </w: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Benefit</w:t>
            </w:r>
          </w:p>
        </w:tc>
        <w:tc>
          <w:tcPr>
            <w:tcW w:w="140" w:type="dxa"/>
            <w:vAlign w:val="bottom"/>
          </w:tcPr>
          <w:p>
            <w:pPr>
              <w:spacing w:after="0"/>
              <w:rPr>
                <w:sz w:val="18"/>
                <w:szCs w:val="18"/>
                <w:color w:val="auto"/>
              </w:rPr>
            </w:pPr>
          </w:p>
        </w:tc>
        <w:tc>
          <w:tcPr>
            <w:tcW w:w="980" w:type="dxa"/>
            <w:vAlign w:val="bottom"/>
          </w:tcPr>
          <w:p>
            <w:pPr>
              <w:jc w:val="right"/>
              <w:ind w:right="20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198"/>
        </w:trPr>
        <w:tc>
          <w:tcPr>
            <w:tcW w:w="7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2026</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98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960" w:type="dxa"/>
            <w:vAlign w:val="bottom"/>
            <w:tcBorders>
              <w:top w:val="single" w:sz="8" w:color="auto"/>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98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108,355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(24,066)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84,289</w:t>
            </w:r>
          </w:p>
        </w:tc>
        <w:tc>
          <w:tcPr>
            <w:tcW w:w="0" w:type="dxa"/>
            <w:vAlign w:val="bottom"/>
          </w:tcPr>
          <w:p>
            <w:pPr>
              <w:spacing w:after="0"/>
              <w:rPr>
                <w:sz w:val="1"/>
                <w:szCs w:val="1"/>
                <w:color w:val="auto"/>
              </w:rPr>
            </w:pPr>
          </w:p>
        </w:tc>
      </w:tr>
      <w:tr>
        <w:trPr>
          <w:trHeight w:val="200"/>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comprehensive loss: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Unrealized losses on available-for-sale securities: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72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Unrealized holding losses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(1,005)</w:t>
            </w:r>
          </w:p>
        </w:tc>
        <w:tc>
          <w:tcPr>
            <w:tcW w:w="0" w:type="dxa"/>
            <w:vAlign w:val="bottom"/>
          </w:tcPr>
          <w:p>
            <w:pPr>
              <w:spacing w:after="0"/>
              <w:rPr>
                <w:sz w:val="1"/>
                <w:szCs w:val="1"/>
                <w:color w:val="auto"/>
              </w:rPr>
            </w:pPr>
          </w:p>
        </w:tc>
      </w:tr>
      <w:tr>
        <w:trPr>
          <w:trHeight w:val="205"/>
        </w:trPr>
        <w:tc>
          <w:tcPr>
            <w:tcW w:w="7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Reclassification adjustment for gains included in net income</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0" w:type="dxa"/>
            <w:vAlign w:val="bottom"/>
          </w:tcPr>
          <w:p>
            <w:pPr>
              <w:spacing w:after="0"/>
              <w:rPr>
                <w:sz w:val="1"/>
                <w:szCs w:val="1"/>
                <w:color w:val="auto"/>
              </w:rPr>
            </w:pPr>
          </w:p>
        </w:tc>
      </w:tr>
      <w:tr>
        <w:trPr>
          <w:trHeight w:val="194"/>
        </w:trPr>
        <w:tc>
          <w:tcPr>
            <w:tcW w:w="772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Net unrealized losses on available-for-sale securities</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(1,110)</w:t>
            </w:r>
          </w:p>
        </w:tc>
        <w:tc>
          <w:tcPr>
            <w:tcW w:w="0" w:type="dxa"/>
            <w:vAlign w:val="bottom"/>
          </w:tcPr>
          <w:p>
            <w:pPr>
              <w:spacing w:after="0"/>
              <w:rPr>
                <w:sz w:val="1"/>
                <w:szCs w:val="1"/>
                <w:color w:val="auto"/>
              </w:rPr>
            </w:pPr>
          </w:p>
        </w:tc>
      </w:tr>
      <w:tr>
        <w:trPr>
          <w:trHeight w:val="205"/>
        </w:trPr>
        <w:tc>
          <w:tcPr>
            <w:tcW w:w="7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Amortization of unrealized losses on held-to-maturity securities transferred from available-for-sale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1,294</w:t>
            </w:r>
          </w:p>
        </w:tc>
        <w:tc>
          <w:tcPr>
            <w:tcW w:w="0" w:type="dxa"/>
            <w:vAlign w:val="bottom"/>
          </w:tcPr>
          <w:p>
            <w:pPr>
              <w:spacing w:after="0"/>
              <w:rPr>
                <w:sz w:val="1"/>
                <w:szCs w:val="1"/>
                <w:color w:val="auto"/>
              </w:rPr>
            </w:pPr>
          </w:p>
        </w:tc>
      </w:tr>
      <w:tr>
        <w:trPr>
          <w:trHeight w:val="200"/>
        </w:trPr>
        <w:tc>
          <w:tcPr>
            <w:tcW w:w="77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Derivative instruments designated as cash flow hedges: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Unrealized holding gains on derivatives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w:t>
            </w:r>
          </w:p>
        </w:tc>
        <w:tc>
          <w:tcPr>
            <w:tcW w:w="0" w:type="dxa"/>
            <w:vAlign w:val="bottom"/>
          </w:tcPr>
          <w:p>
            <w:pPr>
              <w:spacing w:after="0"/>
              <w:rPr>
                <w:sz w:val="1"/>
                <w:szCs w:val="1"/>
                <w:color w:val="auto"/>
              </w:rPr>
            </w:pPr>
          </w:p>
        </w:tc>
      </w:tr>
      <w:tr>
        <w:trPr>
          <w:trHeight w:val="200"/>
        </w:trPr>
        <w:tc>
          <w:tcPr>
            <w:tcW w:w="77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5"/>
                <w:szCs w:val="15"/>
                <w:color w:val="auto"/>
              </w:rPr>
              <w:t>Gains on derivative instruments realized in net income</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(5,968)</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(4,461)</w:t>
            </w:r>
          </w:p>
        </w:tc>
        <w:tc>
          <w:tcPr>
            <w:tcW w:w="0" w:type="dxa"/>
            <w:vAlign w:val="bottom"/>
          </w:tcPr>
          <w:p>
            <w:pPr>
              <w:spacing w:after="0"/>
              <w:rPr>
                <w:sz w:val="1"/>
                <w:szCs w:val="1"/>
                <w:color w:val="auto"/>
              </w:rPr>
            </w:pPr>
          </w:p>
        </w:tc>
      </w:tr>
      <w:tr>
        <w:trPr>
          <w:trHeight w:val="198"/>
        </w:trPr>
        <w:tc>
          <w:tcPr>
            <w:tcW w:w="7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Net cash flow hedge activity</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(3,959)</w:t>
            </w:r>
          </w:p>
        </w:tc>
        <w:tc>
          <w:tcPr>
            <w:tcW w:w="0" w:type="dxa"/>
            <w:vAlign w:val="bottom"/>
          </w:tcPr>
          <w:p>
            <w:pPr>
              <w:spacing w:after="0"/>
              <w:rPr>
                <w:sz w:val="1"/>
                <w:szCs w:val="1"/>
                <w:color w:val="auto"/>
              </w:rPr>
            </w:pPr>
          </w:p>
        </w:tc>
      </w:tr>
      <w:tr>
        <w:trPr>
          <w:trHeight w:val="200"/>
        </w:trPr>
        <w:tc>
          <w:tcPr>
            <w:tcW w:w="7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Amortization of defined benefit pension plan net periodic pension cost components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196"/>
        </w:trPr>
        <w:tc>
          <w:tcPr>
            <w:tcW w:w="7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other comprehensive loss</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(4,991)</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(3,766)</w:t>
            </w:r>
          </w:p>
        </w:tc>
        <w:tc>
          <w:tcPr>
            <w:tcW w:w="0" w:type="dxa"/>
            <w:vAlign w:val="bottom"/>
          </w:tcPr>
          <w:p>
            <w:pPr>
              <w:spacing w:after="0"/>
              <w:rPr>
                <w:sz w:val="1"/>
                <w:szCs w:val="1"/>
                <w:color w:val="auto"/>
              </w:rPr>
            </w:pPr>
          </w:p>
        </w:tc>
      </w:tr>
      <w:tr>
        <w:trPr>
          <w:trHeight w:val="198"/>
        </w:trPr>
        <w:tc>
          <w:tcPr>
            <w:tcW w:w="772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103,364</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(22,841)</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80,523</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91,159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(19,746)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71,413</w:t>
            </w:r>
          </w:p>
        </w:tc>
        <w:tc>
          <w:tcPr>
            <w:tcW w:w="0" w:type="dxa"/>
            <w:vAlign w:val="bottom"/>
          </w:tcPr>
          <w:p>
            <w:pPr>
              <w:spacing w:after="0"/>
              <w:rPr>
                <w:sz w:val="1"/>
                <w:szCs w:val="1"/>
                <w:color w:val="auto"/>
              </w:rPr>
            </w:pPr>
          </w:p>
        </w:tc>
      </w:tr>
      <w:tr>
        <w:trPr>
          <w:trHeight w:val="200"/>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Unrealized gains on available-for-sale securities: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72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Unrealized holding gains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(8,170)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26,454</w:t>
            </w:r>
          </w:p>
        </w:tc>
        <w:tc>
          <w:tcPr>
            <w:tcW w:w="0" w:type="dxa"/>
            <w:vAlign w:val="bottom"/>
          </w:tcPr>
          <w:p>
            <w:pPr>
              <w:spacing w:after="0"/>
              <w:rPr>
                <w:sz w:val="1"/>
                <w:szCs w:val="1"/>
                <w:color w:val="auto"/>
              </w:rPr>
            </w:pPr>
          </w:p>
        </w:tc>
      </w:tr>
      <w:tr>
        <w:trPr>
          <w:trHeight w:val="205"/>
        </w:trPr>
        <w:tc>
          <w:tcPr>
            <w:tcW w:w="7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Reclassification adjustment for gains included in net income</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94"/>
        </w:trPr>
        <w:tc>
          <w:tcPr>
            <w:tcW w:w="772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Net unrealized gains on available-for-sale securities</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34,618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(8,168)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26,450</w:t>
            </w:r>
          </w:p>
        </w:tc>
        <w:tc>
          <w:tcPr>
            <w:tcW w:w="0" w:type="dxa"/>
            <w:vAlign w:val="bottom"/>
          </w:tcPr>
          <w:p>
            <w:pPr>
              <w:spacing w:after="0"/>
              <w:rPr>
                <w:sz w:val="1"/>
                <w:szCs w:val="1"/>
                <w:color w:val="auto"/>
              </w:rPr>
            </w:pPr>
          </w:p>
        </w:tc>
      </w:tr>
      <w:tr>
        <w:trPr>
          <w:trHeight w:val="205"/>
        </w:trPr>
        <w:tc>
          <w:tcPr>
            <w:tcW w:w="7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Amortization of unrealized losses on held-to-maturity securities transferred from available-for-sale</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0" w:type="dxa"/>
            <w:vAlign w:val="bottom"/>
          </w:tcPr>
          <w:p>
            <w:pPr>
              <w:spacing w:after="0"/>
              <w:rPr>
                <w:sz w:val="1"/>
                <w:szCs w:val="1"/>
                <w:color w:val="auto"/>
              </w:rPr>
            </w:pPr>
          </w:p>
        </w:tc>
      </w:tr>
      <w:tr>
        <w:trPr>
          <w:trHeight w:val="200"/>
        </w:trPr>
        <w:tc>
          <w:tcPr>
            <w:tcW w:w="77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Derivative instruments designated as cash flow hedges: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Unrealized holding losses on derivatives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(739)</w:t>
            </w:r>
          </w:p>
        </w:tc>
        <w:tc>
          <w:tcPr>
            <w:tcW w:w="0" w:type="dxa"/>
            <w:vAlign w:val="bottom"/>
          </w:tcPr>
          <w:p>
            <w:pPr>
              <w:spacing w:after="0"/>
              <w:rPr>
                <w:sz w:val="1"/>
                <w:szCs w:val="1"/>
                <w:color w:val="auto"/>
              </w:rPr>
            </w:pPr>
          </w:p>
        </w:tc>
      </w:tr>
      <w:tr>
        <w:trPr>
          <w:trHeight w:val="200"/>
        </w:trPr>
        <w:tc>
          <w:tcPr>
            <w:tcW w:w="77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5"/>
                <w:szCs w:val="15"/>
                <w:color w:val="auto"/>
              </w:rPr>
              <w:t>Gains on derivative instruments realized in net income</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(1,121)</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(838)</w:t>
            </w:r>
          </w:p>
        </w:tc>
        <w:tc>
          <w:tcPr>
            <w:tcW w:w="0" w:type="dxa"/>
            <w:vAlign w:val="bottom"/>
          </w:tcPr>
          <w:p>
            <w:pPr>
              <w:spacing w:after="0"/>
              <w:rPr>
                <w:sz w:val="1"/>
                <w:szCs w:val="1"/>
                <w:color w:val="auto"/>
              </w:rPr>
            </w:pPr>
          </w:p>
        </w:tc>
      </w:tr>
      <w:tr>
        <w:trPr>
          <w:trHeight w:val="198"/>
        </w:trPr>
        <w:tc>
          <w:tcPr>
            <w:tcW w:w="7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Net cash flow hedge activity</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(1,577)</w:t>
            </w:r>
          </w:p>
        </w:tc>
        <w:tc>
          <w:tcPr>
            <w:tcW w:w="0" w:type="dxa"/>
            <w:vAlign w:val="bottom"/>
          </w:tcPr>
          <w:p>
            <w:pPr>
              <w:spacing w:after="0"/>
              <w:rPr>
                <w:sz w:val="1"/>
                <w:szCs w:val="1"/>
                <w:color w:val="auto"/>
              </w:rPr>
            </w:pPr>
          </w:p>
        </w:tc>
      </w:tr>
      <w:tr>
        <w:trPr>
          <w:trHeight w:val="200"/>
        </w:trPr>
        <w:tc>
          <w:tcPr>
            <w:tcW w:w="7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Amortization of defined benefit pension plan net periodic pension cost components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196"/>
        </w:trPr>
        <w:tc>
          <w:tcPr>
            <w:tcW w:w="7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Total other comprehensive income</w:t>
            </w: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34,455</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(8,095)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26,360</w:t>
            </w:r>
          </w:p>
        </w:tc>
        <w:tc>
          <w:tcPr>
            <w:tcW w:w="0" w:type="dxa"/>
            <w:vAlign w:val="bottom"/>
          </w:tcPr>
          <w:p>
            <w:pPr>
              <w:spacing w:after="0"/>
              <w:rPr>
                <w:sz w:val="1"/>
                <w:szCs w:val="1"/>
                <w:color w:val="auto"/>
              </w:rPr>
            </w:pPr>
          </w:p>
        </w:tc>
      </w:tr>
      <w:tr>
        <w:trPr>
          <w:trHeight w:val="198"/>
        </w:trPr>
        <w:tc>
          <w:tcPr>
            <w:tcW w:w="7720" w:type="dxa"/>
            <w:vAlign w:val="bottom"/>
            <w:gridSpan w:val="2"/>
          </w:tcPr>
          <w:p>
            <w:pPr>
              <w:ind w:left="360"/>
              <w:spacing w:after="0"/>
              <w:rPr>
                <w:sz w:val="20"/>
                <w:szCs w:val="20"/>
                <w:color w:val="auto"/>
              </w:rPr>
            </w:pPr>
            <w:r>
              <w:rPr>
                <w:rFonts w:ascii="Times New Roman" w:cs="Times New Roman" w:eastAsia="Times New Roman" w:hAnsi="Times New Roman"/>
                <w:sz w:val="15"/>
                <w:szCs w:val="15"/>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125,614</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(27,841)</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97,773</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 of Changes in Shareholders’ Equity </w:t>
      </w:r>
      <w:r>
        <w:rPr>
          <w:rFonts w:ascii="Times New Roman" w:cs="Times New Roman" w:eastAsia="Times New Roman" w:hAnsi="Times New Roman"/>
          <w:sz w:val="16"/>
          <w:szCs w:val="16"/>
          <w:i w:val="1"/>
          <w:iCs w:val="1"/>
          <w:color w:val="auto"/>
        </w:rPr>
        <w:t>(Unaudited)</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200"/>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108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40" w:type="dxa"/>
            <w:vAlign w:val="bottom"/>
          </w:tcPr>
          <w:p>
            <w:pPr>
              <w:spacing w:after="0"/>
              <w:rPr>
                <w:sz w:val="13"/>
                <w:szCs w:val="13"/>
                <w:color w:val="auto"/>
              </w:rPr>
            </w:pPr>
          </w:p>
        </w:tc>
        <w:tc>
          <w:tcPr>
            <w:tcW w:w="9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3"/>
                <w:szCs w:val="13"/>
                <w:color w:val="auto"/>
              </w:rPr>
            </w:pPr>
          </w:p>
        </w:tc>
        <w:tc>
          <w:tcPr>
            <w:tcW w:w="90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3"/>
                <w:szCs w:val="13"/>
                <w:color w:val="auto"/>
              </w:rPr>
            </w:pPr>
          </w:p>
        </w:tc>
        <w:tc>
          <w:tcPr>
            <w:tcW w:w="92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10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3"/>
                <w:szCs w:val="13"/>
                <w:color w:val="auto"/>
              </w:rPr>
            </w:pPr>
          </w:p>
        </w:tc>
        <w:tc>
          <w:tcPr>
            <w:tcW w:w="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120,598,266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120,598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2,754,399</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914,261</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(150,572)</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3,638,686</w:t>
            </w:r>
          </w:p>
        </w:tc>
        <w:tc>
          <w:tcPr>
            <w:tcW w:w="0" w:type="dxa"/>
            <w:vAlign w:val="bottom"/>
          </w:tcPr>
          <w:p>
            <w:pPr>
              <w:spacing w:after="0"/>
              <w:rPr>
                <w:sz w:val="1"/>
                <w:szCs w:val="1"/>
                <w:color w:val="auto"/>
              </w:rPr>
            </w:pPr>
          </w:p>
        </w:tc>
      </w:tr>
      <w:tr>
        <w:trPr>
          <w:trHeight w:val="19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84,289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84,289</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w:t>
            </w:r>
          </w:p>
        </w:tc>
        <w:tc>
          <w:tcPr>
            <w:tcW w:w="0" w:type="dxa"/>
            <w:vAlign w:val="bottom"/>
          </w:tcPr>
          <w:p>
            <w:pPr>
              <w:spacing w:after="0"/>
              <w:rPr>
                <w:sz w:val="1"/>
                <w:szCs w:val="1"/>
                <w:color w:val="auto"/>
              </w:rPr>
            </w:pPr>
          </w:p>
        </w:tc>
      </w:tr>
      <w:tr>
        <w:trPr>
          <w:trHeight w:val="19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(1,090,402)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(37,403)</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dividends ($0.25 per share)</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(30,362)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(30,362)</w:t>
            </w:r>
          </w:p>
        </w:tc>
        <w:tc>
          <w:tcPr>
            <w:tcW w:w="0" w:type="dxa"/>
            <w:vAlign w:val="bottom"/>
          </w:tcPr>
          <w:p>
            <w:pPr>
              <w:spacing w:after="0"/>
              <w:rPr>
                <w:sz w:val="1"/>
                <w:szCs w:val="1"/>
                <w:color w:val="auto"/>
              </w:rPr>
            </w:pPr>
          </w:p>
        </w:tc>
      </w:tr>
      <w:tr>
        <w:trPr>
          <w:trHeight w:val="19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Impact of equity-based compensation awards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128,204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3,429</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other United sponsored equity plans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47,963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89"/>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119,684,031</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119,684</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2,721,132</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968,188</w:t>
            </w:r>
          </w:p>
        </w:tc>
        <w:tc>
          <w:tcPr>
            <w:tcW w:w="80" w:type="dxa"/>
            <w:vAlign w:val="bottom"/>
          </w:tcPr>
          <w:p>
            <w:pPr>
              <w:spacing w:after="0"/>
              <w:rPr>
                <w:sz w:val="16"/>
                <w:szCs w:val="16"/>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(154,338)</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3,654,666</w:t>
            </w:r>
          </w:p>
        </w:tc>
        <w:tc>
          <w:tcPr>
            <w:tcW w:w="0" w:type="dxa"/>
            <w:vAlign w:val="bottom"/>
          </w:tcPr>
          <w:p>
            <w:pPr>
              <w:spacing w:after="0"/>
              <w:rPr>
                <w:sz w:val="1"/>
                <w:szCs w:val="1"/>
                <w:color w:val="auto"/>
              </w:rPr>
            </w:pP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119,364,110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88,266</w:t>
            </w:r>
          </w:p>
        </w:tc>
        <w:tc>
          <w:tcPr>
            <w:tcW w:w="8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119,364</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2,723,278</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714,138</w:t>
            </w:r>
          </w:p>
        </w:tc>
        <w:tc>
          <w:tcPr>
            <w:tcW w:w="80" w:type="dxa"/>
            <w:vAlign w:val="bottom"/>
          </w:tcPr>
          <w:p>
            <w:pPr>
              <w:spacing w:after="0"/>
              <w:rPr>
                <w:sz w:val="17"/>
                <w:szCs w:val="17"/>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(212,919)</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3,432,127</w:t>
            </w:r>
          </w:p>
        </w:tc>
        <w:tc>
          <w:tcPr>
            <w:tcW w:w="0" w:type="dxa"/>
            <w:vAlign w:val="bottom"/>
          </w:tcPr>
          <w:p>
            <w:pPr>
              <w:spacing w:after="0"/>
              <w:rPr>
                <w:sz w:val="1"/>
                <w:szCs w:val="1"/>
                <w:color w:val="auto"/>
              </w:rPr>
            </w:pPr>
          </w:p>
        </w:tc>
      </w:tr>
      <w:tr>
        <w:trPr>
          <w:trHeight w:val="20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71,413</w:t>
            </w:r>
          </w:p>
        </w:tc>
        <w:tc>
          <w:tcPr>
            <w:tcW w:w="0" w:type="dxa"/>
            <w:vAlign w:val="bottom"/>
          </w:tcPr>
          <w:p>
            <w:pPr>
              <w:spacing w:after="0"/>
              <w:rPr>
                <w:sz w:val="1"/>
                <w:szCs w:val="1"/>
                <w:color w:val="auto"/>
              </w:rPr>
            </w:pPr>
          </w:p>
        </w:tc>
      </w:tr>
      <w:tr>
        <w:trPr>
          <w:trHeight w:val="19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26,360</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0" w:type="dxa"/>
            <w:vAlign w:val="bottom"/>
          </w:tcPr>
          <w:p>
            <w:pPr>
              <w:spacing w:after="0"/>
              <w:rPr>
                <w:sz w:val="1"/>
                <w:szCs w:val="1"/>
                <w:color w:val="auto"/>
              </w:rPr>
            </w:pPr>
          </w:p>
        </w:tc>
      </w:tr>
      <w:tr>
        <w:trPr>
          <w:trHeight w:val="195"/>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dividends ($0.24 per share)</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(29,007)</w:t>
            </w:r>
          </w:p>
        </w:tc>
        <w:tc>
          <w:tcPr>
            <w:tcW w:w="0" w:type="dxa"/>
            <w:vAlign w:val="bottom"/>
          </w:tcPr>
          <w:p>
            <w:pPr>
              <w:spacing w:after="0"/>
              <w:rPr>
                <w:sz w:val="1"/>
                <w:szCs w:val="1"/>
                <w:color w:val="auto"/>
              </w:rPr>
            </w:pPr>
          </w:p>
        </w:tc>
      </w:tr>
      <w:tr>
        <w:trPr>
          <w:trHeight w:val="21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Impact of equity-based compensation awards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Impact of other United sponsored equity plans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46,407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119,514,298</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88,266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119,514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2,724,704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754,971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(186,559)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3,500,896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Cash Flows </w:t>
      </w:r>
      <w:r>
        <w:rPr>
          <w:rFonts w:ascii="Times New Roman" w:cs="Times New Roman" w:eastAsia="Times New Roman" w:hAnsi="Times New Roman"/>
          <w:sz w:val="16"/>
          <w:szCs w:val="16"/>
          <w:i w:val="1"/>
          <w:iCs w:val="1"/>
          <w:color w:val="auto"/>
        </w:rPr>
        <w:t>(Unaudited)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8"/>
                <w:szCs w:val="18"/>
                <w:color w:val="auto"/>
              </w:rPr>
            </w:pPr>
          </w:p>
        </w:tc>
        <w:tc>
          <w:tcPr>
            <w:tcW w:w="122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13"/>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84,289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71,413</w:t>
            </w:r>
          </w:p>
        </w:tc>
      </w:tr>
      <w:tr>
        <w:trPr>
          <w:trHeight w:val="219"/>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amortization and accretion, net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11,448</w:t>
            </w:r>
          </w:p>
        </w:tc>
      </w:tr>
      <w:tr>
        <w:trPr>
          <w:trHeight w:val="219"/>
        </w:trPr>
        <w:tc>
          <w:tcPr>
            <w:tcW w:w="8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15,419</w:t>
            </w:r>
          </w:p>
        </w:tc>
      </w:tr>
      <w:tr>
        <w:trPr>
          <w:trHeight w:val="213"/>
        </w:trPr>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w:t>
            </w:r>
          </w:p>
        </w:tc>
      </w:tr>
      <w:tr>
        <w:trPr>
          <w:trHeight w:val="219"/>
        </w:trPr>
        <w:tc>
          <w:tcPr>
            <w:tcW w:w="8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3"/>
        </w:trPr>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Securities gains, net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8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gains from sales of other loans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w:t>
            </w:r>
          </w:p>
        </w:tc>
      </w:tr>
      <w:tr>
        <w:trPr>
          <w:trHeight w:val="213"/>
        </w:trPr>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Trading securities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Loans held for sale</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20,190</w:t>
            </w:r>
          </w:p>
        </w:tc>
      </w:tr>
      <w:tr>
        <w:trPr>
          <w:trHeight w:val="219"/>
        </w:trPr>
        <w:tc>
          <w:tcPr>
            <w:tcW w:w="8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19,878</w:t>
            </w:r>
          </w:p>
        </w:tc>
      </w:tr>
      <w:tr>
        <w:trPr>
          <w:trHeight w:val="213"/>
        </w:trPr>
        <w:tc>
          <w:tcPr>
            <w:tcW w:w="81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6"/>
                <w:szCs w:val="16"/>
                <w:color w:val="auto"/>
              </w:rPr>
              <w:t>Accrued expense and other liabilities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(40,803)</w:t>
            </w:r>
          </w:p>
        </w:tc>
      </w:tr>
      <w:tr>
        <w:trPr>
          <w:trHeight w:val="210"/>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69,281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98,632</w:t>
            </w:r>
          </w:p>
        </w:tc>
      </w:tr>
      <w:tr>
        <w:trPr>
          <w:trHeight w:val="199"/>
        </w:trPr>
        <w:tc>
          <w:tcPr>
            <w:tcW w:w="8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Debt securities held-to-maturity:</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maturities and calls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30,757</w:t>
            </w:r>
          </w:p>
        </w:tc>
      </w:tr>
      <w:tr>
        <w:trPr>
          <w:trHeight w:val="213"/>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Debt securities available-for-sale:</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53,476</w:t>
            </w:r>
          </w:p>
        </w:tc>
      </w:tr>
      <w:tr>
        <w:trPr>
          <w:trHeight w:val="213"/>
        </w:trPr>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maturities and calls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177,005</w:t>
            </w:r>
          </w:p>
        </w:tc>
      </w:tr>
      <w:tr>
        <w:trPr>
          <w:trHeight w:val="219"/>
        </w:trPr>
        <w:tc>
          <w:tcPr>
            <w:tcW w:w="8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(58,856)</w:t>
            </w:r>
          </w:p>
        </w:tc>
      </w:tr>
      <w:tr>
        <w:trPr>
          <w:trHeight w:val="213"/>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increase in loans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(236,778)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(253,750)</w:t>
            </w:r>
          </w:p>
        </w:tc>
      </w:tr>
      <w:tr>
        <w:trPr>
          <w:trHeight w:val="219"/>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for other investments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(11,236)</w:t>
            </w:r>
          </w:p>
        </w:tc>
      </w:tr>
      <w:tr>
        <w:trPr>
          <w:trHeight w:val="213"/>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Proceeds from other investments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6,076</w:t>
            </w:r>
          </w:p>
        </w:tc>
      </w:tr>
      <w:tr>
        <w:trPr>
          <w:trHeight w:val="219"/>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premises and equipment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w:t>
            </w:r>
          </w:p>
        </w:tc>
      </w:tr>
      <w:tr>
        <w:trPr>
          <w:trHeight w:val="213"/>
        </w:trPr>
        <w:tc>
          <w:tcPr>
            <w:tcW w:w="81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4,262</w:t>
            </w:r>
          </w:p>
        </w:tc>
      </w:tr>
      <w:tr>
        <w:trPr>
          <w:trHeight w:val="20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(45,540)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(56,579)</w:t>
            </w:r>
          </w:p>
        </w:tc>
      </w:tr>
      <w:tr>
        <w:trPr>
          <w:trHeight w:val="199"/>
        </w:trPr>
        <w:tc>
          <w:tcPr>
            <w:tcW w:w="8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increase in deposits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226,611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301,392</w:t>
            </w:r>
          </w:p>
        </w:tc>
      </w:tr>
      <w:tr>
        <w:trPr>
          <w:trHeight w:val="219"/>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decrease in short-term borrowings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(195,000)</w:t>
            </w:r>
          </w:p>
        </w:tc>
      </w:tr>
      <w:tr>
        <w:trPr>
          <w:trHeight w:val="213"/>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Proceeds from FHLB advances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126,000</w:t>
            </w:r>
          </w:p>
        </w:tc>
      </w:tr>
      <w:tr>
        <w:trPr>
          <w:trHeight w:val="219"/>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 of FHLB advances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(126,000)</w:t>
            </w:r>
          </w:p>
        </w:tc>
      </w:tr>
      <w:tr>
        <w:trPr>
          <w:trHeight w:val="213"/>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dividends on common stock</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(29,057)</w:t>
            </w:r>
          </w:p>
        </w:tc>
      </w:tr>
      <w:tr>
        <w:trPr>
          <w:trHeight w:val="213"/>
        </w:trPr>
        <w:tc>
          <w:tcPr>
            <w:tcW w:w="8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Cash dividends on preferred stock</w:t>
            </w:r>
          </w:p>
        </w:tc>
        <w:tc>
          <w:tcPr>
            <w:tcW w:w="2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w:t>
            </w:r>
          </w:p>
        </w:tc>
      </w:tr>
      <w:tr>
        <w:trPr>
          <w:trHeight w:val="219"/>
        </w:trPr>
        <w:tc>
          <w:tcPr>
            <w:tcW w:w="8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w:t>
            </w:r>
          </w:p>
        </w:tc>
      </w:tr>
      <w:tr>
        <w:trPr>
          <w:trHeight w:val="207"/>
        </w:trPr>
        <w:tc>
          <w:tcPr>
            <w:tcW w:w="8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73,646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74,786</w:t>
            </w:r>
          </w:p>
        </w:tc>
      </w:tr>
      <w:tr>
        <w:trPr>
          <w:trHeight w:val="199"/>
        </w:trPr>
        <w:tc>
          <w:tcPr>
            <w:tcW w:w="8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4"/>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116,839</w:t>
            </w:r>
          </w:p>
        </w:tc>
      </w:tr>
      <w:tr>
        <w:trPr>
          <w:trHeight w:val="218"/>
        </w:trPr>
        <w:tc>
          <w:tcPr>
            <w:tcW w:w="8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4"/>
        </w:trPr>
        <w:tc>
          <w:tcPr>
            <w:tcW w:w="81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395,754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519,873</w:t>
            </w:r>
          </w:p>
        </w:tc>
      </w:tr>
      <w:tr>
        <w:trPr>
          <w:trHeight w:val="198"/>
        </w:trPr>
        <w:tc>
          <w:tcPr>
            <w:tcW w:w="8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6"/>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493,141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636,712</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8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4"/>
        </w:trPr>
        <w:tc>
          <w:tcPr>
            <w:tcW w:w="81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Significant non-cash investing and financing transactions: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8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Commitments to fund other investments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8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Unsettled securities purchases</w:t>
            </w:r>
          </w:p>
        </w:tc>
        <w:tc>
          <w:tcPr>
            <w:tcW w:w="2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r>
    </w:tbl>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 (unaudited).</w:t>
      </w:r>
    </w:p>
    <w:p>
      <w:pPr>
        <w:sectPr>
          <w:pgSz w:w="11900" w:h="16838" w:orient="portrait"/>
          <w:cols w:equalWidth="0" w:num="1">
            <w:col w:w="11220"/>
          </w:cols>
          <w:pgMar w:left="320" w:top="9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United’s accounting and financial reporting policies conform to GAAP and reporting guidelines of banking regulatory authorities. The accompanying interim consolidated financial statements have not been audited. All material intercompany balances and transactions have been eliminated. A more detailed description of United’s accounting policies is included in its 2025 10-K.</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quarter of 2026, United established a trading securities portfolio as part of a hedging strategy to mitigate the volatility in the fair value of United’s mortgage servicing rights asset. The trading securities portfolio consists of U.S. Treasuries that are carried at fair value on the consolidated balance sheets. The securities are classified as Level 1 assets in the fair value hierarchy. Changes in the fair value of the securities are recognized in the consolidated statements of income in other noninterest income. Interest income on trading securities is included in securities interest revenue in the consolidated statements of income.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management’s opinion, all necessary accounting adjustments have been made to fairly present the financial position and results of operations in the accompanying financial statements. These adjustments are normal and recurring accruals considered necessary for a fair and accurate presentation. The results for interim periods are not necessarily indicative of results for the full year or any other interim periods. The accompanying unaudited consolidated financial statements should be read in conjunction with the consolidated financial statements and related notes appearing in United’s 2025 10-K.</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Investment Securities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unrealized gains and losses and fair value of HTM debt securities as of the dates indicated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36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6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19,018</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86,898</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281,815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236,588</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1,161,317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990,590</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635,134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532,177</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Supranational entities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13,143</w:t>
            </w:r>
          </w:p>
        </w:tc>
        <w:tc>
          <w:tcPr>
            <w:tcW w:w="0" w:type="dxa"/>
            <w:vAlign w:val="bottom"/>
          </w:tcPr>
          <w:p>
            <w:pPr>
              <w:spacing w:after="0"/>
              <w:rPr>
                <w:sz w:val="1"/>
                <w:szCs w:val="1"/>
                <w:color w:val="auto"/>
              </w:rPr>
            </w:pPr>
          </w:p>
        </w:tc>
      </w:tr>
      <w:tr>
        <w:trPr>
          <w:trHeight w:val="212"/>
        </w:trPr>
        <w:tc>
          <w:tcPr>
            <w:tcW w:w="4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2,211,523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333,134</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1,878,414</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19,039</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87,618</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241,065</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1,182,098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1,017,253</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638,673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540,282</w:t>
            </w:r>
          </w:p>
        </w:tc>
        <w:tc>
          <w:tcPr>
            <w:tcW w:w="0" w:type="dxa"/>
            <w:vAlign w:val="bottom"/>
          </w:tcPr>
          <w:p>
            <w:pPr>
              <w:spacing w:after="0"/>
              <w:rPr>
                <w:sz w:val="1"/>
                <w:szCs w:val="1"/>
                <w:color w:val="auto"/>
              </w:rPr>
            </w:pPr>
          </w:p>
        </w:tc>
      </w:tr>
      <w:tr>
        <w:trPr>
          <w:trHeight w:val="213"/>
        </w:trPr>
        <w:tc>
          <w:tcPr>
            <w:tcW w:w="4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Supranational entities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13,169</w:t>
            </w: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2,237,356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1,918,426</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unrealized gains and losses, and fair value of AFS debt securities as of the dates indicated are presented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6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Gross Unrealized</w:t>
            </w:r>
          </w:p>
        </w:tc>
        <w:tc>
          <w:tcPr>
            <w:tcW w:w="38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14"/>
        </w:trPr>
        <w:tc>
          <w:tcPr>
            <w:tcW w:w="42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6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380" w:type="dxa"/>
            <w:vAlign w:val="bottom"/>
          </w:tcPr>
          <w:p>
            <w:pPr>
              <w:spacing w:after="0"/>
              <w:rPr>
                <w:sz w:val="18"/>
                <w:szCs w:val="18"/>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11"/>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476,555</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472,896</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280,808</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150,241</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1,419,548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1,343,276</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266,723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253,865</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691,606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670,248</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7,622</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134,086</w:t>
            </w:r>
          </w:p>
        </w:tc>
        <w:tc>
          <w:tcPr>
            <w:tcW w:w="0" w:type="dxa"/>
            <w:vAlign w:val="bottom"/>
          </w:tcPr>
          <w:p>
            <w:pPr>
              <w:spacing w:after="0"/>
              <w:rPr>
                <w:sz w:val="1"/>
                <w:szCs w:val="1"/>
                <w:color w:val="auto"/>
              </w:rPr>
            </w:pPr>
          </w:p>
        </w:tc>
      </w:tr>
      <w:tr>
        <w:trPr>
          <w:trHeight w:val="21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262,559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261,504</w:t>
            </w:r>
          </w:p>
        </w:tc>
        <w:tc>
          <w:tcPr>
            <w:tcW w:w="0" w:type="dxa"/>
            <w:vAlign w:val="bottom"/>
          </w:tcPr>
          <w:p>
            <w:pPr>
              <w:spacing w:after="0"/>
              <w:rPr>
                <w:sz w:val="1"/>
                <w:szCs w:val="1"/>
                <w:color w:val="auto"/>
              </w:rPr>
            </w:pPr>
          </w:p>
        </w:tc>
      </w:tr>
      <w:tr>
        <w:trPr>
          <w:trHeight w:val="237"/>
        </w:trPr>
        <w:tc>
          <w:tcPr>
            <w:tcW w:w="4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3,715,501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3,574,546</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496,402</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w:t>
            </w:r>
          </w:p>
        </w:tc>
        <w:tc>
          <w:tcPr>
            <w:tcW w:w="1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493,755</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298,350</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165,118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154,883</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1,503,962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1,430,477</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259,855</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704,318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684,317</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7,770</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136,668</w:t>
            </w:r>
          </w:p>
        </w:tc>
        <w:tc>
          <w:tcPr>
            <w:tcW w:w="0" w:type="dxa"/>
            <w:vAlign w:val="bottom"/>
          </w:tcPr>
          <w:p>
            <w:pPr>
              <w:spacing w:after="0"/>
              <w:rPr>
                <w:sz w:val="1"/>
                <w:szCs w:val="1"/>
                <w:color w:val="auto"/>
              </w:rPr>
            </w:pPr>
          </w:p>
        </w:tc>
      </w:tr>
      <w:tr>
        <w:trPr>
          <w:trHeight w:val="21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285,435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284,788</w:t>
            </w:r>
          </w:p>
        </w:tc>
        <w:tc>
          <w:tcPr>
            <w:tcW w:w="0" w:type="dxa"/>
            <w:vAlign w:val="bottom"/>
          </w:tcPr>
          <w:p>
            <w:pPr>
              <w:spacing w:after="0"/>
              <w:rPr>
                <w:sz w:val="1"/>
                <w:szCs w:val="1"/>
                <w:color w:val="auto"/>
              </w:rPr>
            </w:pPr>
          </w:p>
        </w:tc>
      </w:tr>
      <w:tr>
        <w:trPr>
          <w:trHeight w:val="237"/>
        </w:trPr>
        <w:tc>
          <w:tcPr>
            <w:tcW w:w="4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3,886,584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148,331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3,750,863</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carrying value of pledged securities totaled $2.77 billion and $2.98 billion, respectively. Securities were pledged primarily to secure public deposits.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values and gross unrealized losses of HTM debt securities as of the dates indicated based on the length of time that individual securities have been in a continuous unrealized loss position.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0" w:type="dxa"/>
            <w:vAlign w:val="bottom"/>
            <w:gridSpan w:val="11"/>
          </w:tcPr>
          <w:p>
            <w:pPr>
              <w:ind w:left="680"/>
              <w:spacing w:after="0"/>
              <w:rPr>
                <w:sz w:val="20"/>
                <w:szCs w:val="20"/>
                <w:color w:val="auto"/>
              </w:rPr>
            </w:pPr>
            <w:r>
              <w:rPr>
                <w:rFonts w:ascii="Times New Roman" w:cs="Times New Roman" w:eastAsia="Times New Roman" w:hAnsi="Times New Roman"/>
                <w:sz w:val="16"/>
                <w:szCs w:val="16"/>
                <w:b w:val="1"/>
                <w:bCs w:val="1"/>
                <w:color w:val="auto"/>
              </w:rPr>
              <w:t>Length of Time in Unrealized Loss Position</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4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19,018</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11,424</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229,205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45,244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989,094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989,694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170,735</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526,043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532,177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102,957</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Supranational entities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w:t>
            </w:r>
          </w:p>
        </w:tc>
        <w:tc>
          <w:tcPr>
            <w:tcW w:w="0" w:type="dxa"/>
            <w:vAlign w:val="bottom"/>
          </w:tcPr>
          <w:p>
            <w:pPr>
              <w:spacing w:after="0"/>
              <w:rPr>
                <w:sz w:val="1"/>
                <w:szCs w:val="1"/>
                <w:color w:val="auto"/>
              </w:rPr>
            </w:pPr>
          </w:p>
        </w:tc>
      </w:tr>
      <w:tr>
        <w:trPr>
          <w:trHeight w:val="212"/>
        </w:trPr>
        <w:tc>
          <w:tcPr>
            <w:tcW w:w="4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17,882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1,852,253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332,717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1,870,135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333,134</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11,233</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41,784</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1,016,225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1,016,225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164,860</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540,282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540,282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98,391</w:t>
            </w:r>
          </w:p>
        </w:tc>
        <w:tc>
          <w:tcPr>
            <w:tcW w:w="0" w:type="dxa"/>
            <w:vAlign w:val="bottom"/>
          </w:tcPr>
          <w:p>
            <w:pPr>
              <w:spacing w:after="0"/>
              <w:rPr>
                <w:sz w:val="1"/>
                <w:szCs w:val="1"/>
                <w:color w:val="auto"/>
              </w:rPr>
            </w:pPr>
          </w:p>
        </w:tc>
      </w:tr>
      <w:tr>
        <w:trPr>
          <w:trHeight w:val="213"/>
        </w:trPr>
        <w:tc>
          <w:tcPr>
            <w:tcW w:w="4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Supranational entities</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0" w:type="dxa"/>
            <w:vAlign w:val="bottom"/>
          </w:tcPr>
          <w:p>
            <w:pPr>
              <w:spacing w:after="0"/>
              <w:rPr>
                <w:sz w:val="1"/>
                <w:szCs w:val="1"/>
                <w:color w:val="auto"/>
              </w:rPr>
            </w:pPr>
          </w:p>
        </w:tc>
      </w:tr>
      <w:tr>
        <w:trPr>
          <w:trHeight w:val="237"/>
        </w:trPr>
        <w:tc>
          <w:tcPr>
            <w:tcW w:w="41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1,902,797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1,902,797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318,987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values and gross unrealized losses of AFS debt securities as of the dates indicated based on the length of time that individual securities have been in a continuous unrealized loss position.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0" w:type="dxa"/>
            <w:vAlign w:val="bottom"/>
            <w:gridSpan w:val="11"/>
          </w:tcPr>
          <w:p>
            <w:pPr>
              <w:ind w:left="680"/>
              <w:spacing w:after="0"/>
              <w:rPr>
                <w:sz w:val="20"/>
                <w:szCs w:val="20"/>
                <w:color w:val="auto"/>
              </w:rPr>
            </w:pPr>
            <w:r>
              <w:rPr>
                <w:rFonts w:ascii="Times New Roman" w:cs="Times New Roman" w:eastAsia="Times New Roman" w:hAnsi="Times New Roman"/>
                <w:sz w:val="16"/>
                <w:szCs w:val="16"/>
                <w:b w:val="1"/>
                <w:bCs w:val="1"/>
                <w:color w:val="auto"/>
              </w:rPr>
              <w:t>Length of Time in Unrealized Loss Position</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14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12 Months or More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0" w:type="dxa"/>
            <w:vAlign w:val="bottom"/>
          </w:tcPr>
          <w:p>
            <w:pPr>
              <w:spacing w:after="0"/>
              <w:rPr>
                <w:sz w:val="1"/>
                <w:szCs w:val="1"/>
                <w:color w:val="auto"/>
              </w:rPr>
            </w:pPr>
          </w:p>
        </w:tc>
      </w:tr>
      <w:tr>
        <w:trPr>
          <w:trHeight w:val="214"/>
        </w:trPr>
        <w:tc>
          <w:tcPr>
            <w:tcW w:w="4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11"/>
        </w:trPr>
        <w:tc>
          <w:tcPr>
            <w:tcW w:w="4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210,849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111,280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322,129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9,684</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10,153</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760,369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837,746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82,530</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221,143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12,862</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338,409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372,280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24,887</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5,978</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114,612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55,036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169,648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474,041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1,987,331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2,461,372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151,300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Treasuries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110,899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136,271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9,875</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10,235</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841,090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901,132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79,636</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MBS, Non-Agency</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259,455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13,021</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MBS, Agency &amp; GSEs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369,176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24,897</w:t>
            </w:r>
          </w:p>
        </w:tc>
        <w:tc>
          <w:tcPr>
            <w:tcW w:w="0" w:type="dxa"/>
            <w:vAlign w:val="bottom"/>
          </w:tcPr>
          <w:p>
            <w:pPr>
              <w:spacing w:after="0"/>
              <w:rPr>
                <w:sz w:val="1"/>
                <w:szCs w:val="1"/>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MBS, Non-Agency</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bonds</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5,886</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81,248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58,594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139,842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0" w:type="dxa"/>
            <w:vAlign w:val="bottom"/>
          </w:tcPr>
          <w:p>
            <w:pPr>
              <w:spacing w:after="0"/>
              <w:rPr>
                <w:sz w:val="1"/>
                <w:szCs w:val="1"/>
                <w:color w:val="auto"/>
              </w:rPr>
            </w:pPr>
          </w:p>
        </w:tc>
      </w:tr>
      <w:tr>
        <w:trPr>
          <w:trHeight w:val="237"/>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2,122,127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2,362,897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148,331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2026, there were 487 AFS debt securities and 286 HTM debt securities that were in an unrealized loss position. United does not intend to sell nor does it believe it will be required to sell securities in an unrealized loss position prior to the recovery of their amortized cost basis. Unrealized losses at March 31, 2026 were primarily attributable to changes in interest rates.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2026 and December 31, 2025, the majority of HTM securities were considered to have a zero loss assumption for ACL purposes. For the remaining HTM securities, primarily those issued by state and political subdivisions, calculated credit losses, and, thus, the related ACL were de minimis due to the high credit quality of the portfolio. As a result, no ACL was recorded on the HTM portfolio at March 31, 2026 and December 31, 2025. In addition, based on the assessments performed at March 31, 2026 and December 31, 2025, there was no ACL required related to the AFS portfolio.</w:t>
      </w:r>
    </w:p>
    <w:p>
      <w:pPr>
        <w:spacing w:after="0" w:line="2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presents accrued interest receivable on HTM and AFS debt securities, which was excluded from the estimate of credit losses,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16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Accrued Interest Receivable</w:t>
            </w:r>
          </w:p>
        </w:tc>
      </w:tr>
      <w:tr>
        <w:trPr>
          <w:trHeight w:val="214"/>
        </w:trPr>
        <w:tc>
          <w:tcPr>
            <w:tcW w:w="4820" w:type="dxa"/>
            <w:vAlign w:val="bottom"/>
          </w:tcPr>
          <w:p>
            <w:pPr>
              <w:ind w:left="268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680" w:type="dxa"/>
            <w:vAlign w:val="bottom"/>
          </w:tcPr>
          <w:p>
            <w:pPr>
              <w:spacing w:after="0"/>
              <w:rPr>
                <w:sz w:val="18"/>
                <w:szCs w:val="18"/>
                <w:color w:val="auto"/>
              </w:rPr>
            </w:pPr>
          </w:p>
        </w:tc>
      </w:tr>
      <w:tr>
        <w:trPr>
          <w:trHeight w:val="211"/>
        </w:trPr>
        <w:tc>
          <w:tcPr>
            <w:tcW w:w="4820" w:type="dxa"/>
            <w:vAlign w:val="bottom"/>
            <w:tcBorders>
              <w:top w:val="single" w:sz="8" w:color="CCEEFF"/>
            </w:tcBorders>
            <w:shd w:val="clear" w:color="auto" w:fill="CCEEFF"/>
          </w:tcPr>
          <w:p>
            <w:pPr>
              <w:ind w:left="2780"/>
              <w:spacing w:after="0"/>
              <w:rPr>
                <w:sz w:val="20"/>
                <w:szCs w:val="20"/>
                <w:color w:val="auto"/>
              </w:rPr>
            </w:pPr>
            <w:r>
              <w:rPr>
                <w:rFonts w:ascii="Times New Roman" w:cs="Times New Roman" w:eastAsia="Times New Roman" w:hAnsi="Times New Roman"/>
                <w:sz w:val="16"/>
                <w:szCs w:val="16"/>
                <w:color w:val="auto"/>
              </w:rPr>
              <w:t>HTM</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5,486</w:t>
            </w:r>
          </w:p>
        </w:tc>
        <w:tc>
          <w:tcPr>
            <w:tcW w:w="2680" w:type="dxa"/>
            <w:vAlign w:val="bottom"/>
            <w:tcBorders>
              <w:top w:val="single" w:sz="8" w:color="CCEEFF"/>
            </w:tcBorders>
            <w:shd w:val="clear" w:color="auto" w:fill="CCEEFF"/>
          </w:tcPr>
          <w:p>
            <w:pPr>
              <w:spacing w:after="0"/>
              <w:rPr>
                <w:sz w:val="18"/>
                <w:szCs w:val="18"/>
                <w:color w:val="auto"/>
              </w:rPr>
            </w:pPr>
          </w:p>
        </w:tc>
      </w:tr>
      <w:tr>
        <w:trPr>
          <w:trHeight w:val="210"/>
        </w:trPr>
        <w:tc>
          <w:tcPr>
            <w:tcW w:w="482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AFS</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16,413</w:t>
            </w:r>
          </w:p>
        </w:tc>
        <w:tc>
          <w:tcPr>
            <w:tcW w:w="26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AFS and HTM debt securities at March 31, 2026, by contractual maturity, are presented in the following table.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AFS</w:t>
            </w:r>
          </w:p>
        </w:tc>
        <w:tc>
          <w:tcPr>
            <w:tcW w:w="1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HTM</w:t>
            </w:r>
          </w:p>
        </w:tc>
        <w:tc>
          <w:tcPr>
            <w:tcW w:w="1360" w:type="dxa"/>
            <w:vAlign w:val="bottom"/>
            <w:tcBorders>
              <w:bottom w:val="single" w:sz="8" w:color="auto"/>
            </w:tcBorders>
          </w:tcPr>
          <w:p>
            <w:pPr>
              <w:spacing w:after="0"/>
              <w:rPr>
                <w:sz w:val="18"/>
                <w:szCs w:val="18"/>
                <w:color w:val="auto"/>
              </w:rPr>
            </w:pPr>
          </w:p>
        </w:tc>
      </w:tr>
      <w:tr>
        <w:trPr>
          <w:trHeight w:val="21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80" w:type="dxa"/>
            <w:vAlign w:val="bottom"/>
          </w:tcPr>
          <w:p>
            <w:pPr>
              <w:spacing w:after="0"/>
              <w:rPr>
                <w:sz w:val="18"/>
                <w:szCs w:val="18"/>
                <w:color w:val="auto"/>
              </w:rPr>
            </w:pPr>
          </w:p>
        </w:tc>
        <w:tc>
          <w:tcPr>
            <w:tcW w:w="13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300" w:type="dxa"/>
            <w:vAlign w:val="bottom"/>
          </w:tcPr>
          <w:p>
            <w:pPr>
              <w:spacing w:after="0"/>
              <w:rPr>
                <w:sz w:val="18"/>
                <w:szCs w:val="18"/>
                <w:color w:val="auto"/>
              </w:rPr>
            </w:pPr>
          </w:p>
        </w:tc>
        <w:tc>
          <w:tcPr>
            <w:tcW w:w="13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198"/>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240,109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239,372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314,114</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312,392</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1 to 5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Treasuries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236,446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233,524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19,018</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41,638</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33,557</w:t>
            </w: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Supranational entities</w:t>
            </w: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13,143</w:t>
            </w:r>
          </w:p>
        </w:tc>
      </w:tr>
      <w:tr>
        <w:trPr>
          <w:trHeight w:val="212"/>
        </w:trPr>
        <w:tc>
          <w:tcPr>
            <w:tcW w:w="4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417,235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401,759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115,084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107,356</w:t>
            </w:r>
          </w:p>
        </w:tc>
      </w:tr>
      <w:tr>
        <w:trPr>
          <w:trHeight w:val="21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5 to 10 years: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8"/>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34,106</w:t>
            </w: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74,770</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Corporate bonds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229,673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220,313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126,697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108,876</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More than 10 years: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11,154</w:t>
            </w: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40,277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39,112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160,791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128,261</w:t>
            </w:r>
          </w:p>
        </w:tc>
      </w:tr>
      <w:tr>
        <w:trPr>
          <w:trHeight w:val="209"/>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139,415</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Debt securities not due at a single maturity date:</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Asset-backed securities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MBS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1,686,271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1,597,141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1,161,317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990,590</w:t>
            </w:r>
          </w:p>
        </w:tc>
      </w:tr>
      <w:tr>
        <w:trPr>
          <w:trHeight w:val="21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Commercial MBS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699,352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677,870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635,134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532,177</w:t>
            </w:r>
          </w:p>
        </w:tc>
      </w:tr>
      <w:tr>
        <w:trPr>
          <w:trHeight w:val="212"/>
        </w:trPr>
        <w:tc>
          <w:tcPr>
            <w:tcW w:w="4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2,648,182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2,536,515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1,796,451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1,522,767</w:t>
            </w:r>
          </w:p>
        </w:tc>
      </w:tr>
      <w:tr>
        <w:trPr>
          <w:trHeight w:val="216"/>
        </w:trPr>
        <w:tc>
          <w:tcPr>
            <w:tcW w:w="4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35"/>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3,715,501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3,574,546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2,211,523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1,878,414</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maturities may differ from contractual maturities because issuers and borrowers may have the right to call or prepay obligations.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Realized gains and losses are derived using the specific identification method for determining the cost of securities sold. The following table summarizes AFS securities sales activity for the three months ended March 31, 2026 and 2025</w:t>
      </w:r>
      <w:r>
        <w:rPr>
          <w:rFonts w:ascii="Times New Roman" w:cs="Times New Roman" w:eastAsia="Times New Roman" w:hAnsi="Times New Roman"/>
          <w:sz w:val="18"/>
          <w:szCs w:val="18"/>
          <w:i w:val="1"/>
          <w:iCs w:val="1"/>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65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80" w:type="dxa"/>
            <w:vAlign w:val="bottom"/>
            <w:tcBorders>
              <w:bottom w:val="single" w:sz="8" w:color="auto"/>
            </w:tcBorders>
          </w:tcPr>
          <w:p>
            <w:pPr>
              <w:spacing w:after="0"/>
              <w:rPr>
                <w:sz w:val="18"/>
                <w:szCs w:val="18"/>
                <w:color w:val="auto"/>
              </w:rPr>
            </w:pPr>
          </w:p>
        </w:tc>
        <w:tc>
          <w:tcPr>
            <w:tcW w:w="1600" w:type="dxa"/>
            <w:vAlign w:val="bottom"/>
          </w:tcPr>
          <w:p>
            <w:pPr>
              <w:spacing w:after="0"/>
              <w:rPr>
                <w:sz w:val="18"/>
                <w:szCs w:val="18"/>
                <w:color w:val="auto"/>
              </w:rPr>
            </w:pPr>
          </w:p>
        </w:tc>
      </w:tr>
      <w:tr>
        <w:trPr>
          <w:trHeight w:val="211"/>
        </w:trPr>
        <w:tc>
          <w:tcPr>
            <w:tcW w:w="6500" w:type="dxa"/>
            <w:vAlign w:val="bottom"/>
            <w:tcBorders>
              <w:bottom w:val="single" w:sz="8" w:color="CCEEFF"/>
            </w:tcBorders>
          </w:tcPr>
          <w:p>
            <w:pPr>
              <w:ind w:left="16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0" w:type="dxa"/>
            <w:vAlign w:val="bottom"/>
            <w:tcBorders>
              <w:bottom w:val="single" w:sz="8" w:color="CCEEFF"/>
            </w:tcBorders>
          </w:tcPr>
          <w:p>
            <w:pPr>
              <w:spacing w:after="0"/>
              <w:rPr>
                <w:sz w:val="18"/>
                <w:szCs w:val="18"/>
                <w:color w:val="auto"/>
              </w:rPr>
            </w:pPr>
          </w:p>
        </w:tc>
      </w:tr>
      <w:tr>
        <w:trPr>
          <w:trHeight w:val="236"/>
        </w:trPr>
        <w:tc>
          <w:tcPr>
            <w:tcW w:w="6500" w:type="dxa"/>
            <w:vAlign w:val="bottom"/>
            <w:tcBorders>
              <w:bottom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Proceeds from sales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53,476</w:t>
            </w:r>
          </w:p>
        </w:tc>
        <w:tc>
          <w:tcPr>
            <w:tcW w:w="1600" w:type="dxa"/>
            <w:vAlign w:val="bottom"/>
            <w:tcBorders>
              <w:bottom w:val="single" w:sz="8" w:color="CCEEFF"/>
            </w:tcBorders>
            <w:shd w:val="clear" w:color="auto" w:fill="CCEEFF"/>
          </w:tcPr>
          <w:p>
            <w:pPr>
              <w:spacing w:after="0"/>
              <w:rPr>
                <w:sz w:val="20"/>
                <w:szCs w:val="20"/>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r>
        <w:trPr>
          <w:trHeight w:val="163"/>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16"/>
        </w:trPr>
        <w:tc>
          <w:tcPr>
            <w:tcW w:w="650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Gross realized gains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0" w:type="dxa"/>
            <w:vAlign w:val="bottom"/>
            <w:shd w:val="clear" w:color="auto" w:fill="CCEEFF"/>
          </w:tcPr>
          <w:p>
            <w:pPr>
              <w:spacing w:after="0"/>
              <w:rPr>
                <w:sz w:val="18"/>
                <w:szCs w:val="18"/>
                <w:color w:val="auto"/>
              </w:rPr>
            </w:pPr>
          </w:p>
        </w:tc>
      </w:tr>
      <w:tr>
        <w:trPr>
          <w:trHeight w:val="213"/>
        </w:trPr>
        <w:tc>
          <w:tcPr>
            <w:tcW w:w="650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Gross realized losses</w:t>
            </w:r>
          </w:p>
        </w:tc>
        <w:tc>
          <w:tcPr>
            <w:tcW w:w="340" w:type="dxa"/>
            <w:vAlign w:val="bottom"/>
          </w:tcPr>
          <w:p>
            <w:pPr>
              <w:spacing w:after="0"/>
              <w:rPr>
                <w:sz w:val="18"/>
                <w:szCs w:val="18"/>
                <w:color w:val="auto"/>
              </w:rPr>
            </w:pPr>
          </w:p>
        </w:tc>
        <w:tc>
          <w:tcPr>
            <w:tcW w:w="11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80" w:type="dxa"/>
            <w:vAlign w:val="bottom"/>
            <w:gridSpan w:val="2"/>
          </w:tcPr>
          <w:p>
            <w:pPr>
              <w:jc w:val="right"/>
              <w:ind w:right="168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500" w:type="dxa"/>
            <w:vAlign w:val="bottom"/>
            <w:tcBorders>
              <w:top w:val="single" w:sz="8" w:color="CCEEFF"/>
              <w:bottom w:val="single" w:sz="8" w:color="CCEEFF"/>
            </w:tcBorders>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rPr>
              <w:t>Securities gains, net</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r>
        <w:trPr>
          <w:trHeight w:val="163"/>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1"/>
        </w:trPr>
        <w:tc>
          <w:tcPr>
            <w:tcW w:w="6500" w:type="dxa"/>
            <w:vAlign w:val="bottom"/>
            <w:tcBorders>
              <w:bottom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Income tax expense attributable to sales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0" w:type="dxa"/>
            <w:vAlign w:val="bottom"/>
            <w:tcBorders>
              <w:bottom w:val="single" w:sz="8" w:color="CCEEFF"/>
            </w:tcBorders>
            <w:shd w:val="clear" w:color="auto" w:fill="CCEEFF"/>
          </w:tcPr>
          <w:p>
            <w:pPr>
              <w:spacing w:after="0"/>
              <w:rPr>
                <w:sz w:val="20"/>
                <w:szCs w:val="20"/>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during the first quarter of 2026, United recognized $1.07 million in net losses on trading securities, of which $792,000 related to trading securities held at March 31, 2026.</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Investments</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table below reflects the carrying value of certain equity investments, which are included in other assets on the consolidated balance sheet, as of the dates indicated.</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480" w:type="dxa"/>
            <w:vAlign w:val="bottom"/>
          </w:tcPr>
          <w:p>
            <w:pPr>
              <w:ind w:left="14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0" w:type="dxa"/>
            <w:vAlign w:val="bottom"/>
          </w:tcPr>
          <w:p>
            <w:pPr>
              <w:spacing w:after="0"/>
              <w:rPr>
                <w:sz w:val="18"/>
                <w:szCs w:val="18"/>
                <w:color w:val="auto"/>
              </w:rPr>
            </w:pPr>
          </w:p>
        </w:tc>
        <w:tc>
          <w:tcPr>
            <w:tcW w:w="30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5480" w:type="dxa"/>
            <w:vAlign w:val="bottom"/>
            <w:tcBorders>
              <w:top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Federal Reserve stock</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89,979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89,979</w:t>
            </w:r>
          </w:p>
        </w:tc>
        <w:tc>
          <w:tcPr>
            <w:tcW w:w="1460" w:type="dxa"/>
            <w:vAlign w:val="bottom"/>
            <w:tcBorders>
              <w:top w:val="single" w:sz="8" w:color="CCEEFF"/>
            </w:tcBorders>
            <w:shd w:val="clear" w:color="auto" w:fill="CCEEFF"/>
          </w:tcPr>
          <w:p>
            <w:pPr>
              <w:spacing w:after="0"/>
              <w:rPr>
                <w:sz w:val="18"/>
                <w:szCs w:val="18"/>
                <w:color w:val="auto"/>
              </w:rPr>
            </w:pPr>
          </w:p>
        </w:tc>
      </w:tr>
      <w:tr>
        <w:trPr>
          <w:trHeight w:val="213"/>
        </w:trPr>
        <w:tc>
          <w:tcPr>
            <w:tcW w:w="548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FHLB stock</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18,049</w:t>
            </w:r>
          </w:p>
        </w:tc>
        <w:tc>
          <w:tcPr>
            <w:tcW w:w="1460" w:type="dxa"/>
            <w:vAlign w:val="bottom"/>
          </w:tcPr>
          <w:p>
            <w:pPr>
              <w:spacing w:after="0"/>
              <w:rPr>
                <w:sz w:val="18"/>
                <w:szCs w:val="18"/>
                <w:color w:val="auto"/>
              </w:rPr>
            </w:pPr>
          </w:p>
        </w:tc>
      </w:tr>
      <w:tr>
        <w:trPr>
          <w:trHeight w:val="219"/>
        </w:trPr>
        <w:tc>
          <w:tcPr>
            <w:tcW w:w="548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6"/>
                <w:szCs w:val="16"/>
                <w:color w:val="auto"/>
              </w:rPr>
              <w:t>Equity securities with readily determinable fair values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1460" w:type="dxa"/>
            <w:vAlign w:val="bottom"/>
            <w:shd w:val="clear" w:color="auto" w:fill="CCEEFF"/>
          </w:tcPr>
          <w:p>
            <w:pPr>
              <w:spacing w:after="0"/>
              <w:rPr>
                <w:sz w:val="19"/>
                <w:szCs w:val="19"/>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Loans and Leases and Allowance for Credit Losses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Major classifications of the loan and lease portfolio (collectively referred to as the “loan portfolio” or “loans”) are summarized as of the dates indicated as follows.</w:t>
      </w:r>
    </w:p>
    <w:p>
      <w:pPr>
        <w:spacing w:after="0" w:line="200" w:lineRule="exact"/>
        <w:rPr>
          <w:sz w:val="20"/>
          <w:szCs w:val="20"/>
          <w:color w:val="auto"/>
        </w:rPr>
      </w:pPr>
    </w:p>
    <w:p>
      <w:pPr>
        <w:spacing w:after="0" w:line="207"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8"/>
                <w:szCs w:val="18"/>
                <w:color w:val="auto"/>
              </w:rPr>
            </w:pPr>
          </w:p>
        </w:tc>
        <w:tc>
          <w:tcPr>
            <w:tcW w:w="2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6220" w:type="dxa"/>
            <w:vAlign w:val="bottom"/>
            <w:tcBorders>
              <w:top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Owner occupied CRE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4,040,518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3,949,898</w:t>
            </w:r>
          </w:p>
        </w:tc>
        <w:tc>
          <w:tcPr>
            <w:tcW w:w="1160" w:type="dxa"/>
            <w:vAlign w:val="bottom"/>
            <w:tcBorders>
              <w:top w:val="single" w:sz="8" w:color="CCEEFF"/>
            </w:tcBorders>
            <w:shd w:val="clear" w:color="auto" w:fill="CCEEFF"/>
          </w:tcPr>
          <w:p>
            <w:pPr>
              <w:spacing w:after="0"/>
              <w:rPr>
                <w:sz w:val="18"/>
                <w:szCs w:val="18"/>
                <w:color w:val="auto"/>
              </w:rPr>
            </w:pPr>
          </w:p>
        </w:tc>
      </w:tr>
      <w:tr>
        <w:trPr>
          <w:trHeight w:val="21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Income producing CRE</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4,983,718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5,032,342</w:t>
            </w:r>
          </w:p>
        </w:tc>
        <w:tc>
          <w:tcPr>
            <w:tcW w:w="1160" w:type="dxa"/>
            <w:vAlign w:val="bottom"/>
          </w:tcPr>
          <w:p>
            <w:pPr>
              <w:spacing w:after="0"/>
              <w:rPr>
                <w:sz w:val="18"/>
                <w:szCs w:val="18"/>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2,770,924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2,696,291</w:t>
            </w:r>
          </w:p>
        </w:tc>
        <w:tc>
          <w:tcPr>
            <w:tcW w:w="1160" w:type="dxa"/>
            <w:vAlign w:val="bottom"/>
            <w:shd w:val="clear" w:color="auto" w:fill="CCEEFF"/>
          </w:tcPr>
          <w:p>
            <w:pPr>
              <w:spacing w:after="0"/>
              <w:rPr>
                <w:sz w:val="19"/>
                <w:szCs w:val="19"/>
                <w:color w:val="auto"/>
              </w:rPr>
            </w:pPr>
          </w:p>
        </w:tc>
      </w:tr>
      <w:tr>
        <w:trPr>
          <w:trHeight w:val="21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Commercial construction &amp; land</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1,072,140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997,802</w:t>
            </w:r>
          </w:p>
        </w:tc>
        <w:tc>
          <w:tcPr>
            <w:tcW w:w="1160" w:type="dxa"/>
            <w:vAlign w:val="bottom"/>
          </w:tcPr>
          <w:p>
            <w:pPr>
              <w:spacing w:after="0"/>
              <w:rPr>
                <w:sz w:val="18"/>
                <w:szCs w:val="18"/>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1,896,828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1,847,999</w:t>
            </w:r>
          </w:p>
        </w:tc>
        <w:tc>
          <w:tcPr>
            <w:tcW w:w="1160" w:type="dxa"/>
            <w:vAlign w:val="bottom"/>
            <w:shd w:val="clear" w:color="auto" w:fill="CCEEFF"/>
          </w:tcPr>
          <w:p>
            <w:pPr>
              <w:spacing w:after="0"/>
              <w:rPr>
                <w:sz w:val="19"/>
                <w:szCs w:val="19"/>
                <w:color w:val="auto"/>
              </w:rPr>
            </w:pPr>
          </w:p>
        </w:tc>
      </w:tr>
      <w:tr>
        <w:trPr>
          <w:trHeight w:val="207"/>
        </w:trPr>
        <w:tc>
          <w:tcPr>
            <w:tcW w:w="62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14,764,128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14,524,332</w:t>
            </w:r>
          </w:p>
        </w:tc>
        <w:tc>
          <w:tcPr>
            <w:tcW w:w="1160" w:type="dxa"/>
            <w:vAlign w:val="bottom"/>
          </w:tcPr>
          <w:p>
            <w:pPr>
              <w:spacing w:after="0"/>
              <w:rPr>
                <w:sz w:val="17"/>
                <w:szCs w:val="17"/>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3,122,361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3,157,017</w:t>
            </w:r>
          </w:p>
        </w:tc>
        <w:tc>
          <w:tcPr>
            <w:tcW w:w="1160" w:type="dxa"/>
            <w:vAlign w:val="bottom"/>
            <w:shd w:val="clear" w:color="auto" w:fill="CCEEFF"/>
          </w:tcPr>
          <w:p>
            <w:pPr>
              <w:spacing w:after="0"/>
              <w:rPr>
                <w:sz w:val="19"/>
                <w:szCs w:val="19"/>
                <w:color w:val="auto"/>
              </w:rPr>
            </w:pPr>
          </w:p>
        </w:tc>
      </w:tr>
      <w:tr>
        <w:trPr>
          <w:trHeight w:val="213"/>
        </w:trPr>
        <w:tc>
          <w:tcPr>
            <w:tcW w:w="62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Home equity</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1,343,785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1,319,474</w:t>
            </w:r>
          </w:p>
        </w:tc>
        <w:tc>
          <w:tcPr>
            <w:tcW w:w="1160" w:type="dxa"/>
            <w:vAlign w:val="bottom"/>
          </w:tcPr>
          <w:p>
            <w:pPr>
              <w:spacing w:after="0"/>
              <w:rPr>
                <w:sz w:val="18"/>
                <w:szCs w:val="18"/>
                <w:color w:val="auto"/>
              </w:rPr>
            </w:pPr>
          </w:p>
        </w:tc>
      </w:tr>
      <w:tr>
        <w:trPr>
          <w:trHeight w:val="219"/>
        </w:trPr>
        <w:tc>
          <w:tcPr>
            <w:tcW w:w="62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Residential construction &amp; land</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190,625</w:t>
            </w:r>
          </w:p>
        </w:tc>
        <w:tc>
          <w:tcPr>
            <w:tcW w:w="1160" w:type="dxa"/>
            <w:vAlign w:val="bottom"/>
            <w:shd w:val="clear" w:color="auto" w:fill="CCEEFF"/>
          </w:tcPr>
          <w:p>
            <w:pPr>
              <w:spacing w:after="0"/>
              <w:rPr>
                <w:sz w:val="19"/>
                <w:szCs w:val="19"/>
                <w:color w:val="auto"/>
              </w:rPr>
            </w:pPr>
          </w:p>
        </w:tc>
      </w:tr>
      <w:tr>
        <w:trPr>
          <w:trHeight w:val="213"/>
        </w:trPr>
        <w:tc>
          <w:tcPr>
            <w:tcW w:w="6220" w:type="dxa"/>
            <w:vAlign w:val="bottom"/>
            <w:tcBorders>
              <w:bottom w:val="single" w:sz="8" w:color="CCEEFF"/>
            </w:tcBorders>
          </w:tcPr>
          <w:p>
            <w:pPr>
              <w:ind w:left="118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186,891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187,536</w:t>
            </w:r>
          </w:p>
        </w:tc>
        <w:tc>
          <w:tcPr>
            <w:tcW w:w="1160" w:type="dxa"/>
            <w:vAlign w:val="bottom"/>
            <w:tcBorders>
              <w:bottom w:val="single" w:sz="8" w:color="CCEEFF"/>
            </w:tcBorders>
          </w:tcPr>
          <w:p>
            <w:pPr>
              <w:spacing w:after="0"/>
              <w:rPr>
                <w:sz w:val="18"/>
                <w:szCs w:val="18"/>
                <w:color w:val="auto"/>
              </w:rPr>
            </w:pPr>
          </w:p>
        </w:tc>
      </w:tr>
      <w:tr>
        <w:trPr>
          <w:trHeight w:val="212"/>
        </w:trPr>
        <w:tc>
          <w:tcPr>
            <w:tcW w:w="622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Total loans, excluding fair value hedge basis adjustment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19,602,518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19,378,984</w:t>
            </w:r>
          </w:p>
        </w:tc>
        <w:tc>
          <w:tcPr>
            <w:tcW w:w="1160" w:type="dxa"/>
            <w:vAlign w:val="bottom"/>
            <w:shd w:val="clear" w:color="auto" w:fill="CCEEFF"/>
          </w:tcPr>
          <w:p>
            <w:pPr>
              <w:spacing w:after="0"/>
              <w:rPr>
                <w:sz w:val="18"/>
                <w:szCs w:val="18"/>
                <w:color w:val="auto"/>
              </w:rPr>
            </w:pPr>
          </w:p>
        </w:tc>
      </w:tr>
      <w:tr>
        <w:trPr>
          <w:trHeight w:val="213"/>
        </w:trPr>
        <w:tc>
          <w:tcPr>
            <w:tcW w:w="6220" w:type="dxa"/>
            <w:vAlign w:val="bottom"/>
            <w:tcBorders>
              <w:bottom w:val="single" w:sz="8" w:color="CCEEFF"/>
            </w:tcBorders>
          </w:tcPr>
          <w:p>
            <w:pPr>
              <w:ind w:left="1180"/>
              <w:spacing w:after="0"/>
              <w:rPr>
                <w:sz w:val="20"/>
                <w:szCs w:val="20"/>
                <w:color w:val="auto"/>
              </w:rPr>
            </w:pPr>
            <w:r>
              <w:rPr>
                <w:rFonts w:ascii="Times New Roman" w:cs="Times New Roman" w:eastAsia="Times New Roman" w:hAnsi="Times New Roman"/>
                <w:sz w:val="16"/>
                <w:szCs w:val="16"/>
                <w:color w:val="auto"/>
              </w:rPr>
              <w:t>Fair value hedge basis adjustment</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5,333</w:t>
            </w:r>
          </w:p>
        </w:tc>
        <w:tc>
          <w:tcPr>
            <w:tcW w:w="1160" w:type="dxa"/>
            <w:vAlign w:val="bottom"/>
            <w:tcBorders>
              <w:bottom w:val="single" w:sz="8" w:color="CCEEFF"/>
            </w:tcBorders>
          </w:tcPr>
          <w:p>
            <w:pPr>
              <w:spacing w:after="0"/>
              <w:rPr>
                <w:sz w:val="18"/>
                <w:szCs w:val="18"/>
                <w:color w:val="auto"/>
              </w:rPr>
            </w:pPr>
          </w:p>
        </w:tc>
      </w:tr>
      <w:tr>
        <w:trPr>
          <w:trHeight w:val="212"/>
        </w:trPr>
        <w:tc>
          <w:tcPr>
            <w:tcW w:w="622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Total loans</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19,601,641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19,384,317</w:t>
            </w:r>
          </w:p>
        </w:tc>
        <w:tc>
          <w:tcPr>
            <w:tcW w:w="1160" w:type="dxa"/>
            <w:vAlign w:val="bottom"/>
            <w:shd w:val="clear" w:color="auto" w:fill="CCEEFF"/>
          </w:tcPr>
          <w:p>
            <w:pPr>
              <w:spacing w:after="0"/>
              <w:rPr>
                <w:sz w:val="18"/>
                <w:szCs w:val="18"/>
                <w:color w:val="auto"/>
              </w:rPr>
            </w:pPr>
          </w:p>
        </w:tc>
      </w:tr>
      <w:tr>
        <w:trPr>
          <w:trHeight w:val="213"/>
        </w:trPr>
        <w:tc>
          <w:tcPr>
            <w:tcW w:w="6220" w:type="dxa"/>
            <w:vAlign w:val="bottom"/>
            <w:tcBorders>
              <w:bottom w:val="single" w:sz="8" w:color="CCEEFF"/>
            </w:tcBorders>
          </w:tcPr>
          <w:p>
            <w:pPr>
              <w:ind w:left="1180"/>
              <w:spacing w:after="0"/>
              <w:rPr>
                <w:sz w:val="20"/>
                <w:szCs w:val="20"/>
                <w:color w:val="auto"/>
              </w:rPr>
            </w:pPr>
            <w:r>
              <w:rPr>
                <w:rFonts w:ascii="Times New Roman" w:cs="Times New Roman" w:eastAsia="Times New Roman" w:hAnsi="Times New Roman"/>
                <w:sz w:val="16"/>
                <w:szCs w:val="16"/>
                <w:color w:val="auto"/>
              </w:rPr>
              <w:t>Less ACL - loans</w:t>
            </w: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(208,396)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(210,429)</w:t>
            </w:r>
          </w:p>
        </w:tc>
        <w:tc>
          <w:tcPr>
            <w:tcW w:w="1160" w:type="dxa"/>
            <w:vAlign w:val="bottom"/>
            <w:tcBorders>
              <w:bottom w:val="single" w:sz="8" w:color="CCEEFF"/>
            </w:tcBorders>
          </w:tcPr>
          <w:p>
            <w:pPr>
              <w:spacing w:after="0"/>
              <w:rPr>
                <w:sz w:val="18"/>
                <w:szCs w:val="18"/>
                <w:color w:val="auto"/>
              </w:rPr>
            </w:pPr>
          </w:p>
        </w:tc>
      </w:tr>
      <w:tr>
        <w:trPr>
          <w:trHeight w:val="237"/>
        </w:trPr>
        <w:tc>
          <w:tcPr>
            <w:tcW w:w="6220" w:type="dxa"/>
            <w:vAlign w:val="bottom"/>
            <w:tcBorders>
              <w:bottom w:val="single" w:sz="8" w:color="CCEEFF"/>
            </w:tcBorders>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Loans, net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19,393,245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19,173,888</w:t>
            </w:r>
          </w:p>
        </w:tc>
        <w:tc>
          <w:tcPr>
            <w:tcW w:w="1160" w:type="dxa"/>
            <w:vAlign w:val="bottom"/>
            <w:tcBorders>
              <w:bottom w:val="single" w:sz="8" w:color="CCEEFF"/>
            </w:tcBorders>
            <w:shd w:val="clear" w:color="auto" w:fill="CCEEFF"/>
          </w:tcPr>
          <w:p>
            <w:pPr>
              <w:spacing w:after="0"/>
              <w:rPr>
                <w:sz w:val="20"/>
                <w:szCs w:val="20"/>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4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Accrued interest receivable related to loans totaled $58.4 million and $60.4 million at March 31, 2026 and December 31, 2025, respectively, and was reported in other assets on the consolidated balance sheets. Accrued interest receivable was excluded from the estimate of credit losses.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March 31, 2026 and December 31, 2025, the loan portfolio included certain loans specifically pledged to the Federal Reserve as well as loans covered by a blanket lien on qualifying loan types with the FHLB to secure contingent funding sources.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amortized cost of certain loans held for investment that were sold in the periods indicated. The net gains or losses on these loan sales were included in noninterest income on the consolidated statements of income.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7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4"/>
        </w:trPr>
        <w:tc>
          <w:tcPr>
            <w:tcW w:w="6120" w:type="dxa"/>
            <w:vAlign w:val="bottom"/>
            <w:tcBorders>
              <w:bottom w:val="single" w:sz="8" w:color="CCEEFF"/>
            </w:tcBorders>
          </w:tcPr>
          <w:p>
            <w:pPr>
              <w:ind w:left="15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560" w:type="dxa"/>
            <w:vAlign w:val="bottom"/>
            <w:tcBorders>
              <w:bottom w:val="single" w:sz="8" w:color="CCEEFF"/>
            </w:tcBorders>
          </w:tcPr>
          <w:p>
            <w:pPr>
              <w:spacing w:after="0"/>
              <w:rPr>
                <w:sz w:val="18"/>
                <w:szCs w:val="18"/>
                <w:color w:val="auto"/>
              </w:rPr>
            </w:pPr>
          </w:p>
        </w:tc>
      </w:tr>
      <w:tr>
        <w:trPr>
          <w:trHeight w:val="211"/>
        </w:trPr>
        <w:tc>
          <w:tcPr>
            <w:tcW w:w="612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Guaranteed portion of SBA/USDA loans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21,949</w:t>
            </w:r>
          </w:p>
        </w:tc>
        <w:tc>
          <w:tcPr>
            <w:tcW w:w="1560" w:type="dxa"/>
            <w:vAlign w:val="bottom"/>
            <w:shd w:val="clear" w:color="auto" w:fill="CCEEFF"/>
          </w:tcPr>
          <w:p>
            <w:pPr>
              <w:spacing w:after="0"/>
              <w:rPr>
                <w:sz w:val="18"/>
                <w:szCs w:val="18"/>
                <w:color w:val="auto"/>
              </w:rPr>
            </w:pPr>
          </w:p>
        </w:tc>
      </w:tr>
      <w:tr>
        <w:trPr>
          <w:trHeight w:val="213"/>
        </w:trPr>
        <w:tc>
          <w:tcPr>
            <w:tcW w:w="6120" w:type="dxa"/>
            <w:vAlign w:val="bottom"/>
            <w:tcBorders>
              <w:bottom w:val="single" w:sz="8" w:color="CCEEFF"/>
            </w:tcBorders>
          </w:tcPr>
          <w:p>
            <w:pPr>
              <w:ind w:left="1560"/>
              <w:spacing w:after="0"/>
              <w:rPr>
                <w:sz w:val="20"/>
                <w:szCs w:val="20"/>
                <w:color w:val="auto"/>
              </w:rPr>
            </w:pPr>
            <w:r>
              <w:rPr>
                <w:rFonts w:ascii="Times New Roman" w:cs="Times New Roman" w:eastAsia="Times New Roman" w:hAnsi="Times New Roman"/>
                <w:sz w:val="16"/>
                <w:szCs w:val="16"/>
                <w:color w:val="auto"/>
              </w:rPr>
              <w:t>Equipment financing receivables</w:t>
            </w: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8,323</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4,162</w:t>
            </w:r>
          </w:p>
        </w:tc>
        <w:tc>
          <w:tcPr>
            <w:tcW w:w="1560" w:type="dxa"/>
            <w:vAlign w:val="bottom"/>
            <w:tcBorders>
              <w:bottom w:val="single" w:sz="8" w:color="CCEEFF"/>
            </w:tcBorders>
          </w:tcPr>
          <w:p>
            <w:pPr>
              <w:spacing w:after="0"/>
              <w:rPr>
                <w:sz w:val="18"/>
                <w:szCs w:val="18"/>
                <w:color w:val="auto"/>
              </w:rPr>
            </w:pPr>
          </w:p>
        </w:tc>
      </w:tr>
      <w:tr>
        <w:trPr>
          <w:trHeight w:val="237"/>
        </w:trPr>
        <w:tc>
          <w:tcPr>
            <w:tcW w:w="6120" w:type="dxa"/>
            <w:vAlign w:val="bottom"/>
            <w:tcBorders>
              <w:bottom w:val="single" w:sz="8" w:color="CCEEFF"/>
            </w:tcBorders>
            <w:shd w:val="clear" w:color="auto" w:fill="CCEEFF"/>
          </w:tcPr>
          <w:p>
            <w:pPr>
              <w:ind w:left="166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34,623</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26,111</w:t>
            </w:r>
          </w:p>
        </w:tc>
        <w:tc>
          <w:tcPr>
            <w:tcW w:w="1560" w:type="dxa"/>
            <w:vAlign w:val="bottom"/>
            <w:tcBorders>
              <w:bottom w:val="single" w:sz="8" w:color="CCEEFF"/>
            </w:tcBorders>
            <w:shd w:val="clear" w:color="auto" w:fill="CCEEFF"/>
          </w:tcPr>
          <w:p>
            <w:pPr>
              <w:spacing w:after="0"/>
              <w:rPr>
                <w:sz w:val="20"/>
                <w:szCs w:val="20"/>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Past Due and Nonaccrual Loans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aging of the amortized cost basis in loans by aging category and accrual status as of the dates indicated. Past due status is based on contractual terms of the loan. The accrual of interest is generally discontinued when a loan becomes 90 days past due.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Loans Past Due</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Current Loans</w:t>
            </w: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30 - 59 Days</w:t>
            </w:r>
          </w:p>
        </w:tc>
        <w:tc>
          <w:tcPr>
            <w:tcW w:w="1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60 - 89 Days</w:t>
            </w:r>
          </w:p>
        </w:tc>
        <w:tc>
          <w:tcPr>
            <w:tcW w:w="120" w:type="dxa"/>
            <w:vAlign w:val="bottom"/>
          </w:tcPr>
          <w:p>
            <w:pPr>
              <w:spacing w:after="0"/>
              <w:rPr>
                <w:sz w:val="16"/>
                <w:szCs w:val="16"/>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&gt; 90 Days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140" w:type="dxa"/>
            <w:vAlign w:val="bottom"/>
          </w:tcPr>
          <w:p>
            <w:pPr>
              <w:spacing w:after="0"/>
              <w:rPr>
                <w:sz w:val="16"/>
                <w:szCs w:val="16"/>
                <w:color w:val="auto"/>
              </w:rPr>
            </w:pPr>
          </w:p>
        </w:tc>
        <w:tc>
          <w:tcPr>
            <w:tcW w:w="102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Total Loans</w:t>
            </w:r>
          </w:p>
        </w:tc>
        <w:tc>
          <w:tcPr>
            <w:tcW w:w="0" w:type="dxa"/>
            <w:vAlign w:val="bottom"/>
          </w:tcPr>
          <w:p>
            <w:pPr>
              <w:spacing w:after="0"/>
              <w:rPr>
                <w:sz w:val="1"/>
                <w:szCs w:val="1"/>
                <w:color w:val="auto"/>
              </w:rPr>
            </w:pPr>
          </w:p>
        </w:tc>
      </w:tr>
      <w:tr>
        <w:trPr>
          <w:trHeight w:val="212"/>
        </w:trPr>
        <w:tc>
          <w:tcPr>
            <w:tcW w:w="4260" w:type="dxa"/>
            <w:vAlign w:val="bottom"/>
            <w:gridSpan w:val="2"/>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4,021,346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4,040,518</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4,971,077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4,983,718</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2,747,868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2,770,924</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construction &amp; land</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1,071,212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1,072,140</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1,880,042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1,896,828</w:t>
            </w:r>
          </w:p>
        </w:tc>
        <w:tc>
          <w:tcPr>
            <w:tcW w:w="0" w:type="dxa"/>
            <w:vAlign w:val="bottom"/>
          </w:tcPr>
          <w:p>
            <w:pPr>
              <w:spacing w:after="0"/>
              <w:rPr>
                <w:sz w:val="1"/>
                <w:szCs w:val="1"/>
                <w:color w:val="auto"/>
              </w:rPr>
            </w:pPr>
          </w:p>
        </w:tc>
      </w:tr>
      <w:tr>
        <w:trPr>
          <w:trHeight w:val="207"/>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14,691,545</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10,889</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57,233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14,764,128</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3,082,510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3,122,361</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1,334,354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1,343,785</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 &amp; land</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185,353</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186,891</w:t>
            </w:r>
          </w:p>
        </w:tc>
        <w:tc>
          <w:tcPr>
            <w:tcW w:w="0" w:type="dxa"/>
            <w:vAlign w:val="bottom"/>
          </w:tcPr>
          <w:p>
            <w:pPr>
              <w:spacing w:after="0"/>
              <w:rPr>
                <w:sz w:val="1"/>
                <w:szCs w:val="1"/>
                <w:color w:val="auto"/>
              </w:rPr>
            </w:pPr>
          </w:p>
        </w:tc>
      </w:tr>
      <w:tr>
        <w:trPr>
          <w:trHeight w:val="237"/>
        </w:trPr>
        <w:tc>
          <w:tcPr>
            <w:tcW w:w="42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loans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19,478,784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19,602,518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3,932,261</w:t>
            </w:r>
          </w:p>
        </w:tc>
        <w:tc>
          <w:tcPr>
            <w:tcW w:w="10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4,917</w:t>
            </w:r>
          </w:p>
        </w:tc>
        <w:tc>
          <w:tcPr>
            <w:tcW w:w="10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3,949,898</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5,019,437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5,032,342</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2,664,068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2,696,291</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construction &amp; land</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997,772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997,802</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1,826,790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1,847,999</w:t>
            </w:r>
          </w:p>
        </w:tc>
        <w:tc>
          <w:tcPr>
            <w:tcW w:w="0" w:type="dxa"/>
            <w:vAlign w:val="bottom"/>
          </w:tcPr>
          <w:p>
            <w:pPr>
              <w:spacing w:after="0"/>
              <w:rPr>
                <w:sz w:val="1"/>
                <w:szCs w:val="1"/>
                <w:color w:val="auto"/>
              </w:rPr>
            </w:pPr>
          </w:p>
        </w:tc>
      </w:tr>
      <w:tr>
        <w:trPr>
          <w:trHeight w:val="212"/>
        </w:trPr>
        <w:tc>
          <w:tcPr>
            <w:tcW w:w="426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commercial</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14,440,328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18,847</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51,348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14,524,332</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3,118,540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3,157,017</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1,310,017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1,319,474</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Residential construction &amp; land</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190,625</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187,536</w:t>
            </w:r>
          </w:p>
        </w:tc>
        <w:tc>
          <w:tcPr>
            <w:tcW w:w="0" w:type="dxa"/>
            <w:vAlign w:val="bottom"/>
          </w:tcPr>
          <w:p>
            <w:pPr>
              <w:spacing w:after="0"/>
              <w:rPr>
                <w:sz w:val="1"/>
                <w:szCs w:val="1"/>
                <w:color w:val="auto"/>
              </w:rPr>
            </w:pPr>
          </w:p>
        </w:tc>
      </w:tr>
      <w:tr>
        <w:trPr>
          <w:trHeight w:val="209"/>
        </w:trPr>
        <w:tc>
          <w:tcPr>
            <w:tcW w:w="42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loans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19,244,205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27,797</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91,098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19,378,984</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nonaccrual loans held for investment by loan class for the periods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Nonaccrual Loans</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With no</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With an</w:t>
            </w:r>
          </w:p>
        </w:tc>
        <w:tc>
          <w:tcPr>
            <w:tcW w:w="240" w:type="dxa"/>
            <w:vAlign w:val="bottom"/>
          </w:tcPr>
          <w:p>
            <w:pPr>
              <w:spacing w:after="0"/>
              <w:rPr>
                <w:sz w:val="13"/>
                <w:szCs w:val="13"/>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13"/>
                <w:szCs w:val="13"/>
                <w:color w:val="auto"/>
              </w:rPr>
            </w:pPr>
          </w:p>
        </w:tc>
        <w:tc>
          <w:tcPr>
            <w:tcW w:w="960" w:type="dxa"/>
            <w:vAlign w:val="bottom"/>
          </w:tcPr>
          <w:p>
            <w:pPr>
              <w:jc w:val="right"/>
              <w:ind w:right="199"/>
              <w:spacing w:after="0" w:line="158" w:lineRule="exact"/>
              <w:rPr>
                <w:sz w:val="20"/>
                <w:szCs w:val="20"/>
                <w:color w:val="auto"/>
              </w:rPr>
            </w:pPr>
            <w:r>
              <w:rPr>
                <w:rFonts w:ascii="Times New Roman" w:cs="Times New Roman" w:eastAsia="Times New Roman" w:hAnsi="Times New Roman"/>
                <w:sz w:val="16"/>
                <w:szCs w:val="16"/>
                <w:b w:val="1"/>
                <w:bCs w:val="1"/>
                <w:color w:val="auto"/>
              </w:rPr>
              <w:t>With no</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With an</w:t>
            </w:r>
          </w:p>
        </w:tc>
        <w:tc>
          <w:tcPr>
            <w:tcW w:w="260" w:type="dxa"/>
            <w:vAlign w:val="bottom"/>
          </w:tcPr>
          <w:p>
            <w:pPr>
              <w:spacing w:after="0"/>
              <w:rPr>
                <w:sz w:val="13"/>
                <w:szCs w:val="13"/>
                <w:color w:val="auto"/>
              </w:rPr>
            </w:pPr>
          </w:p>
        </w:tc>
        <w:tc>
          <w:tcPr>
            <w:tcW w:w="88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9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Owner occupied CRE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6,535</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11,165</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producing CRE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11,488</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18,294</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construction &amp; land</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financing</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10,383</w:t>
            </w:r>
          </w:p>
        </w:tc>
        <w:tc>
          <w:tcPr>
            <w:tcW w:w="0" w:type="dxa"/>
            <w:vAlign w:val="bottom"/>
          </w:tcPr>
          <w:p>
            <w:pPr>
              <w:spacing w:after="0"/>
              <w:rPr>
                <w:sz w:val="1"/>
                <w:szCs w:val="1"/>
                <w:color w:val="auto"/>
              </w:rPr>
            </w:pPr>
          </w:p>
        </w:tc>
      </w:tr>
      <w:tr>
        <w:trPr>
          <w:trHeight w:val="21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commercial</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51,348</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32,423</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5,247</w:t>
            </w:r>
          </w:p>
        </w:tc>
        <w:tc>
          <w:tcPr>
            <w:tcW w:w="0" w:type="dxa"/>
            <w:vAlign w:val="bottom"/>
          </w:tcPr>
          <w:p>
            <w:pPr>
              <w:spacing w:after="0"/>
              <w:rPr>
                <w:sz w:val="1"/>
                <w:szCs w:val="1"/>
                <w:color w:val="auto"/>
              </w:rPr>
            </w:pPr>
          </w:p>
        </w:tc>
      </w:tr>
      <w:tr>
        <w:trPr>
          <w:trHeight w:val="23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construction &amp; land</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0" w:type="dxa"/>
            <w:vAlign w:val="bottom"/>
          </w:tcPr>
          <w:p>
            <w:pPr>
              <w:spacing w:after="0"/>
              <w:rPr>
                <w:sz w:val="1"/>
                <w:szCs w:val="1"/>
                <w:color w:val="auto"/>
              </w:rPr>
            </w:pPr>
          </w:p>
        </w:tc>
      </w:tr>
      <w:tr>
        <w:trPr>
          <w:trHeight w:val="234"/>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39,352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29,778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91,098</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United had $49.3 million and $41.5 million, respectively, in loans for which repayment is expected to be provided substantially through the operation or sale of the collateral. Estimated credit losses for these loans are based on the net realizable value of the collateral relative to the amortized cost of the loan. The majority of these loans are CRE and commercial and industrial loans.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Lease Receivables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equipment financing portfolio includes sales-type and direct financing lease receivables. The following table presents the components of the net investment in these lease receivables as of the dates indicated.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60" w:type="dxa"/>
            <w:vAlign w:val="bottom"/>
          </w:tcPr>
          <w:p>
            <w:pPr>
              <w:ind w:left="16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Pr>
          <w:p>
            <w:pPr>
              <w:spacing w:after="0"/>
              <w:rPr>
                <w:sz w:val="18"/>
                <w:szCs w:val="18"/>
                <w:color w:val="auto"/>
              </w:rPr>
            </w:pPr>
          </w:p>
        </w:tc>
        <w:tc>
          <w:tcPr>
            <w:tcW w:w="3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5760" w:type="dxa"/>
            <w:vAlign w:val="bottom"/>
            <w:tcBorders>
              <w:top w:val="single" w:sz="8" w:color="CCEEFF"/>
            </w:tcBorders>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Minimum future lease payments receivable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124,962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117,209</w:t>
            </w:r>
          </w:p>
        </w:tc>
        <w:tc>
          <w:tcPr>
            <w:tcW w:w="1620" w:type="dxa"/>
            <w:vAlign w:val="bottom"/>
            <w:tcBorders>
              <w:top w:val="single" w:sz="8" w:color="CCEEFF"/>
            </w:tcBorders>
            <w:shd w:val="clear" w:color="auto" w:fill="CCEEFF"/>
          </w:tcPr>
          <w:p>
            <w:pPr>
              <w:spacing w:after="0"/>
              <w:rPr>
                <w:sz w:val="18"/>
                <w:szCs w:val="18"/>
                <w:color w:val="auto"/>
              </w:rPr>
            </w:pPr>
          </w:p>
        </w:tc>
      </w:tr>
      <w:tr>
        <w:trPr>
          <w:trHeight w:val="213"/>
        </w:trPr>
        <w:tc>
          <w:tcPr>
            <w:tcW w:w="57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Estimated residual value of leased equipment</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7,659</w:t>
            </w:r>
          </w:p>
        </w:tc>
        <w:tc>
          <w:tcPr>
            <w:tcW w:w="1620" w:type="dxa"/>
            <w:vAlign w:val="bottom"/>
          </w:tcPr>
          <w:p>
            <w:pPr>
              <w:spacing w:after="0"/>
              <w:rPr>
                <w:sz w:val="18"/>
                <w:szCs w:val="18"/>
                <w:color w:val="auto"/>
              </w:rPr>
            </w:pPr>
          </w:p>
        </w:tc>
      </w:tr>
      <w:tr>
        <w:trPr>
          <w:trHeight w:val="219"/>
        </w:trPr>
        <w:tc>
          <w:tcPr>
            <w:tcW w:w="57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Initial direct costs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w:t>
            </w:r>
          </w:p>
        </w:tc>
        <w:tc>
          <w:tcPr>
            <w:tcW w:w="1620" w:type="dxa"/>
            <w:vAlign w:val="bottom"/>
            <w:shd w:val="clear" w:color="auto" w:fill="CCEEFF"/>
          </w:tcPr>
          <w:p>
            <w:pPr>
              <w:spacing w:after="0"/>
              <w:rPr>
                <w:sz w:val="19"/>
                <w:szCs w:val="19"/>
                <w:color w:val="auto"/>
              </w:rPr>
            </w:pPr>
          </w:p>
        </w:tc>
      </w:tr>
      <w:tr>
        <w:trPr>
          <w:trHeight w:val="213"/>
        </w:trPr>
        <w:tc>
          <w:tcPr>
            <w:tcW w:w="5760" w:type="dxa"/>
            <w:vAlign w:val="bottom"/>
          </w:tcPr>
          <w:p>
            <w:pPr>
              <w:ind w:left="1620"/>
              <w:spacing w:after="0"/>
              <w:rPr>
                <w:sz w:val="20"/>
                <w:szCs w:val="20"/>
                <w:color w:val="auto"/>
              </w:rPr>
            </w:pPr>
            <w:r>
              <w:rPr>
                <w:rFonts w:ascii="Times New Roman" w:cs="Times New Roman" w:eastAsia="Times New Roman" w:hAnsi="Times New Roman"/>
                <w:sz w:val="16"/>
                <w:szCs w:val="16"/>
                <w:color w:val="auto"/>
              </w:rPr>
              <w:t>Security deposits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620" w:type="dxa"/>
            <w:vAlign w:val="bottom"/>
          </w:tcPr>
          <w:p>
            <w:pPr>
              <w:spacing w:after="0"/>
              <w:rPr>
                <w:sz w:val="18"/>
                <w:szCs w:val="18"/>
                <w:color w:val="auto"/>
              </w:rPr>
            </w:pPr>
          </w:p>
        </w:tc>
      </w:tr>
      <w:tr>
        <w:trPr>
          <w:trHeight w:val="216"/>
        </w:trPr>
        <w:tc>
          <w:tcPr>
            <w:tcW w:w="57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6"/>
                <w:szCs w:val="16"/>
                <w:color w:val="auto"/>
              </w:rPr>
              <w:t>Unearned income</w:t>
            </w:r>
          </w:p>
        </w:tc>
        <w:tc>
          <w:tcPr>
            <w:tcW w:w="2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(18,411)</w:t>
            </w:r>
          </w:p>
        </w:tc>
        <w:tc>
          <w:tcPr>
            <w:tcW w:w="1620" w:type="dxa"/>
            <w:vAlign w:val="bottom"/>
            <w:shd w:val="clear" w:color="auto" w:fill="CCEEFF"/>
          </w:tcPr>
          <w:p>
            <w:pPr>
              <w:spacing w:after="0"/>
              <w:rPr>
                <w:sz w:val="18"/>
                <w:szCs w:val="18"/>
                <w:color w:val="auto"/>
              </w:rPr>
            </w:pPr>
          </w:p>
        </w:tc>
      </w:tr>
      <w:tr>
        <w:trPr>
          <w:trHeight w:val="212"/>
        </w:trPr>
        <w:tc>
          <w:tcPr>
            <w:tcW w:w="5760" w:type="dxa"/>
            <w:vAlign w:val="bottom"/>
          </w:tcPr>
          <w:p>
            <w:pPr>
              <w:ind w:left="1820"/>
              <w:spacing w:after="0"/>
              <w:rPr>
                <w:sz w:val="20"/>
                <w:szCs w:val="20"/>
                <w:color w:val="auto"/>
              </w:rPr>
            </w:pPr>
            <w:r>
              <w:rPr>
                <w:rFonts w:ascii="Times New Roman" w:cs="Times New Roman" w:eastAsia="Times New Roman" w:hAnsi="Times New Roman"/>
                <w:sz w:val="16"/>
                <w:szCs w:val="16"/>
                <w:color w:val="auto"/>
              </w:rPr>
              <w:t>Net investment in leases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115,357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108,371</w:t>
            </w:r>
          </w:p>
        </w:tc>
        <w:tc>
          <w:tcPr>
            <w:tcW w:w="162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future lease payments expected to be received from equipment financing lease contracts as of March 31, 2026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80" w:type="dxa"/>
            <w:vAlign w:val="bottom"/>
          </w:tcPr>
          <w:p>
            <w:pPr>
              <w:spacing w:after="0"/>
              <w:rPr>
                <w:sz w:val="18"/>
                <w:szCs w:val="18"/>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9"/>
        </w:trPr>
        <w:tc>
          <w:tcPr>
            <w:tcW w:w="2680" w:type="dxa"/>
            <w:vAlign w:val="bottom"/>
            <w:tcBorders>
              <w:bottom w:val="single" w:sz="8" w:color="CCEEFF"/>
            </w:tcBorders>
          </w:tcPr>
          <w:p>
            <w:pPr>
              <w:spacing w:after="0"/>
              <w:rPr>
                <w:sz w:val="19"/>
                <w:szCs w:val="19"/>
                <w:color w:val="auto"/>
              </w:rPr>
            </w:pPr>
          </w:p>
        </w:tc>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5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tcPr>
          <w:p>
            <w:pPr>
              <w:spacing w:after="0"/>
              <w:rPr>
                <w:sz w:val="19"/>
                <w:szCs w:val="19"/>
                <w:color w:val="auto"/>
              </w:rPr>
            </w:pPr>
          </w:p>
        </w:tc>
      </w:tr>
      <w:tr>
        <w:trPr>
          <w:trHeight w:val="212"/>
        </w:trPr>
        <w:tc>
          <w:tcPr>
            <w:tcW w:w="2680" w:type="dxa"/>
            <w:vAlign w:val="bottom"/>
            <w:shd w:val="clear" w:color="auto" w:fill="CCEEFF"/>
          </w:tcPr>
          <w:p>
            <w:pPr>
              <w:spacing w:after="0"/>
              <w:rPr>
                <w:sz w:val="18"/>
                <w:szCs w:val="18"/>
                <w:color w:val="auto"/>
              </w:rPr>
            </w:pPr>
          </w:p>
        </w:tc>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2026</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33,664</w:t>
            </w:r>
          </w:p>
        </w:tc>
        <w:tc>
          <w:tcPr>
            <w:tcW w:w="2680" w:type="dxa"/>
            <w:vAlign w:val="bottom"/>
            <w:shd w:val="clear" w:color="auto" w:fill="CCEEFF"/>
          </w:tcPr>
          <w:p>
            <w:pPr>
              <w:spacing w:after="0"/>
              <w:rPr>
                <w:sz w:val="18"/>
                <w:szCs w:val="18"/>
                <w:color w:val="auto"/>
              </w:rPr>
            </w:pPr>
          </w:p>
        </w:tc>
      </w:tr>
      <w:tr>
        <w:trPr>
          <w:trHeight w:val="213"/>
        </w:trPr>
        <w:tc>
          <w:tcPr>
            <w:tcW w:w="6980" w:type="dxa"/>
            <w:vAlign w:val="bottom"/>
            <w:gridSpan w:val="2"/>
          </w:tcPr>
          <w:p>
            <w:pPr>
              <w:ind w:left="2700"/>
              <w:spacing w:after="0"/>
              <w:rPr>
                <w:sz w:val="20"/>
                <w:szCs w:val="20"/>
                <w:color w:val="auto"/>
              </w:rPr>
            </w:pPr>
            <w:r>
              <w:rPr>
                <w:rFonts w:ascii="Times New Roman" w:cs="Times New Roman" w:eastAsia="Times New Roman" w:hAnsi="Times New Roman"/>
                <w:sz w:val="16"/>
                <w:szCs w:val="16"/>
                <w:color w:val="auto"/>
              </w:rPr>
              <w:t>2027</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38,455</w:t>
            </w:r>
          </w:p>
        </w:tc>
        <w:tc>
          <w:tcPr>
            <w:tcW w:w="2680" w:type="dxa"/>
            <w:vAlign w:val="bottom"/>
          </w:tcPr>
          <w:p>
            <w:pPr>
              <w:spacing w:after="0"/>
              <w:rPr>
                <w:sz w:val="18"/>
                <w:szCs w:val="18"/>
                <w:color w:val="auto"/>
              </w:rPr>
            </w:pPr>
          </w:p>
        </w:tc>
      </w:tr>
      <w:tr>
        <w:trPr>
          <w:trHeight w:val="219"/>
        </w:trPr>
        <w:tc>
          <w:tcPr>
            <w:tcW w:w="6980" w:type="dxa"/>
            <w:vAlign w:val="bottom"/>
            <w:gridSpan w:val="2"/>
            <w:shd w:val="clear" w:color="auto" w:fill="CCEEFF"/>
          </w:tcPr>
          <w:p>
            <w:pPr>
              <w:ind w:left="2700"/>
              <w:spacing w:after="0"/>
              <w:rPr>
                <w:sz w:val="20"/>
                <w:szCs w:val="20"/>
                <w:color w:val="auto"/>
              </w:rPr>
            </w:pPr>
            <w:r>
              <w:rPr>
                <w:rFonts w:ascii="Times New Roman" w:cs="Times New Roman" w:eastAsia="Times New Roman" w:hAnsi="Times New Roman"/>
                <w:sz w:val="16"/>
                <w:szCs w:val="16"/>
                <w:color w:val="auto"/>
              </w:rPr>
              <w:t>2028</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28,126</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gridSpan w:val="2"/>
          </w:tcPr>
          <w:p>
            <w:pPr>
              <w:ind w:left="2700"/>
              <w:spacing w:after="0"/>
              <w:rPr>
                <w:sz w:val="20"/>
                <w:szCs w:val="20"/>
                <w:color w:val="auto"/>
              </w:rPr>
            </w:pPr>
            <w:r>
              <w:rPr>
                <w:rFonts w:ascii="Times New Roman" w:cs="Times New Roman" w:eastAsia="Times New Roman" w:hAnsi="Times New Roman"/>
                <w:sz w:val="16"/>
                <w:szCs w:val="16"/>
                <w:color w:val="auto"/>
              </w:rPr>
              <w:t>2029</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17,091</w:t>
            </w:r>
          </w:p>
        </w:tc>
        <w:tc>
          <w:tcPr>
            <w:tcW w:w="2680" w:type="dxa"/>
            <w:vAlign w:val="bottom"/>
          </w:tcPr>
          <w:p>
            <w:pPr>
              <w:spacing w:after="0"/>
              <w:rPr>
                <w:sz w:val="18"/>
                <w:szCs w:val="18"/>
                <w:color w:val="auto"/>
              </w:rPr>
            </w:pPr>
          </w:p>
        </w:tc>
      </w:tr>
      <w:tr>
        <w:trPr>
          <w:trHeight w:val="219"/>
        </w:trPr>
        <w:tc>
          <w:tcPr>
            <w:tcW w:w="6980" w:type="dxa"/>
            <w:vAlign w:val="bottom"/>
            <w:gridSpan w:val="2"/>
            <w:shd w:val="clear" w:color="auto" w:fill="CCEEFF"/>
          </w:tcPr>
          <w:p>
            <w:pPr>
              <w:ind w:left="2700"/>
              <w:spacing w:after="0"/>
              <w:rPr>
                <w:sz w:val="20"/>
                <w:szCs w:val="20"/>
                <w:color w:val="auto"/>
              </w:rPr>
            </w:pPr>
            <w:r>
              <w:rPr>
                <w:rFonts w:ascii="Times New Roman" w:cs="Times New Roman" w:eastAsia="Times New Roman" w:hAnsi="Times New Roman"/>
                <w:sz w:val="16"/>
                <w:szCs w:val="16"/>
                <w:color w:val="auto"/>
              </w:rPr>
              <w:t>2030</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6,871</w:t>
            </w:r>
          </w:p>
        </w:tc>
        <w:tc>
          <w:tcPr>
            <w:tcW w:w="2680" w:type="dxa"/>
            <w:vAlign w:val="bottom"/>
            <w:shd w:val="clear" w:color="auto" w:fill="CCEEFF"/>
          </w:tcPr>
          <w:p>
            <w:pPr>
              <w:spacing w:after="0"/>
              <w:rPr>
                <w:sz w:val="19"/>
                <w:szCs w:val="19"/>
                <w:color w:val="auto"/>
              </w:rPr>
            </w:pPr>
          </w:p>
        </w:tc>
      </w:tr>
      <w:tr>
        <w:trPr>
          <w:trHeight w:val="213"/>
        </w:trPr>
        <w:tc>
          <w:tcPr>
            <w:tcW w:w="2680" w:type="dxa"/>
            <w:vAlign w:val="bottom"/>
            <w:tcBorders>
              <w:bottom w:val="single" w:sz="8" w:color="CCEEFF"/>
            </w:tcBorders>
          </w:tcPr>
          <w:p>
            <w:pPr>
              <w:spacing w:after="0"/>
              <w:rPr>
                <w:sz w:val="18"/>
                <w:szCs w:val="18"/>
                <w:color w:val="auto"/>
              </w:rPr>
            </w:pPr>
          </w:p>
        </w:tc>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2680" w:type="dxa"/>
            <w:vAlign w:val="bottom"/>
            <w:tcBorders>
              <w:bottom w:val="single" w:sz="8" w:color="CCEEFF"/>
            </w:tcBorders>
          </w:tcPr>
          <w:p>
            <w:pPr>
              <w:spacing w:after="0"/>
              <w:rPr>
                <w:sz w:val="18"/>
                <w:szCs w:val="18"/>
                <w:color w:val="auto"/>
              </w:rPr>
            </w:pPr>
          </w:p>
        </w:tc>
      </w:tr>
      <w:tr>
        <w:trPr>
          <w:trHeight w:val="237"/>
        </w:trPr>
        <w:tc>
          <w:tcPr>
            <w:tcW w:w="268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124,962</w:t>
            </w:r>
          </w:p>
        </w:tc>
        <w:tc>
          <w:tcPr>
            <w:tcW w:w="2680" w:type="dxa"/>
            <w:vAlign w:val="bottom"/>
            <w:tcBorders>
              <w:bottom w:val="single" w:sz="8" w:color="CCEEFF"/>
            </w:tcBorders>
            <w:shd w:val="clear" w:color="auto" w:fill="CCEEFF"/>
          </w:tcPr>
          <w:p>
            <w:pPr>
              <w:spacing w:after="0"/>
              <w:rPr>
                <w:sz w:val="20"/>
                <w:szCs w:val="20"/>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 Quality Indicators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utilizes internal risk ratings as the primary credit quality indicator as outlined below:</w:t>
      </w:r>
    </w:p>
    <w:p>
      <w:pPr>
        <w:spacing w:after="0" w:line="1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Commercial Purpose Loans. </w:t>
      </w:r>
      <w:r>
        <w:rPr>
          <w:rFonts w:ascii="Times New Roman" w:cs="Times New Roman" w:eastAsia="Times New Roman" w:hAnsi="Times New Roman"/>
          <w:sz w:val="18"/>
          <w:szCs w:val="18"/>
          <w:color w:val="auto"/>
        </w:rPr>
        <w:t>United analyzes commercial loans individually on an ongoing basis based on relevant information about the ability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borrowers to service their debt such as current financial information, historical payment experience, public information, and current industry and economic trends, among other factors. Commercial loans are categorized by the credit risk ratings of Pass, Special Mention, Substandard and Doubtful. Special Mention, Substandard and Doubtful ratings are defined by regulatory authorities and represent an elevated level of risk due to weaknesses identified related to the credit and/or borrower. Ratings within these categories are based on the severity of the weakness and the likelihood of repayment. Pass loans are considered to have a low probability of default and do not meet the criteria of the other ratings.</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Consumer Purpose Loans. </w:t>
      </w:r>
      <w:r>
        <w:rPr>
          <w:rFonts w:ascii="Times New Roman" w:cs="Times New Roman" w:eastAsia="Times New Roman" w:hAnsi="Times New Roman"/>
          <w:sz w:val="18"/>
          <w:szCs w:val="18"/>
          <w:color w:val="auto"/>
        </w:rPr>
        <w:t>United applies a pass/fail grading system to all consumer purpose loans. Under this system, loans generally classified as “fail”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those that are on nonaccrual status, are 90 or more days past due, or meet certain bankruptcy status criteria. All other loans are classified as “pass”. For reporting purposes, loans in these categories that are classified as “fail” are reported as substandard and all other loans are reported as pass.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risk category of term loans and gross charge-offs by vintage year, which is the year of origination or most recent renewal, as of the date indicated.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40" w:type="dxa"/>
            <w:vAlign w:val="bottom"/>
            <w:gridSpan w:val="7"/>
          </w:tcPr>
          <w:p>
            <w:pPr>
              <w:ind w:left="80"/>
              <w:spacing w:after="0"/>
              <w:rPr>
                <w:sz w:val="20"/>
                <w:szCs w:val="20"/>
                <w:color w:val="auto"/>
              </w:rPr>
            </w:pPr>
            <w:r>
              <w:rPr>
                <w:rFonts w:ascii="Times New Roman" w:cs="Times New Roman" w:eastAsia="Times New Roman" w:hAnsi="Times New Roman"/>
                <w:sz w:val="13"/>
                <w:szCs w:val="13"/>
                <w:b w:val="1"/>
                <w:bCs w:val="1"/>
                <w:color w:val="auto"/>
                <w:w w:val="99"/>
              </w:rPr>
              <w:t>Term Loans by Origination Year</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Revolvers</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2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3"/>
            <w:vMerge w:val="restart"/>
          </w:tcPr>
          <w:p>
            <w:pPr>
              <w:jc w:val="center"/>
              <w:ind w:right="120"/>
              <w:spacing w:after="0" w:line="133" w:lineRule="exact"/>
              <w:rPr>
                <w:sz w:val="20"/>
                <w:szCs w:val="20"/>
                <w:color w:val="auto"/>
              </w:rPr>
            </w:pPr>
            <w:r>
              <w:rPr>
                <w:rFonts w:ascii="Times New Roman" w:cs="Times New Roman" w:eastAsia="Times New Roman" w:hAnsi="Times New Roman"/>
                <w:sz w:val="13"/>
                <w:szCs w:val="13"/>
                <w:b w:val="1"/>
                <w:bCs w:val="1"/>
                <w:color w:val="auto"/>
                <w:w w:val="98"/>
              </w:rPr>
              <w:t>converted to</w:t>
            </w: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92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0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restart"/>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Revolvers</w:t>
            </w:r>
          </w:p>
        </w:tc>
        <w:tc>
          <w:tcPr>
            <w:tcW w:w="100" w:type="dxa"/>
            <w:vAlign w:val="bottom"/>
            <w:vMerge w:val="restart"/>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3"/>
        </w:trPr>
        <w:tc>
          <w:tcPr>
            <w:tcW w:w="29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Owner occupied CRE</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221,464</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875,007</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447,253</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454,560</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565,839</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1,175,534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118,142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22,121</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3,879,920</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23,748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72,448</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3,149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8,210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20,352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33,211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22,263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88,150</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owner occupied CRE</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221,464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881,207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462,380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484,491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622,798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1,223,973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121,858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22,347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4,040,518</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738</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producing CRE</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261,516</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928,560</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399,823</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472,377</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1,027,589</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1,534,758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59,140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14,965</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4,698,728</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19,804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107,368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164,788</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12,211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9,516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26,154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22,336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11,163</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37,328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120,202</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income producing CRE</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293,531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952,416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427,668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496,884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1,146,120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1,591,391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60,634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15,074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4,983,718</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&amp; industrial</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121,091</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652,912</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296,411</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256,594</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167,754</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349,535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761,716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9,151</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2,615,164</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14,958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65,646</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7,219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16,412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33,143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5,543</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10,286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11,416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5,646</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90,114</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commercial &amp; industrial</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121,656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663,369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318,099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311,090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188,255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367,146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785,917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15,392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2,770,924</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878</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3,904</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construction &amp; land</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132,250</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559,324</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227,494</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24,444</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43,068</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14,567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59,036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1,061,413</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6,873</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3,854</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commercial construction &amp; land</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132,250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565,526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227,633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24,818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43,320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18,327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59,036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1,072,140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Equipment financing</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240,558</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732,954</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438,174</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263,174</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156,338</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48,692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1,879,890</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7,721</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9,217</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equipment financing</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240,558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734,400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444,879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267,780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159,817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49,394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1,896,828</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1,865</w:t>
            </w:r>
          </w:p>
        </w:tc>
        <w:tc>
          <w:tcPr>
            <w:tcW w:w="100" w:type="dxa"/>
            <w:vAlign w:val="bottom"/>
          </w:tcPr>
          <w:p>
            <w:pPr>
              <w:spacing w:after="0"/>
              <w:rPr>
                <w:sz w:val="13"/>
                <w:szCs w:val="13"/>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1,834</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2,391</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7,179</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mortgage</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46,457</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200,087</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116,235</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293,120</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898,882</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1,527,839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2,511</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3,085,131</w:t>
            </w:r>
          </w:p>
        </w:tc>
        <w:tc>
          <w:tcPr>
            <w:tcW w:w="0" w:type="dxa"/>
            <w:vAlign w:val="bottom"/>
          </w:tcPr>
          <w:p>
            <w:pPr>
              <w:spacing w:after="0"/>
              <w:rPr>
                <w:sz w:val="1"/>
                <w:szCs w:val="1"/>
                <w:color w:val="auto"/>
              </w:rPr>
            </w:pPr>
          </w:p>
        </w:tc>
      </w:tr>
      <w:tr>
        <w:trPr>
          <w:trHeight w:val="191"/>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14,592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37,230</w:t>
            </w:r>
          </w:p>
        </w:tc>
        <w:tc>
          <w:tcPr>
            <w:tcW w:w="0" w:type="dxa"/>
            <w:vAlign w:val="bottom"/>
          </w:tcPr>
          <w:p>
            <w:pPr>
              <w:spacing w:after="0"/>
              <w:rPr>
                <w:sz w:val="1"/>
                <w:szCs w:val="1"/>
                <w:color w:val="auto"/>
              </w:rPr>
            </w:pPr>
          </w:p>
        </w:tc>
      </w:tr>
      <w:tr>
        <w:trPr>
          <w:trHeight w:val="189"/>
        </w:trPr>
        <w:tc>
          <w:tcPr>
            <w:tcW w:w="30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residential mortgage</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46,457</w:t>
            </w:r>
          </w:p>
        </w:tc>
        <w:tc>
          <w:tcPr>
            <w:tcW w:w="100" w:type="dxa"/>
            <w:vAlign w:val="bottom"/>
          </w:tcPr>
          <w:p>
            <w:pPr>
              <w:spacing w:after="0"/>
              <w:rPr>
                <w:sz w:val="16"/>
                <w:szCs w:val="16"/>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200,725</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119,738</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300,342</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910,082</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1,542,431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2,586</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3,122,361</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0" w:type="dxa"/>
            <w:vAlign w:val="bottom"/>
          </w:tcPr>
          <w:p>
            <w:pPr>
              <w:spacing w:after="0"/>
              <w:rPr>
                <w:sz w:val="1"/>
                <w:szCs w:val="1"/>
                <w:color w:val="auto"/>
              </w:rPr>
            </w:pPr>
          </w:p>
        </w:tc>
      </w:tr>
      <w:tr>
        <w:trPr>
          <w:trHeight w:val="181"/>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Home equity</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1,299,028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38,031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1,337,059</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6,726</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6,726</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home equity</w:t>
            </w: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1,299,028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44,757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1,343,785</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construction &amp; land</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11,053</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123,817</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31,597</w:t>
            </w:r>
          </w:p>
        </w:tc>
        <w:tc>
          <w:tcPr>
            <w:tcW w:w="100" w:type="dxa"/>
            <w:vAlign w:val="bottom"/>
          </w:tcPr>
          <w:p>
            <w:pPr>
              <w:spacing w:after="0"/>
              <w:rPr>
                <w:sz w:val="15"/>
                <w:szCs w:val="15"/>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6,234</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4,541</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184,992</w:t>
            </w:r>
          </w:p>
        </w:tc>
        <w:tc>
          <w:tcPr>
            <w:tcW w:w="0" w:type="dxa"/>
            <w:vAlign w:val="bottom"/>
          </w:tcPr>
          <w:p>
            <w:pPr>
              <w:spacing w:after="0"/>
              <w:rPr>
                <w:sz w:val="1"/>
                <w:szCs w:val="1"/>
                <w:color w:val="auto"/>
              </w:rPr>
            </w:pPr>
          </w:p>
        </w:tc>
      </w:tr>
      <w:tr>
        <w:trPr>
          <w:trHeight w:val="191"/>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0" w:type="dxa"/>
            <w:vAlign w:val="bottom"/>
          </w:tcPr>
          <w:p>
            <w:pPr>
              <w:spacing w:after="0"/>
              <w:rPr>
                <w:sz w:val="1"/>
                <w:szCs w:val="1"/>
                <w:color w:val="auto"/>
              </w:rPr>
            </w:pPr>
          </w:p>
        </w:tc>
      </w:tr>
      <w:tr>
        <w:trPr>
          <w:trHeight w:val="189"/>
        </w:trPr>
        <w:tc>
          <w:tcPr>
            <w:tcW w:w="30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residential construction &amp; land</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11,053</w:t>
            </w:r>
          </w:p>
        </w:tc>
        <w:tc>
          <w:tcPr>
            <w:tcW w:w="100" w:type="dxa"/>
            <w:vAlign w:val="bottom"/>
          </w:tcPr>
          <w:p>
            <w:pPr>
              <w:spacing w:after="0"/>
              <w:rPr>
                <w:sz w:val="16"/>
                <w:szCs w:val="16"/>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123,817</w:t>
            </w: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31,677</w:t>
            </w:r>
          </w:p>
        </w:tc>
        <w:tc>
          <w:tcPr>
            <w:tcW w:w="100" w:type="dxa"/>
            <w:vAlign w:val="bottom"/>
          </w:tcPr>
          <w:p>
            <w:pPr>
              <w:spacing w:after="0"/>
              <w:rPr>
                <w:sz w:val="16"/>
                <w:szCs w:val="16"/>
                <w:color w:val="auto"/>
              </w:rPr>
            </w:pP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6,406</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4,555</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7,760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185,353</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81"/>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70,396</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10,384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185,639</w:t>
            </w:r>
          </w:p>
        </w:tc>
        <w:tc>
          <w:tcPr>
            <w:tcW w:w="0" w:type="dxa"/>
            <w:vAlign w:val="bottom"/>
          </w:tcPr>
          <w:p>
            <w:pPr>
              <w:spacing w:after="0"/>
              <w:rPr>
                <w:sz w:val="1"/>
                <w:szCs w:val="1"/>
                <w:color w:val="auto"/>
              </w:rPr>
            </w:pPr>
          </w:p>
        </w:tc>
      </w:tr>
      <w:tr>
        <w:trPr>
          <w:trHeight w:val="183"/>
        </w:trPr>
        <w:tc>
          <w:tcPr>
            <w:tcW w:w="3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1,252</w:t>
            </w:r>
          </w:p>
        </w:tc>
        <w:tc>
          <w:tcPr>
            <w:tcW w:w="0" w:type="dxa"/>
            <w:vAlign w:val="bottom"/>
          </w:tcPr>
          <w:p>
            <w:pPr>
              <w:spacing w:after="0"/>
              <w:rPr>
                <w:sz w:val="1"/>
                <w:szCs w:val="1"/>
                <w:color w:val="auto"/>
              </w:rPr>
            </w:pPr>
          </w:p>
        </w:tc>
      </w:tr>
      <w:tr>
        <w:trPr>
          <w:trHeight w:val="209"/>
        </w:trPr>
        <w:tc>
          <w:tcPr>
            <w:tcW w:w="3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consumer</w:t>
            </w: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70,483</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186,891</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040" w:type="dxa"/>
            <w:vAlign w:val="bottom"/>
            <w:gridSpan w:val="2"/>
          </w:tcPr>
          <w:p>
            <w:pPr>
              <w:ind w:left="120"/>
              <w:spacing w:after="0" w:line="147" w:lineRule="exact"/>
              <w:rPr>
                <w:sz w:val="20"/>
                <w:szCs w:val="20"/>
                <w:color w:val="auto"/>
              </w:rPr>
            </w:pPr>
            <w:r>
              <w:rPr>
                <w:rFonts w:ascii="Times New Roman" w:cs="Times New Roman" w:eastAsia="Times New Roman" w:hAnsi="Times New Roman"/>
                <w:sz w:val="13"/>
                <w:szCs w:val="13"/>
                <w:color w:val="auto"/>
              </w:rPr>
              <w:t>Current period gross charge-offs</w:t>
            </w:r>
          </w:p>
        </w:tc>
        <w:tc>
          <w:tcPr>
            <w:tcW w:w="180" w:type="dxa"/>
            <w:vAlign w:val="bottom"/>
          </w:tcPr>
          <w:p>
            <w:pPr>
              <w:jc w:val="right"/>
              <w:ind w:right="3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638</w:t>
            </w:r>
          </w:p>
        </w:tc>
        <w:tc>
          <w:tcPr>
            <w:tcW w:w="100" w:type="dxa"/>
            <w:vAlign w:val="bottom"/>
          </w:tcPr>
          <w:p>
            <w:pPr>
              <w:spacing w:after="0"/>
              <w:rPr>
                <w:sz w:val="12"/>
                <w:szCs w:val="12"/>
                <w:color w:val="auto"/>
              </w:rPr>
            </w:pPr>
          </w:p>
        </w:tc>
        <w:tc>
          <w:tcPr>
            <w:tcW w:w="180" w:type="dxa"/>
            <w:vAlign w:val="bottom"/>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67</w:t>
            </w:r>
          </w:p>
        </w:tc>
        <w:tc>
          <w:tcPr>
            <w:tcW w:w="280" w:type="dxa"/>
            <w:vAlign w:val="bottom"/>
            <w:gridSpan w:val="2"/>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2"/>
                <w:szCs w:val="12"/>
                <w:color w:val="auto"/>
              </w:rPr>
            </w:pPr>
          </w:p>
        </w:tc>
        <w:tc>
          <w:tcPr>
            <w:tcW w:w="180" w:type="dxa"/>
            <w:vAlign w:val="bottom"/>
          </w:tcPr>
          <w:p>
            <w:pPr>
              <w:jc w:val="right"/>
              <w:ind w:right="3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2"/>
                <w:szCs w:val="12"/>
                <w:color w:val="auto"/>
              </w:rPr>
            </w:pPr>
          </w:p>
        </w:tc>
        <w:tc>
          <w:tcPr>
            <w:tcW w:w="160" w:type="dxa"/>
            <w:vAlign w:val="bottom"/>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2"/>
                <w:szCs w:val="12"/>
                <w:color w:val="auto"/>
              </w:rPr>
            </w:pPr>
          </w:p>
        </w:tc>
        <w:tc>
          <w:tcPr>
            <w:tcW w:w="160" w:type="dxa"/>
            <w:vAlign w:val="bottom"/>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40" w:type="dxa"/>
            <w:vAlign w:val="bottom"/>
            <w:gridSpan w:val="7"/>
          </w:tcPr>
          <w:p>
            <w:pPr>
              <w:ind w:left="60"/>
              <w:spacing w:after="0"/>
              <w:rPr>
                <w:sz w:val="20"/>
                <w:szCs w:val="20"/>
                <w:color w:val="auto"/>
              </w:rPr>
            </w:pPr>
            <w:r>
              <w:rPr>
                <w:rFonts w:ascii="Times New Roman" w:cs="Times New Roman" w:eastAsia="Times New Roman" w:hAnsi="Times New Roman"/>
                <w:sz w:val="13"/>
                <w:szCs w:val="13"/>
                <w:b w:val="1"/>
                <w:bCs w:val="1"/>
                <w:color w:val="auto"/>
              </w:rPr>
              <w:t>Term Loans by Origination Year</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Revolvers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3"/>
            <w:vMerge w:val="restart"/>
          </w:tcPr>
          <w:p>
            <w:pPr>
              <w:jc w:val="center"/>
              <w:ind w:right="100"/>
              <w:spacing w:after="0" w:line="95" w:lineRule="exact"/>
              <w:rPr>
                <w:sz w:val="20"/>
                <w:szCs w:val="20"/>
                <w:color w:val="auto"/>
              </w:rPr>
            </w:pPr>
            <w:r>
              <w:rPr>
                <w:rFonts w:ascii="Times New Roman" w:cs="Times New Roman" w:eastAsia="Times New Roman" w:hAnsi="Times New Roman"/>
                <w:sz w:val="10"/>
                <w:szCs w:val="10"/>
                <w:b w:val="1"/>
                <w:bCs w:val="1"/>
                <w:color w:val="auto"/>
              </w:rPr>
              <w:t>converted to</w:t>
            </w: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As of December 31, 2025</w:t>
            </w:r>
          </w:p>
        </w:tc>
        <w:tc>
          <w:tcPr>
            <w:tcW w:w="1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vMerge w:val="restart"/>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vMerge w:val="restart"/>
          </w:tcPr>
          <w:p>
            <w:pPr>
              <w:jc w:val="right"/>
              <w:ind w:right="195"/>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rPr>
              <w:t>Prior</w:t>
            </w:r>
          </w:p>
        </w:tc>
        <w:tc>
          <w:tcPr>
            <w:tcW w:w="1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vMerge w:val="restart"/>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Revolvers</w:t>
            </w:r>
          </w:p>
        </w:tc>
        <w:tc>
          <w:tcPr>
            <w:tcW w:w="100" w:type="dxa"/>
            <w:vAlign w:val="bottom"/>
            <w:vMerge w:val="restart"/>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vMerge w:val="restart"/>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line="20" w:lineRule="exact"/>
              <w:rPr>
                <w:sz w:val="1"/>
                <w:szCs w:val="1"/>
                <w:color w:val="auto"/>
              </w:rPr>
            </w:pPr>
          </w:p>
        </w:tc>
      </w:tr>
      <w:tr>
        <w:trPr>
          <w:trHeight w:val="173"/>
        </w:trPr>
        <w:tc>
          <w:tcPr>
            <w:tcW w:w="2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3"/>
                <w:szCs w:val="13"/>
                <w:b w:val="1"/>
                <w:bCs w:val="1"/>
                <w:color w:val="auto"/>
                <w:w w:val="98"/>
              </w:rPr>
              <w:t>term loans</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Owner occupied CRE</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882,017</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459,608</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468,682</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587,671</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505,329</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733,146</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122,462</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22,745</w:t>
            </w:r>
          </w:p>
        </w:tc>
        <w:tc>
          <w:tcPr>
            <w:tcW w:w="100" w:type="dxa"/>
            <w:vAlign w:val="bottom"/>
          </w:tcPr>
          <w:p>
            <w:pPr>
              <w:spacing w:after="0"/>
              <w:rPr>
                <w:sz w:val="15"/>
                <w:szCs w:val="15"/>
                <w:color w:val="auto"/>
              </w:rPr>
            </w:pP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3,781,660</w:t>
            </w:r>
          </w:p>
        </w:tc>
        <w:tc>
          <w:tcPr>
            <w:tcW w:w="0" w:type="dxa"/>
            <w:vAlign w:val="bottom"/>
          </w:tcPr>
          <w:p>
            <w:pPr>
              <w:spacing w:after="0"/>
              <w:rPr>
                <w:sz w:val="1"/>
                <w:szCs w:val="1"/>
                <w:color w:val="auto"/>
              </w:rPr>
            </w:pPr>
          </w:p>
        </w:tc>
      </w:tr>
      <w:tr>
        <w:trPr>
          <w:trHeight w:val="197"/>
        </w:trPr>
        <w:tc>
          <w:tcPr>
            <w:tcW w:w="2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14,369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24,247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7,656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72,710</w:t>
            </w:r>
          </w:p>
        </w:tc>
        <w:tc>
          <w:tcPr>
            <w:tcW w:w="0" w:type="dxa"/>
            <w:vAlign w:val="bottom"/>
          </w:tcPr>
          <w:p>
            <w:pPr>
              <w:spacing w:after="0"/>
              <w:rPr>
                <w:sz w:val="1"/>
                <w:szCs w:val="1"/>
                <w:color w:val="auto"/>
              </w:rPr>
            </w:pPr>
          </w:p>
        </w:tc>
      </w:tr>
      <w:tr>
        <w:trPr>
          <w:trHeight w:val="183"/>
        </w:trPr>
        <w:tc>
          <w:tcPr>
            <w:tcW w:w="29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3,157</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8,412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20,122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31,791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6,709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22,454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2,883</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95,528</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owner occupied CRE</w:t>
            </w: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886,895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469,361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503,173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643,709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531,010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763,256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129,521</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22,973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3,949,898</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1,905</w:t>
            </w:r>
          </w:p>
        </w:tc>
        <w:tc>
          <w:tcPr>
            <w:tcW w:w="100" w:type="dxa"/>
            <w:vAlign w:val="bottom"/>
          </w:tcPr>
          <w:p>
            <w:pPr>
              <w:spacing w:after="0"/>
              <w:rPr>
                <w:sz w:val="13"/>
                <w:szCs w:val="13"/>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2,162</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5,194</w:t>
            </w:r>
          </w:p>
        </w:tc>
        <w:tc>
          <w:tcPr>
            <w:tcW w:w="0" w:type="dxa"/>
            <w:vAlign w:val="bottom"/>
          </w:tcPr>
          <w:p>
            <w:pPr>
              <w:spacing w:after="0"/>
              <w:rPr>
                <w:sz w:val="1"/>
                <w:szCs w:val="1"/>
                <w:color w:val="auto"/>
              </w:rPr>
            </w:pPr>
          </w:p>
        </w:tc>
      </w:tr>
      <w:tr>
        <w:trPr>
          <w:trHeight w:val="197"/>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producing CRE</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916,381</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430,561</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541,924</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1,107,955</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812,859</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863,815</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62,677</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12,714</w:t>
            </w:r>
          </w:p>
        </w:tc>
        <w:tc>
          <w:tcPr>
            <w:tcW w:w="100" w:type="dxa"/>
            <w:vAlign w:val="bottom"/>
          </w:tcPr>
          <w:p>
            <w:pPr>
              <w:spacing w:after="0"/>
              <w:rPr>
                <w:sz w:val="15"/>
                <w:szCs w:val="15"/>
                <w:color w:val="auto"/>
              </w:rPr>
            </w:pP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4,748,886</w:t>
            </w:r>
          </w:p>
        </w:tc>
        <w:tc>
          <w:tcPr>
            <w:tcW w:w="0" w:type="dxa"/>
            <w:vAlign w:val="bottom"/>
          </w:tcPr>
          <w:p>
            <w:pPr>
              <w:spacing w:after="0"/>
              <w:rPr>
                <w:sz w:val="1"/>
                <w:szCs w:val="1"/>
                <w:color w:val="auto"/>
              </w:rPr>
            </w:pPr>
          </w:p>
        </w:tc>
      </w:tr>
      <w:tr>
        <w:trPr>
          <w:trHeight w:val="197"/>
        </w:trPr>
        <w:tc>
          <w:tcPr>
            <w:tcW w:w="2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13,726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123,531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167,796</w:t>
            </w:r>
          </w:p>
        </w:tc>
        <w:tc>
          <w:tcPr>
            <w:tcW w:w="0" w:type="dxa"/>
            <w:vAlign w:val="bottom"/>
          </w:tcPr>
          <w:p>
            <w:pPr>
              <w:spacing w:after="0"/>
              <w:rPr>
                <w:sz w:val="1"/>
                <w:szCs w:val="1"/>
                <w:color w:val="auto"/>
              </w:rPr>
            </w:pPr>
          </w:p>
        </w:tc>
      </w:tr>
      <w:tr>
        <w:trPr>
          <w:trHeight w:val="183"/>
        </w:trPr>
        <w:tc>
          <w:tcPr>
            <w:tcW w:w="29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9,652</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26,439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22,478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1,199</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16,954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36,816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2,122</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115,660</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income producing CRE</w:t>
            </w: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939,759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471,176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566,546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1,232,685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837,582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906,972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64,799</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5,032,342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1,970</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1,970</w:t>
            </w:r>
          </w:p>
        </w:tc>
        <w:tc>
          <w:tcPr>
            <w:tcW w:w="0" w:type="dxa"/>
            <w:vAlign w:val="bottom"/>
          </w:tcPr>
          <w:p>
            <w:pPr>
              <w:spacing w:after="0"/>
              <w:rPr>
                <w:sz w:val="1"/>
                <w:szCs w:val="1"/>
                <w:color w:val="auto"/>
              </w:rPr>
            </w:pPr>
          </w:p>
        </w:tc>
      </w:tr>
      <w:tr>
        <w:trPr>
          <w:trHeight w:val="197"/>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&amp; industrial</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668,959</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357,553</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279,488</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178,064</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149,382</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225,469</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675,062</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9,342</w:t>
            </w:r>
          </w:p>
        </w:tc>
        <w:tc>
          <w:tcPr>
            <w:tcW w:w="100" w:type="dxa"/>
            <w:vAlign w:val="bottom"/>
          </w:tcPr>
          <w:p>
            <w:pPr>
              <w:spacing w:after="0"/>
              <w:rPr>
                <w:sz w:val="15"/>
                <w:szCs w:val="15"/>
                <w:color w:val="auto"/>
              </w:rPr>
            </w:pP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2,543,319</w:t>
            </w:r>
          </w:p>
        </w:tc>
        <w:tc>
          <w:tcPr>
            <w:tcW w:w="0" w:type="dxa"/>
            <w:vAlign w:val="bottom"/>
          </w:tcPr>
          <w:p>
            <w:pPr>
              <w:spacing w:after="0"/>
              <w:rPr>
                <w:sz w:val="1"/>
                <w:szCs w:val="1"/>
                <w:color w:val="auto"/>
              </w:rPr>
            </w:pPr>
          </w:p>
        </w:tc>
      </w:tr>
      <w:tr>
        <w:trPr>
          <w:trHeight w:val="197"/>
        </w:trPr>
        <w:tc>
          <w:tcPr>
            <w:tcW w:w="2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18,886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18,235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75,832</w:t>
            </w:r>
          </w:p>
        </w:tc>
        <w:tc>
          <w:tcPr>
            <w:tcW w:w="0" w:type="dxa"/>
            <w:vAlign w:val="bottom"/>
          </w:tcPr>
          <w:p>
            <w:pPr>
              <w:spacing w:after="0"/>
              <w:rPr>
                <w:sz w:val="1"/>
                <w:szCs w:val="1"/>
                <w:color w:val="auto"/>
              </w:rPr>
            </w:pPr>
          </w:p>
        </w:tc>
      </w:tr>
      <w:tr>
        <w:trPr>
          <w:trHeight w:val="183"/>
        </w:trPr>
        <w:tc>
          <w:tcPr>
            <w:tcW w:w="29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7,719</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2,849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36,127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6,330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7,506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11,104</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77,140</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commercial &amp; industrial</w:t>
            </w: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680,042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379,288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337,237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202,629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155,024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236,362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694,703</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2,696,291</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1,197</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10,327</w:t>
            </w:r>
          </w:p>
        </w:tc>
        <w:tc>
          <w:tcPr>
            <w:tcW w:w="100" w:type="dxa"/>
            <w:vAlign w:val="bottom"/>
          </w:tcPr>
          <w:p>
            <w:pPr>
              <w:spacing w:after="0"/>
              <w:rPr>
                <w:sz w:val="13"/>
                <w:szCs w:val="13"/>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1,506</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2,240</w:t>
            </w:r>
          </w:p>
        </w:tc>
        <w:tc>
          <w:tcPr>
            <w:tcW w:w="100" w:type="dxa"/>
            <w:vAlign w:val="bottom"/>
          </w:tcPr>
          <w:p>
            <w:pPr>
              <w:spacing w:after="0"/>
              <w:rPr>
                <w:sz w:val="13"/>
                <w:szCs w:val="13"/>
                <w:color w:val="auto"/>
              </w:rPr>
            </w:pP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15,942</w:t>
            </w:r>
          </w:p>
        </w:tc>
        <w:tc>
          <w:tcPr>
            <w:tcW w:w="0" w:type="dxa"/>
            <w:vAlign w:val="bottom"/>
          </w:tcPr>
          <w:p>
            <w:pPr>
              <w:spacing w:after="0"/>
              <w:rPr>
                <w:sz w:val="1"/>
                <w:szCs w:val="1"/>
                <w:color w:val="auto"/>
              </w:rPr>
            </w:pPr>
          </w:p>
        </w:tc>
      </w:tr>
      <w:tr>
        <w:trPr>
          <w:trHeight w:val="197"/>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Commercial construction &amp; land</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562,952</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236,154</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63,716</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20,804</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9,230</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11,002</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54,745</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1,039</w:t>
            </w:r>
          </w:p>
        </w:tc>
        <w:tc>
          <w:tcPr>
            <w:tcW w:w="100" w:type="dxa"/>
            <w:vAlign w:val="bottom"/>
          </w:tcPr>
          <w:p>
            <w:pPr>
              <w:spacing w:after="0"/>
              <w:rPr>
                <w:sz w:val="15"/>
                <w:szCs w:val="15"/>
                <w:color w:val="auto"/>
              </w:rPr>
            </w:pP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959,642</w:t>
            </w:r>
          </w:p>
        </w:tc>
        <w:tc>
          <w:tcPr>
            <w:tcW w:w="0" w:type="dxa"/>
            <w:vAlign w:val="bottom"/>
          </w:tcPr>
          <w:p>
            <w:pPr>
              <w:spacing w:after="0"/>
              <w:rPr>
                <w:sz w:val="1"/>
                <w:szCs w:val="1"/>
                <w:color w:val="auto"/>
              </w:rPr>
            </w:pPr>
          </w:p>
        </w:tc>
      </w:tr>
      <w:tr>
        <w:trPr>
          <w:trHeight w:val="197"/>
        </w:trPr>
        <w:tc>
          <w:tcPr>
            <w:tcW w:w="2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28,159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34,804</w:t>
            </w:r>
          </w:p>
        </w:tc>
        <w:tc>
          <w:tcPr>
            <w:tcW w:w="0" w:type="dxa"/>
            <w:vAlign w:val="bottom"/>
          </w:tcPr>
          <w:p>
            <w:pPr>
              <w:spacing w:after="0"/>
              <w:rPr>
                <w:sz w:val="1"/>
                <w:szCs w:val="1"/>
                <w:color w:val="auto"/>
              </w:rPr>
            </w:pPr>
          </w:p>
        </w:tc>
      </w:tr>
      <w:tr>
        <w:trPr>
          <w:trHeight w:val="183"/>
        </w:trPr>
        <w:tc>
          <w:tcPr>
            <w:tcW w:w="29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3,356</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commercial construction &amp; land</w:t>
            </w: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567,529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237,285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64,097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49,218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10,798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13,091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54,745</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997,802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2,150</w:t>
            </w:r>
          </w:p>
        </w:tc>
        <w:tc>
          <w:tcPr>
            <w:tcW w:w="0" w:type="dxa"/>
            <w:vAlign w:val="bottom"/>
          </w:tcPr>
          <w:p>
            <w:pPr>
              <w:spacing w:after="0"/>
              <w:rPr>
                <w:sz w:val="1"/>
                <w:szCs w:val="1"/>
                <w:color w:val="auto"/>
              </w:rPr>
            </w:pPr>
          </w:p>
        </w:tc>
      </w:tr>
      <w:tr>
        <w:trPr>
          <w:trHeight w:val="197"/>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Equipment financing</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792,800</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487,499</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300,427</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186,094</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49,410</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16,468</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1,832,698</w:t>
            </w:r>
          </w:p>
        </w:tc>
        <w:tc>
          <w:tcPr>
            <w:tcW w:w="0" w:type="dxa"/>
            <w:vAlign w:val="bottom"/>
          </w:tcPr>
          <w:p>
            <w:pPr>
              <w:spacing w:after="0"/>
              <w:rPr>
                <w:sz w:val="1"/>
                <w:szCs w:val="1"/>
                <w:color w:val="auto"/>
              </w:rPr>
            </w:pPr>
          </w:p>
        </w:tc>
      </w:tr>
      <w:tr>
        <w:trPr>
          <w:trHeight w:val="197"/>
        </w:trPr>
        <w:tc>
          <w:tcPr>
            <w:tcW w:w="2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Special Mention</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3,282</w:t>
            </w:r>
          </w:p>
        </w:tc>
        <w:tc>
          <w:tcPr>
            <w:tcW w:w="0" w:type="dxa"/>
            <w:vAlign w:val="bottom"/>
          </w:tcPr>
          <w:p>
            <w:pPr>
              <w:spacing w:after="0"/>
              <w:rPr>
                <w:sz w:val="1"/>
                <w:szCs w:val="1"/>
                <w:color w:val="auto"/>
              </w:rPr>
            </w:pPr>
          </w:p>
        </w:tc>
      </w:tr>
      <w:tr>
        <w:trPr>
          <w:trHeight w:val="183"/>
        </w:trPr>
        <w:tc>
          <w:tcPr>
            <w:tcW w:w="29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3,731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12,019</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equipment financing</w:t>
            </w: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793,881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492,650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303,462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190,819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50,367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16,820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1,847,999</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3,831</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7,681</w:t>
            </w:r>
          </w:p>
        </w:tc>
        <w:tc>
          <w:tcPr>
            <w:tcW w:w="100" w:type="dxa"/>
            <w:vAlign w:val="bottom"/>
          </w:tcPr>
          <w:p>
            <w:pPr>
              <w:spacing w:after="0"/>
              <w:rPr>
                <w:sz w:val="13"/>
                <w:szCs w:val="13"/>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10,018</w:t>
            </w:r>
          </w:p>
        </w:tc>
        <w:tc>
          <w:tcPr>
            <w:tcW w:w="12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2,255</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100" w:type="dxa"/>
            <w:vAlign w:val="bottom"/>
          </w:tcPr>
          <w:p>
            <w:pPr>
              <w:spacing w:after="0"/>
              <w:rPr>
                <w:sz w:val="13"/>
                <w:szCs w:val="13"/>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24,957</w:t>
            </w:r>
          </w:p>
        </w:tc>
        <w:tc>
          <w:tcPr>
            <w:tcW w:w="0" w:type="dxa"/>
            <w:vAlign w:val="bottom"/>
          </w:tcPr>
          <w:p>
            <w:pPr>
              <w:spacing w:after="0"/>
              <w:rPr>
                <w:sz w:val="1"/>
                <w:szCs w:val="1"/>
                <w:color w:val="auto"/>
              </w:rPr>
            </w:pPr>
          </w:p>
        </w:tc>
      </w:tr>
      <w:tr>
        <w:trPr>
          <w:trHeight w:val="197"/>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mortgage</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199,825</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116,567</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308,491</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921,713</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910,553</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661,298</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2,612</w:t>
            </w:r>
          </w:p>
        </w:tc>
        <w:tc>
          <w:tcPr>
            <w:tcW w:w="100" w:type="dxa"/>
            <w:vAlign w:val="bottom"/>
          </w:tcPr>
          <w:p>
            <w:pPr>
              <w:spacing w:after="0"/>
              <w:rPr>
                <w:sz w:val="15"/>
                <w:szCs w:val="15"/>
                <w:color w:val="auto"/>
              </w:rPr>
            </w:pP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3,121,059</w:t>
            </w:r>
          </w:p>
        </w:tc>
        <w:tc>
          <w:tcPr>
            <w:tcW w:w="0" w:type="dxa"/>
            <w:vAlign w:val="bottom"/>
          </w:tcPr>
          <w:p>
            <w:pPr>
              <w:spacing w:after="0"/>
              <w:rPr>
                <w:sz w:val="1"/>
                <w:szCs w:val="1"/>
                <w:color w:val="auto"/>
              </w:rPr>
            </w:pPr>
          </w:p>
        </w:tc>
      </w:tr>
      <w:tr>
        <w:trPr>
          <w:trHeight w:val="190"/>
        </w:trPr>
        <w:tc>
          <w:tcPr>
            <w:tcW w:w="2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7,470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11,604</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35,958</w:t>
            </w:r>
          </w:p>
        </w:tc>
        <w:tc>
          <w:tcPr>
            <w:tcW w:w="0" w:type="dxa"/>
            <w:vAlign w:val="bottom"/>
          </w:tcPr>
          <w:p>
            <w:pPr>
              <w:spacing w:after="0"/>
              <w:rPr>
                <w:sz w:val="1"/>
                <w:szCs w:val="1"/>
                <w:color w:val="auto"/>
              </w:rPr>
            </w:pPr>
          </w:p>
        </w:tc>
      </w:tr>
      <w:tr>
        <w:trPr>
          <w:trHeight w:val="189"/>
        </w:trPr>
        <w:tc>
          <w:tcPr>
            <w:tcW w:w="29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residential mortgage</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200,135</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119,186</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315,961</w:t>
            </w:r>
          </w:p>
        </w:tc>
        <w:tc>
          <w:tcPr>
            <w:tcW w:w="100" w:type="dxa"/>
            <w:vAlign w:val="bottom"/>
          </w:tcPr>
          <w:p>
            <w:pPr>
              <w:spacing w:after="0"/>
              <w:rPr>
                <w:sz w:val="16"/>
                <w:szCs w:val="16"/>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933,317</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913,827</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671,902</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2,689</w:t>
            </w:r>
          </w:p>
        </w:tc>
        <w:tc>
          <w:tcPr>
            <w:tcW w:w="100" w:type="dxa"/>
            <w:vAlign w:val="bottom"/>
          </w:tcPr>
          <w:p>
            <w:pPr>
              <w:spacing w:after="0"/>
              <w:rPr>
                <w:sz w:val="16"/>
                <w:szCs w:val="16"/>
                <w:color w:val="auto"/>
              </w:rPr>
            </w:pP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3,157,017</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646</w:t>
            </w:r>
          </w:p>
        </w:tc>
        <w:tc>
          <w:tcPr>
            <w:tcW w:w="0" w:type="dxa"/>
            <w:vAlign w:val="bottom"/>
          </w:tcPr>
          <w:p>
            <w:pPr>
              <w:spacing w:after="0"/>
              <w:rPr>
                <w:sz w:val="1"/>
                <w:szCs w:val="1"/>
                <w:color w:val="auto"/>
              </w:rPr>
            </w:pPr>
          </w:p>
        </w:tc>
      </w:tr>
      <w:tr>
        <w:trPr>
          <w:trHeight w:val="181"/>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Home equity</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1,277,604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36,074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1,313,678</w:t>
            </w:r>
          </w:p>
        </w:tc>
        <w:tc>
          <w:tcPr>
            <w:tcW w:w="0" w:type="dxa"/>
            <w:vAlign w:val="bottom"/>
          </w:tcPr>
          <w:p>
            <w:pPr>
              <w:spacing w:after="0"/>
              <w:rPr>
                <w:sz w:val="1"/>
                <w:szCs w:val="1"/>
                <w:color w:val="auto"/>
              </w:rPr>
            </w:pPr>
          </w:p>
        </w:tc>
      </w:tr>
      <w:tr>
        <w:trPr>
          <w:trHeight w:val="183"/>
        </w:trPr>
        <w:tc>
          <w:tcPr>
            <w:tcW w:w="29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5,796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5,796</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home equity</w:t>
            </w: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1,277,604</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41,870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1,319,474</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Pr>
          <w:p>
            <w:pPr>
              <w:spacing w:after="0"/>
              <w:rPr>
                <w:sz w:val="13"/>
                <w:szCs w:val="13"/>
                <w:color w:val="auto"/>
              </w:rPr>
            </w:pP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0" w:type="dxa"/>
            <w:vAlign w:val="bottom"/>
          </w:tcPr>
          <w:p>
            <w:pPr>
              <w:spacing w:after="0"/>
              <w:rPr>
                <w:sz w:val="1"/>
                <w:szCs w:val="1"/>
                <w:color w:val="auto"/>
              </w:rPr>
            </w:pPr>
          </w:p>
        </w:tc>
      </w:tr>
      <w:tr>
        <w:trPr>
          <w:trHeight w:val="197"/>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Residential construction &amp; land</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110,016</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50,363</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9,612</w:t>
            </w:r>
          </w:p>
        </w:tc>
        <w:tc>
          <w:tcPr>
            <w:tcW w:w="10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9,156</w:t>
            </w:r>
          </w:p>
        </w:tc>
        <w:tc>
          <w:tcPr>
            <w:tcW w:w="12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3,637</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6,676</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5"/>
                <w:szCs w:val="15"/>
                <w:color w:val="auto"/>
              </w:rPr>
            </w:pP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189,546</w:t>
            </w:r>
          </w:p>
        </w:tc>
        <w:tc>
          <w:tcPr>
            <w:tcW w:w="0" w:type="dxa"/>
            <w:vAlign w:val="bottom"/>
          </w:tcPr>
          <w:p>
            <w:pPr>
              <w:spacing w:after="0"/>
              <w:rPr>
                <w:sz w:val="1"/>
                <w:szCs w:val="1"/>
                <w:color w:val="auto"/>
              </w:rPr>
            </w:pPr>
          </w:p>
        </w:tc>
      </w:tr>
      <w:tr>
        <w:trPr>
          <w:trHeight w:val="190"/>
        </w:trPr>
        <w:tc>
          <w:tcPr>
            <w:tcW w:w="2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1,079</w:t>
            </w:r>
          </w:p>
        </w:tc>
        <w:tc>
          <w:tcPr>
            <w:tcW w:w="0" w:type="dxa"/>
            <w:vAlign w:val="bottom"/>
          </w:tcPr>
          <w:p>
            <w:pPr>
              <w:spacing w:after="0"/>
              <w:rPr>
                <w:sz w:val="1"/>
                <w:szCs w:val="1"/>
                <w:color w:val="auto"/>
              </w:rPr>
            </w:pPr>
          </w:p>
        </w:tc>
      </w:tr>
      <w:tr>
        <w:trPr>
          <w:trHeight w:val="189"/>
        </w:trPr>
        <w:tc>
          <w:tcPr>
            <w:tcW w:w="29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Total residential construction &amp; land</w:t>
            </w: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110,016</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50,443</w:t>
            </w:r>
          </w:p>
        </w:tc>
        <w:tc>
          <w:tcPr>
            <w:tcW w:w="280" w:type="dxa"/>
            <w:vAlign w:val="bottom"/>
            <w:gridSpan w:val="2"/>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10,491</w:t>
            </w:r>
          </w:p>
        </w:tc>
        <w:tc>
          <w:tcPr>
            <w:tcW w:w="100" w:type="dxa"/>
            <w:vAlign w:val="bottom"/>
          </w:tcPr>
          <w:p>
            <w:pPr>
              <w:spacing w:after="0"/>
              <w:rPr>
                <w:sz w:val="16"/>
                <w:szCs w:val="16"/>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9,171</w:t>
            </w:r>
          </w:p>
        </w:tc>
        <w:tc>
          <w:tcPr>
            <w:tcW w:w="12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3,701</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6,717</w:t>
            </w:r>
          </w:p>
        </w:tc>
        <w:tc>
          <w:tcPr>
            <w:tcW w:w="100" w:type="dxa"/>
            <w:vAlign w:val="bottom"/>
          </w:tcPr>
          <w:p>
            <w:pPr>
              <w:spacing w:after="0"/>
              <w:rPr>
                <w:sz w:val="16"/>
                <w:szCs w:val="16"/>
                <w:color w:val="auto"/>
              </w:rPr>
            </w:pPr>
          </w:p>
        </w:tc>
        <w:tc>
          <w:tcPr>
            <w:tcW w:w="16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6"/>
                <w:szCs w:val="16"/>
                <w:color w:val="auto"/>
              </w:rPr>
            </w:pP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190,625</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0" w:type="dxa"/>
            <w:vAlign w:val="bottom"/>
          </w:tcPr>
          <w:p>
            <w:pPr>
              <w:spacing w:after="0"/>
              <w:rPr>
                <w:sz w:val="1"/>
                <w:szCs w:val="1"/>
                <w:color w:val="auto"/>
              </w:rPr>
            </w:pPr>
          </w:p>
        </w:tc>
      </w:tr>
      <w:tr>
        <w:trPr>
          <w:trHeight w:val="181"/>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Consumer</w:t>
            </w: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Pass</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85,779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41,201</w:t>
            </w: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12,571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20,522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186,500</w:t>
            </w:r>
          </w:p>
        </w:tc>
        <w:tc>
          <w:tcPr>
            <w:tcW w:w="0" w:type="dxa"/>
            <w:vAlign w:val="bottom"/>
          </w:tcPr>
          <w:p>
            <w:pPr>
              <w:spacing w:after="0"/>
              <w:rPr>
                <w:sz w:val="1"/>
                <w:szCs w:val="1"/>
                <w:color w:val="auto"/>
              </w:rPr>
            </w:pPr>
          </w:p>
        </w:tc>
      </w:tr>
      <w:tr>
        <w:trPr>
          <w:trHeight w:val="183"/>
        </w:trPr>
        <w:tc>
          <w:tcPr>
            <w:tcW w:w="29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3"/>
                <w:szCs w:val="13"/>
                <w:color w:val="auto"/>
              </w:rPr>
              <w:t>Substandard</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1,036</w:t>
            </w:r>
          </w:p>
        </w:tc>
        <w:tc>
          <w:tcPr>
            <w:tcW w:w="0" w:type="dxa"/>
            <w:vAlign w:val="bottom"/>
          </w:tcPr>
          <w:p>
            <w:pPr>
              <w:spacing w:after="0"/>
              <w:rPr>
                <w:sz w:val="1"/>
                <w:szCs w:val="1"/>
                <w:color w:val="auto"/>
              </w:rPr>
            </w:pPr>
          </w:p>
        </w:tc>
      </w:tr>
      <w:tr>
        <w:trPr>
          <w:trHeight w:val="209"/>
        </w:trPr>
        <w:tc>
          <w:tcPr>
            <w:tcW w:w="2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consumer</w:t>
            </w: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85,786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41,362</w:t>
            </w:r>
          </w:p>
        </w:tc>
        <w:tc>
          <w:tcPr>
            <w:tcW w:w="2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12,735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187,536</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96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3"/>
                <w:szCs w:val="13"/>
                <w:color w:val="auto"/>
              </w:rPr>
              <w:t>Current period gross charge-offs</w:t>
            </w:r>
          </w:p>
        </w:tc>
        <w:tc>
          <w:tcPr>
            <w:tcW w:w="160" w:type="dxa"/>
            <w:vAlign w:val="bottom"/>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3,331</w:t>
            </w:r>
          </w:p>
        </w:tc>
        <w:tc>
          <w:tcPr>
            <w:tcW w:w="120" w:type="dxa"/>
            <w:vAlign w:val="bottom"/>
          </w:tcPr>
          <w:p>
            <w:pPr>
              <w:spacing w:after="0"/>
              <w:rPr>
                <w:sz w:val="12"/>
                <w:szCs w:val="12"/>
                <w:color w:val="auto"/>
              </w:rPr>
            </w:pPr>
          </w:p>
        </w:tc>
        <w:tc>
          <w:tcPr>
            <w:tcW w:w="160" w:type="dxa"/>
            <w:vAlign w:val="bottom"/>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533</w:t>
            </w:r>
          </w:p>
        </w:tc>
        <w:tc>
          <w:tcPr>
            <w:tcW w:w="280" w:type="dxa"/>
            <w:vAlign w:val="bottom"/>
            <w:gridSpan w:val="2"/>
          </w:tcPr>
          <w:p>
            <w:pPr>
              <w:jc w:val="right"/>
              <w:ind w:right="35"/>
              <w:spacing w:after="0" w:line="147"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232</w:t>
            </w:r>
          </w:p>
        </w:tc>
        <w:tc>
          <w:tcPr>
            <w:tcW w:w="100" w:type="dxa"/>
            <w:vAlign w:val="bottom"/>
          </w:tcPr>
          <w:p>
            <w:pPr>
              <w:spacing w:after="0"/>
              <w:rPr>
                <w:sz w:val="12"/>
                <w:szCs w:val="12"/>
                <w:color w:val="auto"/>
              </w:rPr>
            </w:pPr>
          </w:p>
        </w:tc>
        <w:tc>
          <w:tcPr>
            <w:tcW w:w="180" w:type="dxa"/>
            <w:vAlign w:val="bottom"/>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94</w:t>
            </w:r>
          </w:p>
        </w:tc>
        <w:tc>
          <w:tcPr>
            <w:tcW w:w="120" w:type="dxa"/>
            <w:vAlign w:val="bottom"/>
          </w:tcPr>
          <w:p>
            <w:pPr>
              <w:spacing w:after="0"/>
              <w:rPr>
                <w:sz w:val="12"/>
                <w:szCs w:val="12"/>
                <w:color w:val="auto"/>
              </w:rPr>
            </w:pPr>
          </w:p>
        </w:tc>
        <w:tc>
          <w:tcPr>
            <w:tcW w:w="160" w:type="dxa"/>
            <w:vAlign w:val="bottom"/>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2"/>
                <w:szCs w:val="12"/>
                <w:color w:val="auto"/>
              </w:rPr>
            </w:pPr>
          </w:p>
        </w:tc>
        <w:tc>
          <w:tcPr>
            <w:tcW w:w="160" w:type="dxa"/>
            <w:vAlign w:val="bottom"/>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2"/>
                <w:szCs w:val="12"/>
                <w:color w:val="auto"/>
              </w:rPr>
            </w:pPr>
          </w:p>
        </w:tc>
        <w:tc>
          <w:tcPr>
            <w:tcW w:w="160" w:type="dxa"/>
            <w:vAlign w:val="bottom"/>
          </w:tcPr>
          <w:p>
            <w:pPr>
              <w:jc w:val="right"/>
              <w:ind w:right="1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154</w:t>
            </w:r>
          </w:p>
        </w:tc>
        <w:tc>
          <w:tcPr>
            <w:tcW w:w="100" w:type="dxa"/>
            <w:vAlign w:val="bottom"/>
          </w:tcPr>
          <w:p>
            <w:pPr>
              <w:spacing w:after="0"/>
              <w:rPr>
                <w:sz w:val="12"/>
                <w:szCs w:val="12"/>
                <w:color w:val="auto"/>
              </w:rPr>
            </w:pPr>
          </w:p>
        </w:tc>
        <w:tc>
          <w:tcPr>
            <w:tcW w:w="240" w:type="dxa"/>
            <w:vAlign w:val="bottom"/>
          </w:tcPr>
          <w:p>
            <w:pPr>
              <w:jc w:val="right"/>
              <w:ind w:right="9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4,469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Modifications to Borrowers Experiencing Financial Difficulty</w:t>
      </w:r>
    </w:p>
    <w:p>
      <w:pPr>
        <w:spacing w:after="0" w:line="3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The period-end amortized cost and additional information regarding loans modified under the terms of a FDM during the three months ended March 31, 2026 and 2025 are presented in the following tables</w:t>
      </w:r>
      <w:r>
        <w:rPr>
          <w:rFonts w:ascii="Times New Roman" w:cs="Times New Roman" w:eastAsia="Times New Roman" w:hAnsi="Times New Roman"/>
          <w:sz w:val="18"/>
          <w:szCs w:val="18"/>
          <w:i w:val="1"/>
          <w:iCs w:val="1"/>
          <w:color w:val="auto"/>
        </w:rPr>
        <w:t>.</w:t>
      </w:r>
    </w:p>
    <w:p>
      <w:pPr>
        <w:spacing w:after="0" w:line="25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Amortized Cost of New FDMs by Type of Modification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200"/>
              <w:spacing w:after="0" w:line="148" w:lineRule="exact"/>
              <w:rPr>
                <w:sz w:val="20"/>
                <w:szCs w:val="20"/>
                <w:color w:val="auto"/>
              </w:rPr>
            </w:pPr>
            <w:r>
              <w:rPr>
                <w:rFonts w:ascii="Times New Roman" w:cs="Times New Roman" w:eastAsia="Times New Roman" w:hAnsi="Times New Roman"/>
                <w:sz w:val="15"/>
                <w:szCs w:val="15"/>
                <w:b w:val="1"/>
                <w:bCs w:val="1"/>
                <w:color w:val="auto"/>
              </w:rPr>
              <w:t>Rate</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w w:val="99"/>
              </w:rPr>
              <w:t>Rate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8"/>
              </w:rPr>
              <w:t>Payment</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Reduction,</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 of Total</w:t>
            </w:r>
          </w:p>
        </w:tc>
        <w:tc>
          <w:tcPr>
            <w:tcW w:w="11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FDMs defaulted</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5"/>
                <w:szCs w:val="15"/>
                <w:b w:val="1"/>
                <w:bCs w:val="1"/>
                <w:color w:val="auto"/>
              </w:rPr>
              <w:t>Reduction &amp;</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rPr>
              <w:t>Payment</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5"/>
                <w:szCs w:val="15"/>
                <w:b w:val="1"/>
                <w:bCs w:val="1"/>
                <w:color w:val="auto"/>
              </w:rPr>
              <w:t>within 12</w:t>
            </w:r>
          </w:p>
        </w:tc>
        <w:tc>
          <w:tcPr>
            <w:tcW w:w="0" w:type="dxa"/>
            <w:vAlign w:val="bottom"/>
          </w:tcPr>
          <w:p>
            <w:pPr>
              <w:spacing w:after="0"/>
              <w:rPr>
                <w:sz w:val="1"/>
                <w:szCs w:val="1"/>
                <w:color w:val="auto"/>
              </w:rPr>
            </w:pPr>
          </w:p>
        </w:tc>
      </w:tr>
      <w:tr>
        <w:trPr>
          <w:trHeight w:val="162"/>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Pr>
          <w:p>
            <w:pPr>
              <w:spacing w:after="0"/>
              <w:rPr>
                <w:sz w:val="14"/>
                <w:szCs w:val="14"/>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Extension</w:t>
            </w:r>
          </w:p>
        </w:tc>
        <w:tc>
          <w:tcPr>
            <w:tcW w:w="100" w:type="dxa"/>
            <w:vAlign w:val="bottom"/>
          </w:tcPr>
          <w:p>
            <w:pPr>
              <w:spacing w:after="0"/>
              <w:rPr>
                <w:sz w:val="14"/>
                <w:szCs w:val="14"/>
                <w:color w:val="auto"/>
              </w:rPr>
            </w:pPr>
          </w:p>
        </w:tc>
        <w:tc>
          <w:tcPr>
            <w:tcW w:w="8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Payment</w:t>
            </w:r>
          </w:p>
        </w:tc>
        <w:tc>
          <w:tcPr>
            <w:tcW w:w="140" w:type="dxa"/>
            <w:vAlign w:val="bottom"/>
          </w:tcPr>
          <w:p>
            <w:pPr>
              <w:spacing w:after="0"/>
              <w:rPr>
                <w:sz w:val="14"/>
                <w:szCs w:val="14"/>
                <w:color w:val="auto"/>
              </w:rPr>
            </w:pPr>
          </w:p>
        </w:tc>
        <w:tc>
          <w:tcPr>
            <w:tcW w:w="8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Payment</w:t>
            </w:r>
          </w:p>
        </w:tc>
        <w:tc>
          <w:tcPr>
            <w:tcW w:w="100" w:type="dxa"/>
            <w:vAlign w:val="bottom"/>
          </w:tcPr>
          <w:p>
            <w:pPr>
              <w:spacing w:after="0"/>
              <w:rPr>
                <w:sz w:val="14"/>
                <w:szCs w:val="14"/>
                <w:color w:val="auto"/>
              </w:rPr>
            </w:pPr>
          </w:p>
        </w:tc>
        <w:tc>
          <w:tcPr>
            <w:tcW w:w="8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Rate</w:t>
            </w:r>
          </w:p>
        </w:tc>
        <w:tc>
          <w:tcPr>
            <w:tcW w:w="100" w:type="dxa"/>
            <w:vAlign w:val="bottom"/>
          </w:tcPr>
          <w:p>
            <w:pPr>
              <w:spacing w:after="0"/>
              <w:rPr>
                <w:sz w:val="14"/>
                <w:szCs w:val="14"/>
                <w:color w:val="auto"/>
              </w:rPr>
            </w:pPr>
          </w:p>
        </w:tc>
        <w:tc>
          <w:tcPr>
            <w:tcW w:w="8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5"/>
                <w:szCs w:val="15"/>
                <w:b w:val="1"/>
                <w:bCs w:val="1"/>
                <w:color w:val="auto"/>
                <w:w w:val="98"/>
              </w:rPr>
              <w:t>Delay &amp;</w:t>
            </w:r>
          </w:p>
        </w:tc>
        <w:tc>
          <w:tcPr>
            <w:tcW w:w="100" w:type="dxa"/>
            <w:vAlign w:val="bottom"/>
          </w:tcPr>
          <w:p>
            <w:pPr>
              <w:spacing w:after="0"/>
              <w:rPr>
                <w:sz w:val="14"/>
                <w:szCs w:val="14"/>
                <w:color w:val="auto"/>
              </w:rPr>
            </w:pPr>
          </w:p>
        </w:tc>
        <w:tc>
          <w:tcPr>
            <w:tcW w:w="9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Delay &amp;</w:t>
            </w:r>
          </w:p>
        </w:tc>
        <w:tc>
          <w:tcPr>
            <w:tcW w:w="180" w:type="dxa"/>
            <w:vAlign w:val="bottom"/>
          </w:tcPr>
          <w:p>
            <w:pPr>
              <w:spacing w:after="0"/>
              <w:rPr>
                <w:sz w:val="14"/>
                <w:szCs w:val="14"/>
                <w:color w:val="auto"/>
              </w:rPr>
            </w:pPr>
          </w:p>
        </w:tc>
        <w:tc>
          <w:tcPr>
            <w:tcW w:w="680" w:type="dxa"/>
            <w:vAlign w:val="bottom"/>
            <w:vMerge w:val="restart"/>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20" w:type="dxa"/>
            <w:vAlign w:val="bottom"/>
          </w:tcPr>
          <w:p>
            <w:pPr>
              <w:spacing w:after="0"/>
              <w:rPr>
                <w:sz w:val="14"/>
                <w:szCs w:val="14"/>
                <w:color w:val="auto"/>
              </w:rPr>
            </w:pPr>
          </w:p>
        </w:tc>
        <w:tc>
          <w:tcPr>
            <w:tcW w:w="12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5"/>
                <w:szCs w:val="15"/>
                <w:b w:val="1"/>
                <w:bCs w:val="1"/>
                <w:color w:val="auto"/>
                <w:w w:val="99"/>
              </w:rPr>
              <w:t>Class of</w:t>
            </w:r>
          </w:p>
        </w:tc>
        <w:tc>
          <w:tcPr>
            <w:tcW w:w="120" w:type="dxa"/>
            <w:vAlign w:val="bottom"/>
          </w:tcPr>
          <w:p>
            <w:pPr>
              <w:spacing w:after="0"/>
              <w:rPr>
                <w:sz w:val="14"/>
                <w:szCs w:val="14"/>
                <w:color w:val="auto"/>
              </w:rPr>
            </w:pPr>
          </w:p>
        </w:tc>
        <w:tc>
          <w:tcPr>
            <w:tcW w:w="1020" w:type="dxa"/>
            <w:vAlign w:val="bottom"/>
          </w:tcPr>
          <w:p>
            <w:pPr>
              <w:jc w:val="center"/>
              <w:ind w:right="41"/>
              <w:spacing w:after="0" w:line="162" w:lineRule="exact"/>
              <w:rPr>
                <w:sz w:val="20"/>
                <w:szCs w:val="20"/>
                <w:color w:val="auto"/>
              </w:rPr>
            </w:pPr>
            <w:r>
              <w:rPr>
                <w:rFonts w:ascii="Times New Roman" w:cs="Times New Roman" w:eastAsia="Times New Roman" w:hAnsi="Times New Roman"/>
                <w:sz w:val="15"/>
                <w:szCs w:val="15"/>
                <w:b w:val="1"/>
                <w:bCs w:val="1"/>
                <w:color w:val="auto"/>
              </w:rPr>
              <w:t>months of</w:t>
            </w:r>
          </w:p>
        </w:tc>
        <w:tc>
          <w:tcPr>
            <w:tcW w:w="0" w:type="dxa"/>
            <w:vAlign w:val="bottom"/>
          </w:tcPr>
          <w:p>
            <w:pPr>
              <w:spacing w:after="0"/>
              <w:rPr>
                <w:sz w:val="1"/>
                <w:szCs w:val="1"/>
                <w:color w:val="auto"/>
              </w:rPr>
            </w:pPr>
          </w:p>
        </w:tc>
      </w:tr>
      <w:tr>
        <w:trPr>
          <w:trHeight w:val="203"/>
        </w:trPr>
        <w:tc>
          <w:tcPr>
            <w:tcW w:w="2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Delay</w:t>
            </w:r>
          </w:p>
        </w:tc>
        <w:tc>
          <w:tcPr>
            <w:tcW w:w="14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Delay</w:t>
            </w:r>
          </w:p>
        </w:tc>
        <w:tc>
          <w:tcPr>
            <w:tcW w:w="10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Reduction</w:t>
            </w:r>
          </w:p>
        </w:tc>
        <w:tc>
          <w:tcPr>
            <w:tcW w:w="100" w:type="dxa"/>
            <w:vAlign w:val="bottom"/>
          </w:tcPr>
          <w:p>
            <w:pPr>
              <w:spacing w:after="0"/>
              <w:rPr>
                <w:sz w:val="17"/>
                <w:szCs w:val="17"/>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Extension</w:t>
            </w: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Extension</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Receivable</w:t>
            </w:r>
          </w:p>
        </w:tc>
        <w:tc>
          <w:tcPr>
            <w:tcW w:w="120" w:type="dxa"/>
            <w:vAlign w:val="bottom"/>
          </w:tcPr>
          <w:p>
            <w:pPr>
              <w:spacing w:after="0"/>
              <w:rPr>
                <w:sz w:val="17"/>
                <w:szCs w:val="17"/>
                <w:color w:val="auto"/>
              </w:rPr>
            </w:pPr>
          </w:p>
        </w:tc>
        <w:tc>
          <w:tcPr>
            <w:tcW w:w="1020" w:type="dxa"/>
            <w:vAlign w:val="bottom"/>
          </w:tcPr>
          <w:p>
            <w:pPr>
              <w:jc w:val="center"/>
              <w:ind w:right="41"/>
              <w:spacing w:after="0"/>
              <w:rPr>
                <w:sz w:val="20"/>
                <w:szCs w:val="20"/>
                <w:color w:val="auto"/>
              </w:rPr>
            </w:pPr>
            <w:r>
              <w:rPr>
                <w:rFonts w:ascii="Times New Roman" w:cs="Times New Roman" w:eastAsia="Times New Roman" w:hAnsi="Times New Roman"/>
                <w:sz w:val="15"/>
                <w:szCs w:val="15"/>
                <w:b w:val="1"/>
                <w:bCs w:val="1"/>
                <w:color w:val="auto"/>
              </w:rPr>
              <w:t>modification</w:t>
            </w: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0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w:t>
            </w:r>
          </w:p>
        </w:tc>
        <w:tc>
          <w:tcPr>
            <w:tcW w:w="122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6,276</w:t>
            </w:r>
          </w:p>
        </w:tc>
        <w:tc>
          <w:tcPr>
            <w:tcW w:w="122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0" w:type="dxa"/>
            <w:vAlign w:val="bottom"/>
          </w:tcPr>
          <w:p>
            <w:pPr>
              <w:spacing w:after="0"/>
              <w:rPr>
                <w:sz w:val="1"/>
                <w:szCs w:val="1"/>
                <w:color w:val="auto"/>
              </w:rPr>
            </w:pPr>
          </w:p>
        </w:tc>
      </w:tr>
      <w:tr>
        <w:trPr>
          <w:trHeight w:val="213"/>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0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w:t>
            </w:r>
          </w:p>
        </w:tc>
        <w:tc>
          <w:tcPr>
            <w:tcW w:w="122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3,963</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6,276</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12,650</w:t>
            </w:r>
          </w:p>
        </w:tc>
        <w:tc>
          <w:tcPr>
            <w:tcW w:w="122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3840" w:type="dxa"/>
            <w:vAlign w:val="bottom"/>
            <w:tcBorders>
              <w:top w:val="single" w:sz="8" w:color="auto"/>
              <w:bottom w:val="single" w:sz="8" w:color="auto"/>
            </w:tcBorders>
            <w:gridSpan w:val="12"/>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 Cost of New FDMs by Type of Modification</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Payment</w:t>
            </w:r>
          </w:p>
        </w:tc>
        <w:tc>
          <w:tcPr>
            <w:tcW w:w="120" w:type="dxa"/>
            <w:vAlign w:val="bottom"/>
          </w:tcPr>
          <w:p>
            <w:pPr>
              <w:spacing w:after="0"/>
              <w:rPr>
                <w:sz w:val="13"/>
                <w:szCs w:val="13"/>
                <w:color w:val="auto"/>
              </w:rPr>
            </w:pPr>
          </w:p>
        </w:tc>
        <w:tc>
          <w:tcPr>
            <w:tcW w:w="7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Rate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Rate Reduction</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6"/>
                <w:szCs w:val="16"/>
                <w:b w:val="1"/>
                <w:bCs w:val="1"/>
                <w:color w:val="auto"/>
                <w:w w:val="99"/>
              </w:rPr>
              <w:t>Payment</w:t>
            </w:r>
          </w:p>
        </w:tc>
        <w:tc>
          <w:tcPr>
            <w:tcW w:w="120" w:type="dxa"/>
            <w:vAlign w:val="bottom"/>
          </w:tcPr>
          <w:p>
            <w:pPr>
              <w:spacing w:after="0"/>
              <w:rPr>
                <w:sz w:val="13"/>
                <w:szCs w:val="13"/>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7"/>
              </w:rPr>
              <w:t>% of Total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center"/>
              <w:ind w:right="59"/>
              <w:spacing w:after="0" w:line="157" w:lineRule="exact"/>
              <w:rPr>
                <w:sz w:val="20"/>
                <w:szCs w:val="20"/>
                <w:color w:val="auto"/>
              </w:rPr>
            </w:pPr>
            <w:r>
              <w:rPr>
                <w:rFonts w:ascii="Times New Roman" w:cs="Times New Roman" w:eastAsia="Times New Roman" w:hAnsi="Times New Roman"/>
                <w:sz w:val="16"/>
                <w:szCs w:val="16"/>
                <w:b w:val="1"/>
                <w:bCs w:val="1"/>
                <w:color w:val="auto"/>
              </w:rPr>
              <w:t>FDMs defaulted</w:t>
            </w:r>
          </w:p>
        </w:tc>
        <w:tc>
          <w:tcPr>
            <w:tcW w:w="0" w:type="dxa"/>
            <w:vAlign w:val="bottom"/>
          </w:tcPr>
          <w:p>
            <w:pPr>
              <w:spacing w:after="0"/>
              <w:rPr>
                <w:sz w:val="1"/>
                <w:szCs w:val="1"/>
                <w:color w:val="auto"/>
              </w:rPr>
            </w:pPr>
          </w:p>
        </w:tc>
      </w:tr>
      <w:tr>
        <w:trPr>
          <w:trHeight w:val="162"/>
        </w:trPr>
        <w:tc>
          <w:tcPr>
            <w:tcW w:w="2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Delay &amp;</w:t>
            </w: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00" w:type="dxa"/>
            <w:vAlign w:val="bottom"/>
          </w:tcPr>
          <w:p>
            <w:pPr>
              <w:spacing w:after="0"/>
              <w:rPr>
                <w:sz w:val="14"/>
                <w:szCs w:val="14"/>
                <w:color w:val="auto"/>
              </w:rPr>
            </w:pPr>
          </w:p>
        </w:tc>
        <w:tc>
          <w:tcPr>
            <w:tcW w:w="12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Class of</w:t>
            </w:r>
          </w:p>
        </w:tc>
        <w:tc>
          <w:tcPr>
            <w:tcW w:w="15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within 12 months of</w:t>
            </w:r>
          </w:p>
        </w:tc>
        <w:tc>
          <w:tcPr>
            <w:tcW w:w="0" w:type="dxa"/>
            <w:vAlign w:val="bottom"/>
          </w:tcPr>
          <w:p>
            <w:pPr>
              <w:spacing w:after="0"/>
              <w:rPr>
                <w:sz w:val="1"/>
                <w:szCs w:val="1"/>
                <w:color w:val="auto"/>
              </w:rPr>
            </w:pPr>
          </w:p>
        </w:tc>
      </w:tr>
      <w:tr>
        <w:trPr>
          <w:trHeight w:val="216"/>
        </w:trPr>
        <w:tc>
          <w:tcPr>
            <w:tcW w:w="2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Delay</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Reduction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&amp; Extension</w:t>
            </w:r>
          </w:p>
        </w:tc>
        <w:tc>
          <w:tcPr>
            <w:tcW w:w="14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Extension</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Forgiveness</w:t>
            </w:r>
          </w:p>
        </w:tc>
        <w:tc>
          <w:tcPr>
            <w:tcW w:w="2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160" w:type="dxa"/>
            <w:vAlign w:val="bottom"/>
          </w:tcPr>
          <w:p>
            <w:pPr>
              <w:spacing w:after="0"/>
              <w:rPr>
                <w:sz w:val="18"/>
                <w:szCs w:val="18"/>
                <w:color w:val="auto"/>
              </w:rPr>
            </w:pPr>
          </w:p>
        </w:tc>
        <w:tc>
          <w:tcPr>
            <w:tcW w:w="13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modification</w:t>
            </w:r>
          </w:p>
        </w:tc>
        <w:tc>
          <w:tcPr>
            <w:tcW w:w="0" w:type="dxa"/>
            <w:vAlign w:val="bottom"/>
          </w:tcPr>
          <w:p>
            <w:pPr>
              <w:spacing w:after="0"/>
              <w:rPr>
                <w:sz w:val="1"/>
                <w:szCs w:val="1"/>
                <w:color w:val="auto"/>
              </w:rPr>
            </w:pPr>
          </w:p>
        </w:tc>
      </w:tr>
      <w:tr>
        <w:trPr>
          <w:trHeight w:val="209"/>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4,917</w:t>
            </w:r>
          </w:p>
        </w:tc>
        <w:tc>
          <w:tcPr>
            <w:tcW w:w="12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2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1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8,835</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aging category and accrual status of loans modified under the terms of a FDM during the previous 12 months on an amortized cost basis as of the dates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6"/>
                <w:szCs w:val="16"/>
                <w:b w:val="1"/>
                <w:bCs w:val="1"/>
                <w:color w:val="auto"/>
              </w:rPr>
              <w:t>Accruing</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9"/>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Loans Past Due</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1"/>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30 - 59 Days</w:t>
            </w: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60 - 89 Days</w:t>
            </w:r>
          </w:p>
        </w:tc>
        <w:tc>
          <w:tcPr>
            <w:tcW w:w="18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&gt; 90 Days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Nonaccrual</w:t>
            </w:r>
          </w:p>
        </w:tc>
        <w:tc>
          <w:tcPr>
            <w:tcW w:w="26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8"/>
        </w:trPr>
        <w:tc>
          <w:tcPr>
            <w:tcW w:w="38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2026</w:t>
            </w: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07"/>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3,834</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14,689</w:t>
            </w: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5,626</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09"/>
        </w:trPr>
        <w:tc>
          <w:tcPr>
            <w:tcW w:w="38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18,432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6,595</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25,551</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3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4"/>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2025</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r>
      <w:tr>
        <w:trPr>
          <w:trHeight w:val="211"/>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20,393</w:t>
            </w: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4,742</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10,701</w:t>
            </w: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w:t>
            </w:r>
          </w:p>
        </w:tc>
      </w:tr>
      <w:tr>
        <w:trPr>
          <w:trHeight w:val="21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0"/>
        </w:trPr>
        <w:tc>
          <w:tcPr>
            <w:tcW w:w="38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30,598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12,114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43,823</w:t>
            </w:r>
          </w:p>
        </w:tc>
      </w:tr>
      <w:tr>
        <w:trPr>
          <w:trHeight w:val="20"/>
        </w:trPr>
        <w:tc>
          <w:tcPr>
            <w:tcW w:w="3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Allowance for Credit Losses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ACL for loans represents management’s estimate of life of loan credit losses in the portfolio as of the end of the period. The ACL related to unfunded commitments is included in other liabilities in the consolidated balance sheet.</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all periods presented, United used a one-year reasonable and supportable forecast period. Expected credit losses were estimated using a regression model for each segment based on historical data from peer banks combined with a baseline economic forecast to predict the change in credit losses. These estimates were then combined with a starting value that was based on United’s recent charge-off experience to produce an expected default rate, with the results subject to a floor.</w:t>
      </w:r>
    </w:p>
    <w:p>
      <w:pPr>
        <w:spacing w:after="0" w:line="19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At March 31, 2026, the baseline economic forecast had improved relative to the forecast at December 31, 2025, particularly in the expected unemployment rate, which is a key assumption in our ACL model. The March forecast came out shortly after the Iran conflict began and predicted a short duration to the conflict. At March 31, 2026, United applied qualitative adjustments to increase the model’s calculated ACL for the income producing CRE, commercial &amp; industrial, multifamily, commercial construction, residential mortgage and home equity portfolios. These qualitative adjustments were applied to better reflect management’s expectations of future performance and maintain directional consistency with internal credit measures, as well as the possibility of increased uncertainty in the economic forecast due to geopolitical risks and any resulting downstream impacts.</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periods beyond the reasonable and supportable forecast period of one year, United reverted to historical credit loss information on a straight line basis over two years. For most collateral types, United reverted to through-the-cycle average default rates using peer data. For loans secured by residential mortgages, the peer data was adjusted for changes in lending practices designed to mitigate the magnitude of losses observed during the 2008 financial crisis.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balance and activity in the ACL by portfolio segment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14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Charge-Offs</w:t>
            </w:r>
          </w:p>
        </w:tc>
        <w:tc>
          <w:tcPr>
            <w:tcW w:w="160" w:type="dxa"/>
            <w:vAlign w:val="bottom"/>
          </w:tcPr>
          <w:p>
            <w:pPr>
              <w:spacing w:after="0"/>
              <w:rPr>
                <w:sz w:val="13"/>
                <w:szCs w:val="13"/>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200" w:type="dxa"/>
            <w:vAlign w:val="bottom"/>
          </w:tcPr>
          <w:p>
            <w:pPr>
              <w:spacing w:after="0"/>
              <w:rPr>
                <w:sz w:val="13"/>
                <w:szCs w:val="13"/>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0" w:type="dxa"/>
            <w:vAlign w:val="bottom"/>
          </w:tcPr>
          <w:p>
            <w:pPr>
              <w:spacing w:after="0"/>
              <w:rPr>
                <w:sz w:val="1"/>
                <w:szCs w:val="1"/>
                <w:color w:val="auto"/>
              </w:rPr>
            </w:pPr>
          </w:p>
        </w:tc>
      </w:tr>
      <w:tr>
        <w:trPr>
          <w:trHeight w:val="214"/>
        </w:trPr>
        <w:tc>
          <w:tcPr>
            <w:tcW w:w="4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25,127</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41,358</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43,696</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 &amp; land</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10,198</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42,862</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29,333</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12,769</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construction &amp; land</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0" w:type="dxa"/>
            <w:vAlign w:val="bottom"/>
          </w:tcPr>
          <w:p>
            <w:pPr>
              <w:spacing w:after="0"/>
              <w:rPr>
                <w:sz w:val="1"/>
                <w:szCs w:val="1"/>
                <w:color w:val="auto"/>
              </w:rPr>
            </w:pPr>
          </w:p>
        </w:tc>
      </w:tr>
      <w:tr>
        <w:trPr>
          <w:trHeight w:val="207"/>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ACL - loans</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208,396</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ACL - unfunded commitments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17,600</w:t>
            </w:r>
          </w:p>
        </w:tc>
        <w:tc>
          <w:tcPr>
            <w:tcW w:w="0" w:type="dxa"/>
            <w:vAlign w:val="bottom"/>
          </w:tcPr>
          <w:p>
            <w:pPr>
              <w:spacing w:after="0"/>
              <w:rPr>
                <w:sz w:val="1"/>
                <w:szCs w:val="1"/>
                <w:color w:val="auto"/>
              </w:rPr>
            </w:pPr>
          </w:p>
        </w:tc>
      </w:tr>
      <w:tr>
        <w:trPr>
          <w:trHeight w:val="212"/>
        </w:trPr>
        <w:tc>
          <w:tcPr>
            <w:tcW w:w="4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225,520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(12,900)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10,853</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225,996</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3"/>
                <w:szCs w:val="13"/>
                <w:color w:val="auto"/>
              </w:rPr>
            </w:pPr>
          </w:p>
        </w:tc>
        <w:tc>
          <w:tcPr>
            <w:tcW w:w="11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Beginning</w:t>
            </w:r>
          </w:p>
        </w:tc>
        <w:tc>
          <w:tcPr>
            <w:tcW w:w="14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Charge-Offs</w:t>
            </w:r>
          </w:p>
        </w:tc>
        <w:tc>
          <w:tcPr>
            <w:tcW w:w="160" w:type="dxa"/>
            <w:vAlign w:val="bottom"/>
          </w:tcPr>
          <w:p>
            <w:pPr>
              <w:spacing w:after="0"/>
              <w:rPr>
                <w:sz w:val="13"/>
                <w:szCs w:val="13"/>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Recoveries</w:t>
            </w:r>
          </w:p>
        </w:tc>
        <w:tc>
          <w:tcPr>
            <w:tcW w:w="200" w:type="dxa"/>
            <w:vAlign w:val="bottom"/>
          </w:tcPr>
          <w:p>
            <w:pPr>
              <w:spacing w:after="0"/>
              <w:rPr>
                <w:sz w:val="13"/>
                <w:szCs w:val="13"/>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220" w:type="dxa"/>
            <w:vAlign w:val="bottom"/>
          </w:tcPr>
          <w:p>
            <w:pPr>
              <w:spacing w:after="0"/>
              <w:rPr>
                <w:sz w:val="13"/>
                <w:szCs w:val="13"/>
                <w:color w:val="auto"/>
              </w:rPr>
            </w:pPr>
          </w:p>
        </w:tc>
        <w:tc>
          <w:tcPr>
            <w:tcW w:w="1000" w:type="dxa"/>
            <w:vAlign w:val="bottom"/>
          </w:tcPr>
          <w:p>
            <w:pPr>
              <w:jc w:val="right"/>
              <w:ind w:right="279"/>
              <w:spacing w:after="0" w:line="158" w:lineRule="exact"/>
              <w:rPr>
                <w:sz w:val="20"/>
                <w:szCs w:val="20"/>
                <w:color w:val="auto"/>
              </w:rPr>
            </w:pPr>
            <w:r>
              <w:rPr>
                <w:rFonts w:ascii="Times New Roman" w:cs="Times New Roman" w:eastAsia="Times New Roman" w:hAnsi="Times New Roman"/>
                <w:sz w:val="16"/>
                <w:szCs w:val="16"/>
                <w:b w:val="1"/>
                <w:bCs w:val="1"/>
                <w:color w:val="auto"/>
              </w:rPr>
              <w:t>Ending</w:t>
            </w:r>
          </w:p>
        </w:tc>
        <w:tc>
          <w:tcPr>
            <w:tcW w:w="0" w:type="dxa"/>
            <w:vAlign w:val="bottom"/>
          </w:tcPr>
          <w:p>
            <w:pPr>
              <w:spacing w:after="0"/>
              <w:rPr>
                <w:sz w:val="1"/>
                <w:szCs w:val="1"/>
                <w:color w:val="auto"/>
              </w:rPr>
            </w:pPr>
          </w:p>
        </w:tc>
      </w:tr>
      <w:tr>
        <w:trPr>
          <w:trHeight w:val="214"/>
        </w:trPr>
        <w:tc>
          <w:tcPr>
            <w:tcW w:w="4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0" w:type="dxa"/>
            <w:vAlign w:val="bottom"/>
          </w:tcPr>
          <w:p>
            <w:pPr>
              <w:spacing w:after="0"/>
              <w:rPr>
                <w:sz w:val="1"/>
                <w:szCs w:val="1"/>
                <w:color w:val="auto"/>
              </w:rPr>
            </w:pPr>
          </w:p>
        </w:tc>
      </w:tr>
      <w:tr>
        <w:trPr>
          <w:trHeight w:val="211"/>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21,505</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45,817</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37,704</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 &amp; land</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16,725</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47,600</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29,679</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10,297</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 construction &amp; land</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Manufactured housing</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ACL - loans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211,974</w:t>
            </w:r>
          </w:p>
        </w:tc>
        <w:tc>
          <w:tcPr>
            <w:tcW w:w="0" w:type="dxa"/>
            <w:vAlign w:val="bottom"/>
          </w:tcPr>
          <w:p>
            <w:pPr>
              <w:spacing w:after="0"/>
              <w:rPr>
                <w:sz w:val="1"/>
                <w:szCs w:val="1"/>
                <w:color w:val="auto"/>
              </w:rPr>
            </w:pPr>
          </w:p>
        </w:tc>
      </w:tr>
      <w:tr>
        <w:trPr>
          <w:trHeight w:val="213"/>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ACL - unfunded commitments</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11,227</w:t>
            </w:r>
          </w:p>
        </w:tc>
        <w:tc>
          <w:tcPr>
            <w:tcW w:w="0" w:type="dxa"/>
            <w:vAlign w:val="bottom"/>
          </w:tcPr>
          <w:p>
            <w:pPr>
              <w:spacing w:after="0"/>
              <w:rPr>
                <w:sz w:val="1"/>
                <w:szCs w:val="1"/>
                <w:color w:val="auto"/>
              </w:rPr>
            </w:pPr>
          </w:p>
        </w:tc>
      </w:tr>
      <w:tr>
        <w:trPr>
          <w:trHeight w:val="237"/>
        </w:trPr>
        <w:tc>
          <w:tcPr>
            <w:tcW w:w="47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ACL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223,201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Derivatives and Hedging Activities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presents the fair value of derivative financial instruments, which are included in other assets and other liabilities on the consolidated balance sheet, as of the dates indicated.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84"/>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0" w:type="dxa"/>
            <w:vAlign w:val="bottom"/>
          </w:tcPr>
          <w:p>
            <w:pPr>
              <w:spacing w:after="0"/>
              <w:rPr>
                <w:sz w:val="1"/>
                <w:szCs w:val="1"/>
                <w:color w:val="auto"/>
              </w:rPr>
            </w:pPr>
          </w:p>
        </w:tc>
      </w:tr>
      <w:tr>
        <w:trPr>
          <w:trHeight w:val="214"/>
        </w:trPr>
        <w:tc>
          <w:tcPr>
            <w:tcW w:w="4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4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Asset</w:t>
            </w:r>
          </w:p>
        </w:tc>
        <w:tc>
          <w:tcPr>
            <w:tcW w:w="14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198"/>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Derivatives designated as hedging instruments:</w:t>
            </w: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flow hedge of subordinated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flow hedges of trust preferred securities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Fair value hedges of AFS debt securities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776,521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785,009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Fair value hedges of loans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40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1,571,521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2,805,009</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6,288</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4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Derivatives not designated as hedging instruments: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Customer derivative positions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1,607,598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1,541,391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32,841</w:t>
            </w:r>
          </w:p>
        </w:tc>
        <w:tc>
          <w:tcPr>
            <w:tcW w:w="0" w:type="dxa"/>
            <w:vAlign w:val="bottom"/>
          </w:tcPr>
          <w:p>
            <w:pPr>
              <w:spacing w:after="0"/>
              <w:rPr>
                <w:sz w:val="1"/>
                <w:szCs w:val="1"/>
                <w:color w:val="auto"/>
              </w:rPr>
            </w:pP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Dealer offsets to customer derivative positions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1,607,598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1,541,391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11,441</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Risk participations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103,668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Mortgage banking - loan commitments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Mortgage banking - forward sales commitment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94,219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1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Bifurcated embedded derivatives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Dealer offsets to bifurcated embedded derivatives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8,382</w:t>
            </w:r>
          </w:p>
        </w:tc>
        <w:tc>
          <w:tcPr>
            <w:tcW w:w="0" w:type="dxa"/>
            <w:vAlign w:val="bottom"/>
          </w:tcPr>
          <w:p>
            <w:pPr>
              <w:spacing w:after="0"/>
              <w:rPr>
                <w:sz w:val="1"/>
                <w:szCs w:val="1"/>
                <w:color w:val="auto"/>
              </w:rPr>
            </w:pPr>
          </w:p>
        </w:tc>
      </w:tr>
      <w:tr>
        <w:trPr>
          <w:trHeight w:val="207"/>
        </w:trPr>
        <w:tc>
          <w:tcPr>
            <w:tcW w:w="40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3,669,992</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26,890</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49,475</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3,425,664</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29,025</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52,997</w:t>
            </w:r>
          </w:p>
        </w:tc>
        <w:tc>
          <w:tcPr>
            <w:tcW w:w="0" w:type="dxa"/>
            <w:vAlign w:val="bottom"/>
          </w:tcPr>
          <w:p>
            <w:pPr>
              <w:spacing w:after="0"/>
              <w:rPr>
                <w:sz w:val="1"/>
                <w:szCs w:val="1"/>
                <w:color w:val="auto"/>
              </w:rPr>
            </w:pPr>
          </w:p>
        </w:tc>
      </w:tr>
      <w:tr>
        <w:trPr>
          <w:trHeight w:val="199"/>
        </w:trPr>
        <w:tc>
          <w:tcPr>
            <w:tcW w:w="4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derivatives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5,241,513</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49,475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6,230,673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52,997</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gross derivative instruments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52,997</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Amounts subject to master netting agreements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(7,917)</w:t>
            </w:r>
          </w:p>
        </w:tc>
        <w:tc>
          <w:tcPr>
            <w:tcW w:w="0" w:type="dxa"/>
            <w:vAlign w:val="bottom"/>
          </w:tcPr>
          <w:p>
            <w:pPr>
              <w:spacing w:after="0"/>
              <w:rPr>
                <w:sz w:val="1"/>
                <w:szCs w:val="1"/>
                <w:color w:val="auto"/>
              </w:rPr>
            </w:pPr>
          </w:p>
        </w:tc>
      </w:tr>
      <w:tr>
        <w:trPr>
          <w:trHeight w:val="213"/>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Cash collateral received/pledged</w:t>
            </w: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(12,156)</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32,924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clears certain derivatives centrally through the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Hedging Derivatives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Hedges of Interest Rate Risk</w:t>
      </w:r>
    </w:p>
    <w:p>
      <w:pPr>
        <w:spacing w:after="0" w:line="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During the periods covered by this Report, United utilized interest rate caps and swaps to hedge the variability of cash flows due to changes in interest rates on certain of its variable-rate subordinated debt and trust preferred securities. Gains and losses related to changes in fair value of the hedges are reclassified into earnings in the periods the hedged forecasted transactions occur. Over the next twelve months, United expects to reclassify $632,000 of gains from AOCI into earnings related to its interest rate swap agreements.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2026, United terminated the interest rate cap that had been designated as a hedge of its subordinated debt, after providing redemption notice on the subordinated debt during the period, which rendered the future cash flows no longer probable of occurring.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Hedges of Interest Rate Risk</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United uses interest rate derivatives to manage its exposure to changes in fair value attributable to changes in interest rates on certain of its fixed-rate financial instruments.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effect of derivatives in hedging relationships, all of which are interest rate contracts, on earnings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2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Affected Income Statement Line Item</w:t>
            </w: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960" w:type="dxa"/>
            <w:vAlign w:val="bottom"/>
            <w:gridSpan w:val="2"/>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vMerge w:val="restart"/>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vMerge w:val="restart"/>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line="20" w:lineRule="exact"/>
              <w:rPr>
                <w:sz w:val="1"/>
                <w:szCs w:val="1"/>
                <w:color w:val="auto"/>
              </w:rPr>
            </w:pPr>
          </w:p>
        </w:tc>
      </w:tr>
      <w:tr>
        <w:trPr>
          <w:trHeight w:val="212"/>
        </w:trPr>
        <w:tc>
          <w:tcPr>
            <w:tcW w:w="5020" w:type="dxa"/>
            <w:vAlign w:val="bottom"/>
            <w:vMerge w:val="continue"/>
          </w:tcPr>
          <w:p>
            <w:pPr>
              <w:spacing w:after="0"/>
              <w:rPr>
                <w:sz w:val="18"/>
                <w:szCs w:val="18"/>
                <w:color w:val="auto"/>
              </w:rPr>
            </w:pPr>
          </w:p>
        </w:tc>
        <w:tc>
          <w:tcPr>
            <w:tcW w:w="29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Increase/(Decrease) to Earnings</w:t>
            </w: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hedges:</w:t>
            </w:r>
          </w:p>
        </w:tc>
        <w:tc>
          <w:tcPr>
            <w:tcW w:w="2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AFS securities:</w:t>
            </w:r>
          </w:p>
        </w:tc>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Amounts related to interest settlements on derivatives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Gain (loss) recognized on derivative</w:t>
            </w:r>
          </w:p>
        </w:tc>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(8,304)</w:t>
            </w: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(Loss) gain recognized on hedged items</w:t>
            </w:r>
          </w:p>
        </w:tc>
        <w:tc>
          <w:tcPr>
            <w:tcW w:w="2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8,407</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 recognized on AFS securities fair value hedges</w:t>
            </w: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revenue - securities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20" w:type="dxa"/>
            <w:vAlign w:val="bottom"/>
            <w:vMerge w:val="continue"/>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Amounts related to interest settlements on derivatives</w:t>
            </w:r>
          </w:p>
        </w:tc>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0" w:type="dxa"/>
            <w:vAlign w:val="bottom"/>
          </w:tcPr>
          <w:p>
            <w:pPr>
              <w:spacing w:after="0"/>
              <w:rPr>
                <w:sz w:val="1"/>
                <w:szCs w:val="1"/>
                <w:color w:val="auto"/>
              </w:rPr>
            </w:pPr>
          </w:p>
        </w:tc>
      </w:tr>
      <w:tr>
        <w:trPr>
          <w:trHeight w:val="213"/>
        </w:trPr>
        <w:tc>
          <w:tcPr>
            <w:tcW w:w="5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(loss) recognized on derivatives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gain recognized on hedged items</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0" w:type="dxa"/>
            <w:vAlign w:val="bottom"/>
          </w:tcPr>
          <w:p>
            <w:pPr>
              <w:spacing w:after="0"/>
              <w:rPr>
                <w:sz w:val="1"/>
                <w:szCs w:val="1"/>
                <w:color w:val="auto"/>
              </w:rPr>
            </w:pPr>
          </w:p>
        </w:tc>
      </w:tr>
      <w:tr>
        <w:trPr>
          <w:trHeight w:val="212"/>
        </w:trPr>
        <w:tc>
          <w:tcPr>
            <w:tcW w:w="5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 recognized on loan fair value hedges</w:t>
            </w: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revenue - loans, including fees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Amounts related to interest settlements on derivatives </w:t>
            </w:r>
            <w:r>
              <w:rPr>
                <w:rFonts w:ascii="Times New Roman" w:cs="Times New Roman" w:eastAsia="Times New Roman" w:hAnsi="Times New Roman"/>
                <w:sz w:val="21"/>
                <w:szCs w:val="21"/>
                <w:color w:val="auto"/>
                <w:vertAlign w:val="superscript"/>
              </w:rPr>
              <w:t>(1)</w:t>
            </w:r>
          </w:p>
        </w:tc>
        <w:tc>
          <w:tcPr>
            <w:tcW w:w="2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expense- long term debt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0" w:type="dxa"/>
            <w:vAlign w:val="bottom"/>
          </w:tcPr>
          <w:p>
            <w:pPr>
              <w:spacing w:after="0"/>
              <w:rPr>
                <w:sz w:val="1"/>
                <w:szCs w:val="1"/>
                <w:color w:val="auto"/>
              </w:rPr>
            </w:pPr>
          </w:p>
        </w:tc>
      </w:tr>
      <w:tr>
        <w:trPr>
          <w:trHeight w:val="21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Gain on termination of hedge of subordinated debt</w:t>
            </w:r>
          </w:p>
        </w:tc>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recognized on cash flow hedges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5,968</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firstLine="37"/>
        <w:spacing w:after="0" w:line="254" w:lineRule="auto"/>
        <w:tabs>
          <w:tab w:leader="none" w:pos="20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Includes premium amortization expense excluded from the assessment of hedge effectiveness of $97,000 and $116,000 for the three months ended March 31, 2026 and 2025, respectively.</w:t>
      </w:r>
    </w:p>
    <w:p>
      <w:pPr>
        <w:spacing w:after="0" w:line="2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presents the carrying amount of hedged items and cumulative fair value hedging basis adjustments for the periods presented. All fair value hedges of AFS debt securities and loans at March 31, 2026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8"/>
          <w:szCs w:val="18"/>
          <w:color w:val="auto"/>
        </w:rPr>
        <w:t xml:space="preserve"> December 31, 2025 were designated under the portfolio layer method.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52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Hedge Accounting</w:t>
            </w:r>
          </w:p>
        </w:tc>
        <w:tc>
          <w:tcPr>
            <w:tcW w:w="100" w:type="dxa"/>
            <w:vAlign w:val="bottom"/>
          </w:tcPr>
          <w:p>
            <w:pPr>
              <w:spacing w:after="0"/>
              <w:rPr>
                <w:sz w:val="13"/>
                <w:szCs w:val="13"/>
                <w:color w:val="auto"/>
              </w:rPr>
            </w:pPr>
          </w:p>
        </w:tc>
        <w:tc>
          <w:tcPr>
            <w:tcW w:w="132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Hedged Portfolio</w:t>
            </w:r>
          </w:p>
        </w:tc>
        <w:tc>
          <w:tcPr>
            <w:tcW w:w="120" w:type="dxa"/>
            <w:vAlign w:val="bottom"/>
          </w:tcPr>
          <w:p>
            <w:pPr>
              <w:spacing w:after="0"/>
              <w:rPr>
                <w:sz w:val="13"/>
                <w:szCs w:val="13"/>
                <w:color w:val="auto"/>
              </w:rPr>
            </w:pPr>
          </w:p>
        </w:tc>
        <w:tc>
          <w:tcPr>
            <w:tcW w:w="15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540" w:type="dxa"/>
            <w:vAlign w:val="bottom"/>
            <w:gridSpan w:val="3"/>
          </w:tcPr>
          <w:p>
            <w:pPr>
              <w:jc w:val="right"/>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Hedge Accounting</w:t>
            </w:r>
          </w:p>
        </w:tc>
        <w:tc>
          <w:tcPr>
            <w:tcW w:w="120" w:type="dxa"/>
            <w:vAlign w:val="bottom"/>
          </w:tcPr>
          <w:p>
            <w:pPr>
              <w:spacing w:after="0"/>
              <w:rPr>
                <w:sz w:val="13"/>
                <w:szCs w:val="13"/>
                <w:color w:val="auto"/>
              </w:rPr>
            </w:pPr>
          </w:p>
        </w:tc>
        <w:tc>
          <w:tcPr>
            <w:tcW w:w="1320" w:type="dxa"/>
            <w:vAlign w:val="bottom"/>
          </w:tcPr>
          <w:p>
            <w:pPr>
              <w:jc w:val="right"/>
              <w:ind w:right="39"/>
              <w:spacing w:after="0" w:line="158" w:lineRule="exact"/>
              <w:rPr>
                <w:sz w:val="20"/>
                <w:szCs w:val="20"/>
                <w:color w:val="auto"/>
              </w:rPr>
            </w:pPr>
            <w:r>
              <w:rPr>
                <w:rFonts w:ascii="Times New Roman" w:cs="Times New Roman" w:eastAsia="Times New Roman" w:hAnsi="Times New Roman"/>
                <w:sz w:val="16"/>
                <w:szCs w:val="16"/>
                <w:b w:val="1"/>
                <w:bCs w:val="1"/>
                <w:color w:val="auto"/>
              </w:rPr>
              <w:t>Hedged Portfolio</w:t>
            </w:r>
          </w:p>
        </w:tc>
        <w:tc>
          <w:tcPr>
            <w:tcW w:w="0" w:type="dxa"/>
            <w:vAlign w:val="bottom"/>
          </w:tcPr>
          <w:p>
            <w:pPr>
              <w:spacing w:after="0"/>
              <w:rPr>
                <w:sz w:val="1"/>
                <w:szCs w:val="1"/>
                <w:color w:val="auto"/>
              </w:rPr>
            </w:pPr>
          </w:p>
        </w:tc>
      </w:tr>
      <w:tr>
        <w:trPr>
          <w:trHeight w:val="214"/>
        </w:trPr>
        <w:tc>
          <w:tcPr>
            <w:tcW w:w="2120" w:type="dxa"/>
            <w:vAlign w:val="bottom"/>
            <w:gridSpan w:val="2"/>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Basis Adjustment</w:t>
            </w: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Layer</w:t>
            </w:r>
          </w:p>
        </w:tc>
        <w:tc>
          <w:tcPr>
            <w:tcW w:w="15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Basis Adjustment</w:t>
            </w:r>
          </w:p>
        </w:tc>
        <w:tc>
          <w:tcPr>
            <w:tcW w:w="120" w:type="dxa"/>
            <w:vAlign w:val="bottom"/>
          </w:tcPr>
          <w:p>
            <w:pPr>
              <w:spacing w:after="0"/>
              <w:rPr>
                <w:sz w:val="18"/>
                <w:szCs w:val="18"/>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Layer</w:t>
            </w:r>
          </w:p>
        </w:tc>
        <w:tc>
          <w:tcPr>
            <w:tcW w:w="0" w:type="dxa"/>
            <w:vAlign w:val="bottom"/>
          </w:tcPr>
          <w:p>
            <w:pPr>
              <w:spacing w:after="0"/>
              <w:rPr>
                <w:sz w:val="1"/>
                <w:szCs w:val="1"/>
                <w:color w:val="auto"/>
              </w:rPr>
            </w:pPr>
          </w:p>
        </w:tc>
      </w:tr>
      <w:tr>
        <w:trPr>
          <w:trHeight w:val="211"/>
        </w:trPr>
        <w:tc>
          <w:tcPr>
            <w:tcW w:w="2000" w:type="dxa"/>
            <w:vAlign w:val="bottom"/>
            <w:tcBorders>
              <w:top w:val="single" w:sz="8" w:color="auto"/>
            </w:tcBorders>
            <w:shd w:val="clear" w:color="auto" w:fill="CCEEFF"/>
          </w:tcPr>
          <w:p>
            <w:pPr>
              <w:ind w:left="40"/>
              <w:spacing w:after="0" w:line="212" w:lineRule="exact"/>
              <w:rPr>
                <w:sz w:val="20"/>
                <w:szCs w:val="20"/>
                <w:color w:val="auto"/>
              </w:rPr>
            </w:pPr>
            <w:r>
              <w:rPr>
                <w:rFonts w:ascii="Times New Roman" w:cs="Times New Roman" w:eastAsia="Times New Roman" w:hAnsi="Times New Roman"/>
                <w:sz w:val="16"/>
                <w:szCs w:val="16"/>
                <w:color w:val="auto"/>
              </w:rPr>
              <w:t xml:space="preserve">Debt securities AFS </w:t>
            </w:r>
            <w:r>
              <w:rPr>
                <w:rFonts w:ascii="Times New Roman" w:cs="Times New Roman" w:eastAsia="Times New Roman" w:hAnsi="Times New Roman"/>
                <w:sz w:val="21"/>
                <w:szCs w:val="21"/>
                <w:color w:val="auto"/>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958,216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776,521</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971,854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785,009</w:t>
            </w:r>
          </w:p>
        </w:tc>
        <w:tc>
          <w:tcPr>
            <w:tcW w:w="0" w:type="dxa"/>
            <w:vAlign w:val="bottom"/>
          </w:tcPr>
          <w:p>
            <w:pPr>
              <w:spacing w:after="0"/>
              <w:rPr>
                <w:sz w:val="1"/>
                <w:szCs w:val="1"/>
                <w:color w:val="auto"/>
              </w:rPr>
            </w:pPr>
          </w:p>
        </w:tc>
      </w:tr>
      <w:tr>
        <w:trPr>
          <w:trHeight w:val="162"/>
        </w:trPr>
        <w:tc>
          <w:tcPr>
            <w:tcW w:w="21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Loans and leases held for</w:t>
            </w:r>
          </w:p>
        </w:tc>
        <w:tc>
          <w:tcPr>
            <w:tcW w:w="4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3,427,549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775,000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3,556,859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1,900,000</w:t>
            </w:r>
          </w:p>
        </w:tc>
        <w:tc>
          <w:tcPr>
            <w:tcW w:w="0" w:type="dxa"/>
            <w:vAlign w:val="bottom"/>
          </w:tcPr>
          <w:p>
            <w:pPr>
              <w:spacing w:after="0"/>
              <w:rPr>
                <w:sz w:val="1"/>
                <w:szCs w:val="1"/>
                <w:color w:val="auto"/>
              </w:rPr>
            </w:pPr>
          </w:p>
        </w:tc>
      </w:tr>
      <w:tr>
        <w:trPr>
          <w:trHeight w:val="210"/>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w:t>
            </w:r>
          </w:p>
        </w:tc>
        <w:tc>
          <w:tcPr>
            <w:tcW w:w="4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Carrying amount for AFS debt securities reflects amortized cost, which excludes the hedge accounting basis adjustment.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Derivatives Not Designated as Hedging Instruments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Customer derivative positions include swaps, caps, and collars between United and certain commercial loan customers with offsetting positions to dealers under a back-to-back program. In addition, United occasionally enters into credit risk participation agreements with counterparty banks to accept or transfer a portion of the credit risk related to interest rate swaps.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also has three interest rate swap contracts that are economic hedges of market-linked brokered certificates of deposit, which contain embedded derivatives that are bifurcated from the host instruments. The fair value marks on the swaps and the bifurcated embedded derivatives tend to move in opposite directions and therefore provide an economic hedge.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in connection with residential mortgage loans that are originated with the intention of selling them, United enters into commitments to originate residential mortgage loans and forward loan sales commitments.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gains and losses recognized in income on derivatives not designated as hedging instruments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2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Amount of Gain (Loss) Recognized in Income</w:t>
            </w:r>
          </w:p>
        </w:tc>
        <w:tc>
          <w:tcPr>
            <w:tcW w:w="0" w:type="dxa"/>
            <w:vAlign w:val="bottom"/>
          </w:tcPr>
          <w:p>
            <w:pPr>
              <w:spacing w:after="0"/>
              <w:rPr>
                <w:sz w:val="1"/>
                <w:szCs w:val="1"/>
                <w:color w:val="auto"/>
              </w:rPr>
            </w:pPr>
          </w:p>
        </w:tc>
      </w:tr>
      <w:tr>
        <w:trPr>
          <w:trHeight w:val="214"/>
        </w:trPr>
        <w:tc>
          <w:tcPr>
            <w:tcW w:w="40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on Derivatives</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80" w:type="dxa"/>
            <w:vAlign w:val="bottom"/>
          </w:tcPr>
          <w:p>
            <w:pPr>
              <w:spacing w:after="0"/>
              <w:rPr>
                <w:sz w:val="20"/>
                <w:szCs w:val="20"/>
                <w:color w:val="auto"/>
              </w:rPr>
            </w:pPr>
          </w:p>
        </w:tc>
        <w:tc>
          <w:tcPr>
            <w:tcW w:w="39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Location of Gain (Loss) Recognized in Income on</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3"/>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9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line="20" w:lineRule="exact"/>
              <w:rPr>
                <w:sz w:val="1"/>
                <w:szCs w:val="1"/>
                <w:color w:val="auto"/>
              </w:rPr>
            </w:pPr>
          </w:p>
        </w:tc>
      </w:tr>
      <w:tr>
        <w:trPr>
          <w:trHeight w:val="214"/>
        </w:trPr>
        <w:tc>
          <w:tcPr>
            <w:tcW w:w="4080" w:type="dxa"/>
            <w:vAlign w:val="bottom"/>
            <w:tcBorders>
              <w:bottom w:val="single" w:sz="8" w:color="CCEEFF"/>
            </w:tcBorders>
            <w:vMerge w:val="continue"/>
          </w:tcPr>
          <w:p>
            <w:pPr>
              <w:spacing w:after="0"/>
              <w:rPr>
                <w:sz w:val="18"/>
                <w:szCs w:val="18"/>
                <w:color w:val="auto"/>
              </w:rPr>
            </w:pPr>
          </w:p>
        </w:tc>
        <w:tc>
          <w:tcPr>
            <w:tcW w:w="396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derivatives and dealer offsets</w:t>
            </w: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Bifurcated embedded derivatives and dealer offsets</w:t>
            </w:r>
          </w:p>
        </w:tc>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banking derivatives</w:t>
            </w: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 gains and other related fees</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213"/>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Risk participations</w:t>
            </w:r>
          </w:p>
        </w:tc>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34"/>
        </w:trPr>
        <w:tc>
          <w:tcPr>
            <w:tcW w:w="408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Credit-Risk-Related Contingent Features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manages its credit exposure on derivatives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United’s agreements with each of its derivative counterparties provide that if either party defaults on any of its indebtedness, then it could also be declared in default on its derivative obligations. The agreements with derivative counterparties also include provisions that if not met, could result in United being declared in default. United has agreements with certain of its derivative counterparties that provide that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would require additional collateral if United’s credit rating were downgraded.</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Assets and Liabilities Measured at Fair Value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standards define fair value as the price that would be received for an asset or paid to transfer a liability in the principal or most advantageous market available to the entity in an orderly transaction between market participants on the measurement date. Fair values are categorized within a three-level measurement hierarchy: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 is based upon quoted prices (unadjusted) in active markets for identical assets or liabilities that United has the ability to access.</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Valuation is based upon quoted prices for similar assets and liabilities in active markets, as well as inputs that are observable for the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(other than quoted prices), such as interest rates, foreign exchange rates, and yield curves that are observable at commonly quoted intervals.</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Valuation is generated from model-based techniques that use at least one significant assumption based on unobservable inputs for the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which are typically based on an entity’s own assumptions, as there is little, if any, related market activity.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has processes in place to review the significant valuation inputs and to assesses on a quarterly basis how instruments are classified within the valuation framework. Transfers into or out of fair value hierarchy levels are made as the observability of input assumptions change. During the three months ended March 31, 2026, there were no changes to valuation approaches or techniques that warranted a hierarchy level change.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Recurring Basis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table below presents United’s assets and liabilities measured at fair value on a recurring basis as of the dates indicated, aggregated by the level in the fair value hierarchy within which those measurements fall.</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80" w:type="dxa"/>
            <w:vAlign w:val="bottom"/>
          </w:tcPr>
          <w:p>
            <w:pPr>
              <w:spacing w:after="0"/>
              <w:rPr>
                <w:sz w:val="19"/>
                <w:szCs w:val="19"/>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Trading securities: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103,384</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AFS debt securities: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472,896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472,896</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280,808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280,808</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150,241</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Residential MBS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1,597,141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1,597,141</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Commercial MBS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677,870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677,870</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134,086</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261,504</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 securities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Mortgage loans held for sale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41,357</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Mutual funds and other investments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15,705</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Servicing rights for SBA/USDA loans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4,946</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Residential mortgage servicing rights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43,160</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Contingent consideration receivable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7,195</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26,890</w:t>
            </w:r>
          </w:p>
        </w:tc>
        <w:tc>
          <w:tcPr>
            <w:tcW w:w="0" w:type="dxa"/>
            <w:vAlign w:val="bottom"/>
          </w:tcPr>
          <w:p>
            <w:pPr>
              <w:spacing w:after="0"/>
              <w:rPr>
                <w:sz w:val="1"/>
                <w:szCs w:val="1"/>
                <w:color w:val="auto"/>
              </w:rPr>
            </w:pPr>
          </w:p>
        </w:tc>
      </w:tr>
      <w:tr>
        <w:trPr>
          <w:trHeight w:val="237"/>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591,815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3,161,668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3,818,307</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compensation plan liability</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15,703</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49,475</w:t>
            </w:r>
          </w:p>
        </w:tc>
        <w:tc>
          <w:tcPr>
            <w:tcW w:w="0" w:type="dxa"/>
            <w:vAlign w:val="bottom"/>
          </w:tcPr>
          <w:p>
            <w:pPr>
              <w:spacing w:after="0"/>
              <w:rPr>
                <w:sz w:val="1"/>
                <w:szCs w:val="1"/>
                <w:color w:val="auto"/>
              </w:rPr>
            </w:pPr>
          </w:p>
        </w:tc>
      </w:tr>
      <w:tr>
        <w:trPr>
          <w:trHeight w:val="210"/>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15,533</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40,770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8,875</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65,178</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9"/>
        </w:trPr>
        <w:tc>
          <w:tcPr>
            <w:tcW w:w="50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80" w:type="dxa"/>
            <w:vAlign w:val="bottom"/>
          </w:tcPr>
          <w:p>
            <w:pPr>
              <w:spacing w:after="0"/>
              <w:rPr>
                <w:sz w:val="19"/>
                <w:szCs w:val="19"/>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9"/>
                <w:szCs w:val="19"/>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2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AFS debt securities: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U.S. Treasuries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493,755</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U.S. Government agencies &amp; GSEs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298,350</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State and political subdivisions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154,883</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Residential MBS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1,690,332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1,690,332</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Commercial MBS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692,087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692,087</w:t>
            </w:r>
          </w:p>
        </w:tc>
        <w:tc>
          <w:tcPr>
            <w:tcW w:w="0" w:type="dxa"/>
            <w:vAlign w:val="bottom"/>
          </w:tcPr>
          <w:p>
            <w:pPr>
              <w:spacing w:after="0"/>
              <w:rPr>
                <w:sz w:val="1"/>
                <w:szCs w:val="1"/>
                <w:color w:val="auto"/>
              </w:rPr>
            </w:pPr>
          </w:p>
        </w:tc>
      </w:tr>
      <w:tr>
        <w:trPr>
          <w:trHeight w:val="213"/>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Corporate bonds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136,668</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Asset-backed securities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284,788</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 securities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Mortgage loans held for sale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39,381</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Mutual funds and other investments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16,483</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Servicing rights for SBA/USDA loans</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Residential mortgage servicing rights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41,231</w:t>
            </w: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Contingent consideration receivable</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7,195</w:t>
            </w: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35,313</w:t>
            </w:r>
          </w:p>
        </w:tc>
        <w:tc>
          <w:tcPr>
            <w:tcW w:w="0" w:type="dxa"/>
            <w:vAlign w:val="bottom"/>
          </w:tcPr>
          <w:p>
            <w:pPr>
              <w:spacing w:after="0"/>
              <w:rPr>
                <w:sz w:val="1"/>
                <w:szCs w:val="1"/>
                <w:color w:val="auto"/>
              </w:rPr>
            </w:pPr>
          </w:p>
        </w:tc>
      </w:tr>
      <w:tr>
        <w:trPr>
          <w:trHeight w:val="237"/>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3,325,849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3,897,827</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compensation plan liability</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16,485</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52,997</w:t>
            </w:r>
          </w:p>
        </w:tc>
        <w:tc>
          <w:tcPr>
            <w:tcW w:w="0" w:type="dxa"/>
            <w:vAlign w:val="bottom"/>
          </w:tcPr>
          <w:p>
            <w:pPr>
              <w:spacing w:after="0"/>
              <w:rPr>
                <w:sz w:val="1"/>
                <w:szCs w:val="1"/>
                <w:color w:val="auto"/>
              </w:rPr>
            </w:pPr>
          </w:p>
        </w:tc>
      </w:tr>
      <w:tr>
        <w:trPr>
          <w:trHeight w:val="212"/>
        </w:trPr>
        <w:tc>
          <w:tcPr>
            <w:tcW w:w="5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16,345</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44,647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69,482</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Level 3 Fair Value Measurements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significant unobservable inputs related to United’s material categories of Level 3 financial instruments measured at fair value on a recurring basis as of the dates indicated.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Level 3 Assets and Liabilities</w:t>
            </w:r>
          </w:p>
        </w:tc>
        <w:tc>
          <w:tcPr>
            <w:tcW w:w="154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Valuation</w:t>
            </w:r>
          </w:p>
        </w:tc>
        <w:tc>
          <w:tcPr>
            <w:tcW w:w="22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Significant Unobservable</w:t>
            </w:r>
          </w:p>
        </w:tc>
        <w:tc>
          <w:tcPr>
            <w:tcW w:w="2440" w:type="dxa"/>
            <w:vAlign w:val="bottom"/>
            <w:gridSpan w:val="4"/>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360" w:type="dxa"/>
            <w:vAlign w:val="bottom"/>
            <w:gridSpan w:val="3"/>
            <w:vMerge w:val="restart"/>
          </w:tcPr>
          <w:p>
            <w:pPr>
              <w:ind w:left="5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14"/>
        </w:trPr>
        <w:tc>
          <w:tcPr>
            <w:tcW w:w="2620" w:type="dxa"/>
            <w:vAlign w:val="bottom"/>
            <w:gridSpan w:val="2"/>
            <w:vMerge w:val="continue"/>
          </w:tcPr>
          <w:p>
            <w:pPr>
              <w:spacing w:after="0"/>
              <w:rPr>
                <w:sz w:val="18"/>
                <w:szCs w:val="18"/>
                <w:color w:val="auto"/>
              </w:rPr>
            </w:pPr>
          </w:p>
        </w:tc>
        <w:tc>
          <w:tcPr>
            <w:tcW w:w="154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Technique</w:t>
            </w:r>
          </w:p>
        </w:tc>
        <w:tc>
          <w:tcPr>
            <w:tcW w:w="2240" w:type="dxa"/>
            <w:vAlign w:val="bottom"/>
            <w:gridSpan w:val="2"/>
          </w:tcPr>
          <w:p>
            <w:pPr>
              <w:ind w:left="84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2440" w:type="dxa"/>
            <w:vAlign w:val="bottom"/>
            <w:gridSpan w:val="4"/>
            <w:vMerge w:val="continue"/>
          </w:tcPr>
          <w:p>
            <w:pPr>
              <w:spacing w:after="0"/>
              <w:rPr>
                <w:sz w:val="18"/>
                <w:szCs w:val="18"/>
                <w:color w:val="auto"/>
              </w:rPr>
            </w:pPr>
          </w:p>
        </w:tc>
        <w:tc>
          <w:tcPr>
            <w:tcW w:w="23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1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80" w:type="dxa"/>
            <w:vAlign w:val="bottom"/>
          </w:tcPr>
          <w:p>
            <w:pPr>
              <w:spacing w:after="0"/>
              <w:rPr>
                <w:sz w:val="13"/>
                <w:szCs w:val="13"/>
                <w:color w:val="auto"/>
              </w:rPr>
            </w:pPr>
          </w:p>
        </w:tc>
        <w:tc>
          <w:tcPr>
            <w:tcW w:w="12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Range</w:t>
            </w:r>
          </w:p>
        </w:tc>
        <w:tc>
          <w:tcPr>
            <w:tcW w:w="114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29"/>
        </w:trPr>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20" w:type="dxa"/>
            <w:vAlign w:val="bottom"/>
            <w:gridSpan w:val="2"/>
            <w:vMerge w:val="continue"/>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85"/>
        </w:trPr>
        <w:tc>
          <w:tcPr>
            <w:tcW w:w="2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 servicing rights</w:t>
            </w:r>
          </w:p>
        </w:tc>
        <w:tc>
          <w:tcPr>
            <w:tcW w:w="1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2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9.0% - 12.7%</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9.5% - 12.5%</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Prepayment rate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5.0 - 50.6</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7.9</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5.5 - 25.3</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 mortgage</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Internal model</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Pull through rate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75.0 - 100</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92.3</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60.0 - 100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91.6</w:t>
            </w:r>
          </w:p>
        </w:tc>
        <w:tc>
          <w:tcPr>
            <w:tcW w:w="0" w:type="dxa"/>
            <w:vAlign w:val="bottom"/>
          </w:tcPr>
          <w:p>
            <w:pPr>
              <w:spacing w:after="0"/>
              <w:rPr>
                <w:sz w:val="1"/>
                <w:szCs w:val="1"/>
                <w:color w:val="auto"/>
              </w:rPr>
            </w:pPr>
          </w:p>
        </w:tc>
      </w:tr>
      <w:tr>
        <w:trPr>
          <w:trHeight w:val="21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Derivative assets and liabilities - other</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Dealer priced</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Dealer priced</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N/A</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9"/>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 receivable</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Discounted cash flow</w:t>
            </w:r>
          </w:p>
        </w:tc>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6.7 - 6.7</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6.7</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6.7 - 6.7</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6.7</w:t>
            </w:r>
          </w:p>
        </w:tc>
        <w:tc>
          <w:tcPr>
            <w:tcW w:w="0" w:type="dxa"/>
            <w:vAlign w:val="bottom"/>
          </w:tcPr>
          <w:p>
            <w:pPr>
              <w:spacing w:after="0"/>
              <w:rPr>
                <w:sz w:val="1"/>
                <w:szCs w:val="1"/>
                <w:color w:val="auto"/>
              </w:rPr>
            </w:pPr>
          </w:p>
        </w:tc>
      </w:tr>
      <w:tr>
        <w:trPr>
          <w:trHeight w:val="210"/>
        </w:trPr>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Probability of achievement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82.6 - 100</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88.2</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82.6 - 100</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the beginning and ending balances of Level 3 assets and liabilities measured at fair value on a recurring basis for the periods indicated.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SBA/USDA</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center"/>
              <w:ind w:right="80"/>
              <w:spacing w:after="0" w:line="134"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SBA/USDA</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center"/>
              <w:ind w:right="80"/>
              <w:spacing w:after="0" w:line="134" w:lineRule="exact"/>
              <w:rPr>
                <w:sz w:val="20"/>
                <w:szCs w:val="20"/>
                <w:color w:val="auto"/>
              </w:rPr>
            </w:pPr>
            <w:r>
              <w:rPr>
                <w:rFonts w:ascii="Times New Roman" w:cs="Times New Roman" w:eastAsia="Times New Roman" w:hAnsi="Times New Roman"/>
                <w:sz w:val="14"/>
                <w:szCs w:val="14"/>
                <w:b w:val="1"/>
                <w:bCs w:val="1"/>
                <w:color w:val="auto"/>
              </w:rPr>
              <w:t>Residential</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46"/>
        </w:trPr>
        <w:tc>
          <w:tcPr>
            <w:tcW w:w="1380" w:type="dxa"/>
            <w:vAlign w:val="bottom"/>
          </w:tcPr>
          <w:p>
            <w:pPr>
              <w:spacing w:after="0"/>
              <w:rPr>
                <w:sz w:val="12"/>
                <w:szCs w:val="12"/>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600" w:type="dxa"/>
            <w:vAlign w:val="bottom"/>
          </w:tcPr>
          <w:p>
            <w:pPr>
              <w:jc w:val="center"/>
              <w:ind w:right="41"/>
              <w:spacing w:after="0" w:line="146" w:lineRule="exact"/>
              <w:rPr>
                <w:sz w:val="20"/>
                <w:szCs w:val="20"/>
                <w:color w:val="auto"/>
              </w:rPr>
            </w:pPr>
            <w:r>
              <w:rPr>
                <w:rFonts w:ascii="Times New Roman" w:cs="Times New Roman" w:eastAsia="Times New Roman" w:hAnsi="Times New Roman"/>
                <w:sz w:val="14"/>
                <w:szCs w:val="14"/>
                <w:b w:val="1"/>
                <w:bCs w:val="1"/>
                <w:color w:val="auto"/>
              </w:rPr>
              <w:t>Loan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40" w:type="dxa"/>
            <w:vAlign w:val="bottom"/>
          </w:tcPr>
          <w:p>
            <w:pPr>
              <w:spacing w:after="0"/>
              <w:rPr>
                <w:sz w:val="12"/>
                <w:szCs w:val="12"/>
                <w:color w:val="auto"/>
              </w:rPr>
            </w:pPr>
          </w:p>
        </w:tc>
        <w:tc>
          <w:tcPr>
            <w:tcW w:w="600" w:type="dxa"/>
            <w:vAlign w:val="bottom"/>
          </w:tcPr>
          <w:p>
            <w:pPr>
              <w:jc w:val="center"/>
              <w:ind w:right="41"/>
              <w:spacing w:after="0" w:line="146" w:lineRule="exact"/>
              <w:rPr>
                <w:sz w:val="20"/>
                <w:szCs w:val="20"/>
                <w:color w:val="auto"/>
              </w:rPr>
            </w:pPr>
            <w:r>
              <w:rPr>
                <w:rFonts w:ascii="Times New Roman" w:cs="Times New Roman" w:eastAsia="Times New Roman" w:hAnsi="Times New Roman"/>
                <w:sz w:val="14"/>
                <w:szCs w:val="14"/>
                <w:b w:val="1"/>
                <w:bCs w:val="1"/>
                <w:color w:val="auto"/>
              </w:rPr>
              <w:t>Loan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Mortgage</w:t>
            </w:r>
          </w:p>
        </w:tc>
        <w:tc>
          <w:tcPr>
            <w:tcW w:w="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gridSpan w:val="3"/>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Servicing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Servicing</w:t>
            </w:r>
          </w:p>
        </w:tc>
        <w:tc>
          <w:tcPr>
            <w:tcW w:w="760" w:type="dxa"/>
            <w:vAlign w:val="bottom"/>
            <w:gridSpan w:val="3"/>
            <w:vMerge w:val="continue"/>
          </w:tcPr>
          <w:p>
            <w:pPr>
              <w:spacing w:after="0"/>
              <w:rPr>
                <w:sz w:val="12"/>
                <w:szCs w:val="12"/>
                <w:color w:val="auto"/>
              </w:rPr>
            </w:pPr>
          </w:p>
        </w:tc>
        <w:tc>
          <w:tcPr>
            <w:tcW w:w="10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760" w:type="dxa"/>
            <w:vAlign w:val="bottom"/>
            <w:gridSpan w:val="2"/>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Servicing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Servicing</w:t>
            </w:r>
          </w:p>
        </w:tc>
        <w:tc>
          <w:tcPr>
            <w:tcW w:w="780" w:type="dxa"/>
            <w:vAlign w:val="bottom"/>
            <w:gridSpan w:val="3"/>
            <w:vMerge w:val="continue"/>
          </w:tcPr>
          <w:p>
            <w:pPr>
              <w:spacing w:after="0"/>
              <w:rPr>
                <w:sz w:val="12"/>
                <w:szCs w:val="12"/>
                <w:color w:val="auto"/>
              </w:rPr>
            </w:pPr>
          </w:p>
        </w:tc>
        <w:tc>
          <w:tcPr>
            <w:tcW w:w="9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96"/>
        </w:trPr>
        <w:tc>
          <w:tcPr>
            <w:tcW w:w="13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7"/>
                <w:szCs w:val="17"/>
                <w:color w:val="auto"/>
              </w:rPr>
            </w:pPr>
          </w:p>
        </w:tc>
        <w:tc>
          <w:tcPr>
            <w:tcW w:w="6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20" w:type="dxa"/>
            <w:vAlign w:val="bottom"/>
          </w:tcPr>
          <w:p>
            <w:pPr>
              <w:spacing w:after="0"/>
              <w:rPr>
                <w:sz w:val="17"/>
                <w:szCs w:val="17"/>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Bonds</w:t>
            </w:r>
          </w:p>
        </w:tc>
        <w:tc>
          <w:tcPr>
            <w:tcW w:w="12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40" w:type="dxa"/>
            <w:vAlign w:val="bottom"/>
          </w:tcPr>
          <w:p>
            <w:pPr>
              <w:spacing w:after="0"/>
              <w:rPr>
                <w:sz w:val="17"/>
                <w:szCs w:val="17"/>
                <w:color w:val="auto"/>
              </w:rPr>
            </w:pPr>
          </w:p>
        </w:tc>
        <w:tc>
          <w:tcPr>
            <w:tcW w:w="6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40" w:type="dxa"/>
            <w:vAlign w:val="bottom"/>
          </w:tcPr>
          <w:p>
            <w:pPr>
              <w:spacing w:after="0"/>
              <w:rPr>
                <w:sz w:val="17"/>
                <w:szCs w:val="17"/>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Bonds</w:t>
            </w:r>
          </w:p>
        </w:tc>
        <w:tc>
          <w:tcPr>
            <w:tcW w:w="120" w:type="dxa"/>
            <w:vAlign w:val="bottom"/>
          </w:tcPr>
          <w:p>
            <w:pPr>
              <w:spacing w:after="0"/>
              <w:rPr>
                <w:sz w:val="17"/>
                <w:szCs w:val="17"/>
                <w:color w:val="auto"/>
              </w:rPr>
            </w:pP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0" w:type="dxa"/>
            <w:vAlign w:val="bottom"/>
          </w:tcPr>
          <w:p>
            <w:pPr>
              <w:spacing w:after="0"/>
              <w:rPr>
                <w:sz w:val="1"/>
                <w:szCs w:val="1"/>
                <w:color w:val="auto"/>
              </w:rPr>
            </w:pPr>
          </w:p>
        </w:tc>
      </w:tr>
      <w:tr>
        <w:trPr>
          <w:trHeight w:val="199"/>
        </w:trPr>
        <w:tc>
          <w:tcPr>
            <w:tcW w:w="23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Beginning balance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4,880</w:t>
            </w:r>
          </w:p>
        </w:tc>
        <w:tc>
          <w:tcPr>
            <w:tcW w:w="2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7,195</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$ 11,656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4,697</w:t>
            </w:r>
          </w:p>
        </w:tc>
        <w:tc>
          <w:tcPr>
            <w:tcW w:w="22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39,294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7,470</w:t>
            </w:r>
          </w:p>
        </w:tc>
        <w:tc>
          <w:tcPr>
            <w:tcW w:w="0" w:type="dxa"/>
            <w:vAlign w:val="bottom"/>
          </w:tcPr>
          <w:p>
            <w:pPr>
              <w:spacing w:after="0"/>
              <w:rPr>
                <w:sz w:val="1"/>
                <w:szCs w:val="1"/>
                <w:color w:val="auto"/>
              </w:rPr>
            </w:pPr>
          </w:p>
        </w:tc>
      </w:tr>
      <w:tr>
        <w:trPr>
          <w:trHeight w:val="213"/>
        </w:trPr>
        <w:tc>
          <w:tcPr>
            <w:tcW w:w="1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13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Sales and</w:t>
            </w:r>
          </w:p>
        </w:tc>
        <w:tc>
          <w:tcPr>
            <w:tcW w:w="12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12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3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Fair value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adjustments</w:t>
            </w:r>
          </w:p>
        </w:tc>
        <w:tc>
          <w:tcPr>
            <w:tcW w:w="120" w:type="dxa"/>
            <w:vAlign w:val="bottom"/>
          </w:tcPr>
          <w:p>
            <w:pPr>
              <w:spacing w:after="0"/>
              <w:rPr>
                <w:sz w:val="14"/>
                <w:szCs w:val="14"/>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included in OCI</w:t>
            </w:r>
          </w:p>
        </w:tc>
        <w:tc>
          <w:tcPr>
            <w:tcW w:w="12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3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Fair value</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adjustments</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included in</w:t>
            </w:r>
          </w:p>
        </w:tc>
        <w:tc>
          <w:tcPr>
            <w:tcW w:w="12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earnings</w:t>
            </w:r>
          </w:p>
        </w:tc>
        <w:tc>
          <w:tcPr>
            <w:tcW w:w="12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9,029</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8,875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4,946</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43,160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7,195</w:t>
            </w:r>
          </w:p>
        </w:tc>
        <w:tc>
          <w:tcPr>
            <w:tcW w:w="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$ 11,319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4,920</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39,660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Option</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United records mortgage loans held for sale at fair value under the fair value option. Interest income on these loans is calculated based on the note rate of the loan and is recorded in interest revenue. The following tables present the fair value and outstanding principal balance of loans accounted for under the fair value option, as well as the gain or loss recognized from the change in fair value for the periods indicated.</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Mortgage Loans Held for Sale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7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principal balance</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40,683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38,187</w:t>
            </w:r>
          </w:p>
        </w:tc>
        <w:tc>
          <w:tcPr>
            <w:tcW w:w="4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34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41,357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39,381</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3"/>
        </w:trPr>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gridSpan w:val="8"/>
          </w:tcPr>
          <w:p>
            <w:pPr>
              <w:ind w:left="1400"/>
              <w:spacing w:after="0"/>
              <w:rPr>
                <w:sz w:val="20"/>
                <w:szCs w:val="20"/>
                <w:color w:val="auto"/>
              </w:rPr>
            </w:pPr>
            <w:r>
              <w:rPr>
                <w:rFonts w:ascii="Times New Roman" w:cs="Times New Roman" w:eastAsia="Times New Roman" w:hAnsi="Times New Roman"/>
                <w:sz w:val="16"/>
                <w:szCs w:val="16"/>
                <w:b w:val="1"/>
                <w:bCs w:val="1"/>
                <w:color w:val="auto"/>
              </w:rPr>
              <w:t>Gain (Loss) from Change in Fair Value on Mortgage Loans Held for Sale</w:t>
            </w: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40" w:type="dxa"/>
            <w:vAlign w:val="bottom"/>
            <w:vMerge w:val="restart"/>
          </w:tcPr>
          <w:p>
            <w:pPr>
              <w:ind w:left="21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3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20" w:type="dxa"/>
            <w:vAlign w:val="bottom"/>
            <w:gridSpan w:val="5"/>
          </w:tcPr>
          <w:p>
            <w:pPr>
              <w:ind w:left="280"/>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2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3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Mortgage loan gains and other related fees</w:t>
            </w:r>
          </w:p>
        </w:tc>
        <w:tc>
          <w:tcPr>
            <w:tcW w:w="3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(179)</w:t>
            </w:r>
          </w:p>
        </w:tc>
        <w:tc>
          <w:tcPr>
            <w:tcW w:w="98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fair value were mostly offset by hedging activities. An immaterial portion of these amounts was attributable to changes in instrument-specific credit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Measured at Fair Value on a Nonrecurring Basis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assets that were still held as of March 31, 2026 and December 31, 2025, for which a nonrecurring fair value adjustment was recorded during the year-to-date periods presented.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0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0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170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r>
      <w:tr>
        <w:trPr>
          <w:trHeight w:val="207"/>
        </w:trPr>
        <w:tc>
          <w:tcPr>
            <w:tcW w:w="170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86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10,813</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10,813</w:t>
            </w:r>
          </w:p>
        </w:tc>
        <w:tc>
          <w:tcPr>
            <w:tcW w:w="1720" w:type="dxa"/>
            <w:vAlign w:val="bottom"/>
          </w:tcPr>
          <w:p>
            <w:pPr>
              <w:spacing w:after="0"/>
              <w:rPr>
                <w:sz w:val="17"/>
                <w:szCs w:val="17"/>
                <w:color w:val="auto"/>
              </w:rPr>
            </w:pPr>
          </w:p>
        </w:tc>
      </w:tr>
      <w:tr>
        <w:trPr>
          <w:trHeight w:val="219"/>
        </w:trPr>
        <w:tc>
          <w:tcPr>
            <w:tcW w:w="170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4"/>
        </w:trPr>
        <w:tc>
          <w:tcPr>
            <w:tcW w:w="1700" w:type="dxa"/>
            <w:vAlign w:val="bottom"/>
            <w:tcBorders>
              <w:bottom w:val="single" w:sz="8" w:color="CCEEFF"/>
            </w:tcBorders>
          </w:tcPr>
          <w:p>
            <w:pPr>
              <w:spacing w:after="0"/>
              <w:rPr>
                <w:sz w:val="18"/>
                <w:szCs w:val="18"/>
                <w:color w:val="auto"/>
              </w:rPr>
            </w:pPr>
          </w:p>
        </w:tc>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r>
      <w:tr>
        <w:trPr>
          <w:trHeight w:val="211"/>
        </w:trPr>
        <w:tc>
          <w:tcPr>
            <w:tcW w:w="1700" w:type="dxa"/>
            <w:vAlign w:val="bottom"/>
            <w:shd w:val="clear" w:color="auto" w:fill="CCEEFF"/>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860" w:type="dxa"/>
            <w:vAlign w:val="bottom"/>
            <w:gridSpan w:val="2"/>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19,216</w:t>
            </w:r>
          </w:p>
        </w:tc>
        <w:tc>
          <w:tcPr>
            <w:tcW w:w="1720" w:type="dxa"/>
            <w:vAlign w:val="bottom"/>
            <w:shd w:val="clear" w:color="auto" w:fill="CCEEFF"/>
          </w:tcPr>
          <w:p>
            <w:pPr>
              <w:spacing w:after="0"/>
              <w:rPr>
                <w:sz w:val="18"/>
                <w:szCs w:val="18"/>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held for investment that are reported above are generally impaired loans that have either been partially charged off or have specific reserves assigned to them.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Not Measured at Fair Value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disclosure provides estimated fair values for financial instruments not carried at fair value on the Consolidated Balance Sheets. 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Fair Value Level</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4"/>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8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8"/>
        </w:trPr>
        <w:tc>
          <w:tcPr>
            <w:tcW w:w="382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HTM debt securities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2,211,523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1,859,396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1,878,414</w:t>
            </w: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 and leases,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19,393,245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18,922,122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18,922,122</w:t>
            </w:r>
          </w:p>
        </w:tc>
      </w:tr>
      <w:tr>
        <w:trPr>
          <w:trHeight w:val="219"/>
        </w:trPr>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24,025,065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24,015,072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24,015,072</w:t>
            </w: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122,768</w:t>
            </w:r>
          </w:p>
        </w:tc>
      </w:tr>
      <w:tr>
        <w:trPr>
          <w:trHeight w:val="219"/>
        </w:trPr>
        <w:tc>
          <w:tcPr>
            <w:tcW w:w="3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4"/>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r>
      <w:tr>
        <w:trPr>
          <w:trHeight w:val="211"/>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HTM debt securities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2,237,356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1,899,387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1,918,426</w:t>
            </w: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Loans and leases, net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19,173,888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18,651,481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18,651,481</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Deposits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23,798,430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23,790,107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23,790,107</w:t>
            </w:r>
          </w:p>
        </w:tc>
      </w:tr>
      <w:tr>
        <w:trPr>
          <w:trHeight w:val="219"/>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120,279</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Reclassifications Out of AOCI</w:t>
      </w:r>
    </w:p>
    <w:p>
      <w:pPr>
        <w:spacing w:after="0" w:line="2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details regarding amounts reclassified out of AOCI for the periods indicated. Amounts shown in parentheses reduce earnings.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168"/>
        </w:trPr>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40" w:type="dxa"/>
            <w:vAlign w:val="bottom"/>
            <w:gridSpan w:val="4"/>
          </w:tcPr>
          <w:p>
            <w:pPr>
              <w:jc w:val="right"/>
              <w:ind w:right="519"/>
              <w:spacing w:after="0" w:line="16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216"/>
        </w:trPr>
        <w:tc>
          <w:tcPr>
            <w:tcW w:w="5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Affected Line Item in the Statement Where</w:t>
            </w:r>
          </w:p>
        </w:tc>
      </w:tr>
      <w:tr>
        <w:trPr>
          <w:trHeight w:val="208"/>
        </w:trPr>
        <w:tc>
          <w:tcPr>
            <w:tcW w:w="5320" w:type="dxa"/>
            <w:vAlign w:val="bottom"/>
            <w:tcBorders>
              <w:bottom w:val="single" w:sz="8" w:color="CCEEFF"/>
            </w:tcBorders>
          </w:tcPr>
          <w:p>
            <w:pPr>
              <w:ind w:left="1460"/>
              <w:spacing w:after="0"/>
              <w:rPr>
                <w:sz w:val="20"/>
                <w:szCs w:val="20"/>
                <w:color w:val="auto"/>
              </w:rPr>
            </w:pPr>
            <w:r>
              <w:rPr>
                <w:rFonts w:ascii="Times New Roman" w:cs="Times New Roman" w:eastAsia="Times New Roman" w:hAnsi="Times New Roman"/>
                <w:sz w:val="16"/>
                <w:szCs w:val="16"/>
                <w:b w:val="1"/>
                <w:bCs w:val="1"/>
                <w:color w:val="auto"/>
              </w:rPr>
              <w:t>Details about AOCI Components</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1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Net Income is Presented</w:t>
            </w:r>
          </w:p>
        </w:tc>
      </w:tr>
      <w:tr>
        <w:trPr>
          <w:trHeight w:val="198"/>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Realized net gains on AFS securities:</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100" w:type="dxa"/>
            <w:vAlign w:val="bottom"/>
            <w:shd w:val="clear" w:color="auto" w:fill="CCEEFF"/>
          </w:tcPr>
          <w:p>
            <w:pPr>
              <w:spacing w:after="0"/>
              <w:rPr>
                <w:sz w:val="17"/>
                <w:szCs w:val="17"/>
                <w:color w:val="auto"/>
              </w:rPr>
            </w:pPr>
          </w:p>
        </w:tc>
      </w:tr>
      <w:tr>
        <w:trPr>
          <w:trHeight w:val="213"/>
        </w:trPr>
        <w:tc>
          <w:tcPr>
            <w:tcW w:w="53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 gains, net</w:t>
            </w:r>
          </w:p>
        </w:tc>
      </w:tr>
      <w:tr>
        <w:trPr>
          <w:trHeight w:val="216"/>
        </w:trPr>
        <w:tc>
          <w:tcPr>
            <w:tcW w:w="53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12"/>
        </w:trPr>
        <w:tc>
          <w:tcPr>
            <w:tcW w:w="53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r>
      <w:tr>
        <w:trPr>
          <w:trHeight w:val="183"/>
        </w:trPr>
        <w:tc>
          <w:tcPr>
            <w:tcW w:w="5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unrealized losses on HTM securities transferred from AFS:</w:t>
            </w: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9"/>
        </w:trPr>
        <w:tc>
          <w:tcPr>
            <w:tcW w:w="53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120" w:type="dxa"/>
            <w:vAlign w:val="bottom"/>
            <w:shd w:val="clear" w:color="auto" w:fill="CCEEFF"/>
          </w:tcPr>
          <w:p>
            <w:pPr>
              <w:spacing w:after="0"/>
              <w:rPr>
                <w:sz w:val="19"/>
                <w:szCs w:val="19"/>
                <w:color w:val="auto"/>
              </w:rPr>
            </w:pP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securities interest revenue</w:t>
            </w:r>
          </w:p>
        </w:tc>
      </w:tr>
      <w:tr>
        <w:trPr>
          <w:trHeight w:val="213"/>
        </w:trPr>
        <w:tc>
          <w:tcPr>
            <w:tcW w:w="53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tcBorders>
              <w:bottom w:val="single" w:sz="8" w:color="CCEEFF"/>
            </w:tcBorders>
          </w:tcPr>
          <w:p>
            <w:pPr>
              <w:spacing w:after="0"/>
              <w:rPr>
                <w:sz w:val="18"/>
                <w:szCs w:val="18"/>
                <w:color w:val="auto"/>
              </w:rPr>
            </w:pPr>
          </w:p>
        </w:tc>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37"/>
        </w:trPr>
        <w:tc>
          <w:tcPr>
            <w:tcW w:w="53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2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56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r>
      <w:tr>
        <w:trPr>
          <w:trHeight w:val="163"/>
        </w:trPr>
        <w:tc>
          <w:tcPr>
            <w:tcW w:w="53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216"/>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Reclassifications related to derivative instruments accounted for as cash flow hedges: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r>
      <w:tr>
        <w:trPr>
          <w:trHeight w:val="213"/>
        </w:trPr>
        <w:tc>
          <w:tcPr>
            <w:tcW w:w="5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rate contracts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20" w:type="dxa"/>
            <w:vAlign w:val="bottom"/>
          </w:tcPr>
          <w:p>
            <w:pPr>
              <w:spacing w:after="0"/>
              <w:rPr>
                <w:sz w:val="18"/>
                <w:szCs w:val="18"/>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interest expense</w:t>
            </w:r>
          </w:p>
        </w:tc>
      </w:tr>
      <w:tr>
        <w:trPr>
          <w:trHeight w:val="21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Gain on terminated cash flow hedge</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noninterest income</w:t>
            </w:r>
          </w:p>
        </w:tc>
      </w:tr>
      <w:tr>
        <w:trPr>
          <w:trHeight w:val="207"/>
        </w:trPr>
        <w:tc>
          <w:tcPr>
            <w:tcW w:w="5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20" w:type="dxa"/>
            <w:vAlign w:val="bottom"/>
          </w:tcPr>
          <w:p>
            <w:pPr>
              <w:spacing w:after="0"/>
              <w:rPr>
                <w:sz w:val="17"/>
                <w:szCs w:val="17"/>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before tax</w:t>
            </w:r>
          </w:p>
        </w:tc>
      </w:tr>
      <w:tr>
        <w:trPr>
          <w:trHeight w:val="216"/>
        </w:trPr>
        <w:tc>
          <w:tcPr>
            <w:tcW w:w="53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shd w:val="clear" w:color="auto" w:fill="CCEEFF"/>
          </w:tcPr>
          <w:p>
            <w:pPr>
              <w:spacing w:after="0"/>
              <w:rPr>
                <w:sz w:val="18"/>
                <w:szCs w:val="18"/>
                <w:color w:val="auto"/>
              </w:rPr>
            </w:pP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12"/>
        </w:trPr>
        <w:tc>
          <w:tcPr>
            <w:tcW w:w="53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4,461</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20" w:type="dxa"/>
            <w:vAlign w:val="bottom"/>
          </w:tcPr>
          <w:p>
            <w:pPr>
              <w:spacing w:after="0"/>
              <w:rPr>
                <w:sz w:val="18"/>
                <w:szCs w:val="18"/>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r>
      <w:tr>
        <w:trPr>
          <w:trHeight w:val="183"/>
        </w:trPr>
        <w:tc>
          <w:tcPr>
            <w:tcW w:w="53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r>
      <w:tr>
        <w:trPr>
          <w:trHeight w:val="21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Amortization of defined benefit pension plan net periodic pension cost components: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Prior service cost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9"/>
                <w:szCs w:val="19"/>
                <w:color w:val="auto"/>
              </w:rPr>
            </w:pP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employee benefits expense</w:t>
            </w:r>
          </w:p>
        </w:tc>
      </w:tr>
      <w:tr>
        <w:trPr>
          <w:trHeight w:val="213"/>
        </w:trPr>
        <w:tc>
          <w:tcPr>
            <w:tcW w:w="5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Actuarial gain</w:t>
            </w:r>
          </w:p>
        </w:tc>
        <w:tc>
          <w:tcPr>
            <w:tcW w:w="3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w:t>
            </w:r>
          </w:p>
        </w:tc>
      </w:tr>
      <w:tr>
        <w:trPr>
          <w:trHeight w:val="212"/>
        </w:trPr>
        <w:tc>
          <w:tcPr>
            <w:tcW w:w="5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top w:val="single" w:sz="8" w:color="CCEEFF"/>
            </w:tcBorders>
            <w:shd w:val="clear" w:color="auto" w:fill="CCEEFF"/>
          </w:tcPr>
          <w:p>
            <w:pPr>
              <w:spacing w:after="0"/>
              <w:rPr>
                <w:sz w:val="18"/>
                <w:szCs w:val="18"/>
                <w:color w:val="auto"/>
              </w:rPr>
            </w:pPr>
          </w:p>
        </w:tc>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before tax</w:t>
            </w:r>
          </w:p>
        </w:tc>
      </w:tr>
      <w:tr>
        <w:trPr>
          <w:trHeight w:val="213"/>
        </w:trPr>
        <w:tc>
          <w:tcPr>
            <w:tcW w:w="53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r>
      <w:tr>
        <w:trPr>
          <w:trHeight w:val="237"/>
        </w:trPr>
        <w:tc>
          <w:tcPr>
            <w:tcW w:w="53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r>
      <w:tr>
        <w:trPr>
          <w:trHeight w:val="163"/>
        </w:trPr>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241"/>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reclassifications for the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2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of tax</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8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r>
      <w:tr>
        <w:trPr>
          <w:trHeight w:val="211"/>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84,289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71,413</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allocated to participating securities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r>
      <w:tr>
        <w:trPr>
          <w:trHeight w:val="212"/>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83,737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69,429</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8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14"/>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120,498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120,043</w:t>
            </w:r>
          </w:p>
        </w:tc>
      </w:tr>
      <w:tr>
        <w:trPr>
          <w:trHeight w:val="213"/>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 options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3"/>
        </w:trPr>
        <w:tc>
          <w:tcPr>
            <w:tcW w:w="8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Restricted stock units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37"/>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120,723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120,201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per common share: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0.58</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5"/>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or 2025, United had no potentially dilutive instruments outstanding that were not included in the above analysis.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Regulatory Matters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United and the Bank were categorized as well-capitalized under the regulatory requirements in effect at that time. To be categorized as well-capitalized, United and the Bank must have exceeded the well-capitalized guideline ratios in effect at the time, as set forth in the table below, and have met certain other requirements. Management believes that United and the Bank exceeded all well-capitalized requirements at March 31, 2026, and there have been no conditions or events since quarter-end that would change the status of well-capitalized.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Regulatory capital ratios at March 31, 2026 and December 31, 2025, along with the minimum amounts required for capital adequacy purposes and to be well-capitalized under regulatory requirements in effect at such times, are presented below for United and the Bank:</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United Community Banks, Inc.</w:t>
            </w:r>
          </w:p>
        </w:tc>
        <w:tc>
          <w:tcPr>
            <w:tcW w:w="200" w:type="dxa"/>
            <w:vAlign w:val="bottom"/>
          </w:tcPr>
          <w:p>
            <w:pPr>
              <w:spacing w:after="0"/>
              <w:rPr>
                <w:sz w:val="16"/>
                <w:szCs w:val="16"/>
                <w:color w:val="auto"/>
              </w:rPr>
            </w:pPr>
          </w:p>
        </w:tc>
        <w:tc>
          <w:tcPr>
            <w:tcW w:w="260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United Community Bank</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0" w:type="dxa"/>
            <w:vAlign w:val="bottom"/>
          </w:tcPr>
          <w:p>
            <w:pPr>
              <w:spacing w:after="0"/>
              <w:rPr>
                <w:sz w:val="18"/>
                <w:szCs w:val="18"/>
                <w:color w:val="auto"/>
              </w:rPr>
            </w:pPr>
          </w:p>
        </w:tc>
        <w:tc>
          <w:tcPr>
            <w:tcW w:w="260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12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 xml:space="preserve">Minimum </w:t>
            </w:r>
            <w:r>
              <w:rPr>
                <w:rFonts w:ascii="Times New Roman" w:cs="Times New Roman" w:eastAsia="Times New Roman" w:hAnsi="Times New Roman"/>
                <w:sz w:val="21"/>
                <w:szCs w:val="21"/>
                <w:b w:val="1"/>
                <w:bCs w:val="1"/>
                <w:color w:val="auto"/>
                <w:vertAlign w:val="superscript"/>
              </w:rPr>
              <w:t>(1)</w:t>
            </w:r>
          </w:p>
        </w:tc>
        <w:tc>
          <w:tcPr>
            <w:tcW w:w="12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Well-</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292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20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6"/>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Risk-based ratios:</w:t>
            </w: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CET1 capital</w:t>
            </w:r>
          </w:p>
        </w:tc>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12.34 %</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Tier 1 capital</w:t>
            </w: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12.34</w:t>
            </w: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capital</w:t>
            </w:r>
          </w:p>
        </w:tc>
        <w:tc>
          <w:tcPr>
            <w:tcW w:w="1180" w:type="dxa"/>
            <w:vAlign w:val="bottom"/>
          </w:tcPr>
          <w:p>
            <w:pPr>
              <w:ind w:left="78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13.37</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Leverage ratio</w:t>
            </w: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9.42</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CET1 capital</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2,844,828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2,824,732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2,578,830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2,582,475</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1 capital</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2,844,828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2,824,732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2,578,830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2,582,475</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3,106,528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3,104,806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2,795,530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2,797,549</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Risk-weighted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21,235,038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21,019,967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21,156,468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20,931,562</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total assets for the leverage ratio</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27,210,274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27,469,241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27,142,302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27,401,675</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March 31, 2026 and December 31, 2025, the minimum ratios as presented were subject to an additional capital conservation buffer of 2.50%</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211"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UNITED COMMUNITY BANKS,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is party to financial instruments with off-balance sheet risk in the normal course of business to meet the financing needs of its customers. These financial instruments include commitments to extend credit and letters of credit.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contractual amount of significant off-balance sheet instruments as of the dates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2"/>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instruments whose contract amounts represent credit risk:</w:t>
            </w:r>
          </w:p>
        </w:tc>
        <w:tc>
          <w:tcPr>
            <w:tcW w:w="2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3"/>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Commitments to extend credit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4,843,128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4,732,083</w:t>
            </w:r>
          </w:p>
        </w:tc>
      </w:tr>
      <w:tr>
        <w:trPr>
          <w:trHeight w:val="219"/>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Letters of credit</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53,008</w:t>
            </w: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Subsequent Events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Peach State Merger Announcement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21, 2026, United entered into a definitive merger agreement to acquire Peach State Bancshares, Inc. and its wholly-owned subsidiary, Peach State Bank &amp; Trust (collectively, “Peach State”), headquartered in Gainesville, Georgia. As of March 31, 2026, Peach State Bank &amp; Trust reported total assets of $789 million, with total loans of $498 million and total deposits of $713 million.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Peach State shareholders can elect to receive either the per share cash consideration of $31.75 or the per share stock consideration of 0.8978 shares of United common stock for each share of Peach State common stock outstanding, subject to proration such that 50% of the Peach State shares will receive stock consideration and 50% of the shares will receive cash consideration.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Debt Redemption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30, 2026, United redeemed its 2028 subordinated debentures, which had an outstanding principal amount of $100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our financial condition at March 31, 2026 and December 31, 2025 and our results of operations for the three months ended March 31, 2026 and 2025.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The following discussion and analysis should be read along with our consolidated financial statements and related notes included in Part I - Item 1 of this Report, “Cautionary Note Regarding Forward-Looking Statements” beginning on page 4 of this Report and the risk factors discussed in our Item 1A. of our 2025 10-K and in Part II, Item IA. of this Report.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in this Report, the terms “we,” “our,” “us” refer to United on a consolidated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Reconciliation and Explanation</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contains financial information determined by methods other than in accordance with GAAP. Such non-GAAP financial information includes the following measures: “tangible book value per common share,” and “tangible common equity to tangible assets.” In addition, management presents non-GAAP operating performance measures, which exclude merger-related and other items that are not part of our ongoing business operations. Operating performance measures include “noninterest income - operating,” “noninterest expense - operating,” “net income – operating,” “diluted income per common share – operating,” “return on common equity – operating,” “return on tangible common equity – operating,” and “return on assets – operating,” “efficiency ratio – operating” and “tangible common equity to tangible assets.” We have developed internal policies and procedures to accurately capture and account for merger-related and other charges we consider to be non-operating or non-recurring and those charges are reviewed with the Audit Committee of our Board each quarter. We use these non-GAAP measures because we believe they provide useful supplemental information for evaluating our operations and performance over periods of time, as well as in managing and evaluating our business and in discussions about our operations and performance. We believe these non-GAAP measures may also provide users of our financial information with a meaningful measure for assessing our financial results and credit trends, as well as a comparison to financial results for prior periods. Nevertheless, non-GAAP measures have inherent limitations, are not required to be uniformly applied and are not audited. These non-GAAP measures should be viewed in addition to, and not as an alternative to or substitute for, measures determined in accordance with GAAP. In addition, because non-GAAP measures are not standardized, it may not be possible to compare our non-GAAP measures to similarly titled measures used by other companies. To the extent applicable, reconciliations of these non-GAAP measures to the most directly comparable measures as reported in accordance with GAAP are included in Table 16 of MD&amp;A.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Executive Overview and Results of Operations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a wide array of commercial and consumer banking services and investment advisory solutions provided through a 200 banking office network throughout Georgia, South Carolina, North Carolina, Tennessee, Florida and Alabama. Our equipment finance and SBA/USDA lending businesses operate throughout the United States. At March 31, 2026, we had consolidated total assets of $28.2 billion and 3,118 full-time equivalent employees.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Activity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the end of the first quarter, on April 21, 2026, we entered into a definitive merger agreement to acquire Peach State Bancshares, Inc. and its wholly-owned subsidiary, Peach State Bank &amp; Trust, headquartered in Gainesville, Georgia. As of March 31, 2026, Peach State Bank &amp; Trust reported total assets of $788 million, with total loans of $498 million and total deposits of $713 million. We expect the merger to close in the third quarter of 2026. See Note 10 to the Notes of the Financial Statements for further detail.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reported net income and diluted earnings per common share of $84.3 million and $0.69, respectively, for the first quarter of 2026. This compared to net income and diluted earnings per common share of $71.4 million and $0.58, respectively, for the same period in 2025. Net income - operating for the first quarter of 2026 was $84.7 million, which excluded merger-related and other charges and a $6.70 million one-time payroll transition bonus, which were partially offset by a $5.18 million gain on a terminated cash flow hedge and the $1.89 million release of an accrual for the special FDIC insurance assessment related to certain 2023 bank failures that the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FDIC announced it no longer intended to collect. Net income - operating for the first quarter of 2025 was $72.4 million and excluded merger-related and other charges.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reported total revenue for the first quarters of 2026 and 2025 of $277 million and $248 million, respectively. FTE net interest revenue increased to $234 million for the first quarter of 2026, compared to $213 million for the first quarter of 2025. The increase was mostly driven by a $20.9 million decrease in deposit interest expense as the average rate paid on interest-bearing deposits decreased 52 basis points. The net interest margin increased to 3.65% for the three months ended March 31, 2026 from 3.36% for the same period in 2025, primarily due to the steeper decrease in interest rates paid on deposits compared to the decrease in interest rates earned on loans.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Noninterest income of $43.7 million for the first quarter of 2026 was up $8.09 million, or 23%, from the first quarter of 2025, primarily driven by the $5.18 million gain on the terminated cash flow hedge and a $1.39 million increase in other investment income.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provisions for credit losses of $10.9 million and $15.4 million for the first quarters of 2026 and 2025, respectively. The lower provision expense for the first quarter of 2026 mostly reflects a more favorable economic forecast compared to that of first quarter of 2025.</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 the first quarter of 2026, noninterest expense of $157 million increased by $16.2 million compared to the same period of 2025. The increase was mostly driven by a $17.0 million increase in salaries and employee benefits, primarily due to the one-time payroll transition bonus of $6.70 million and higher total compensation, a portion of which resulted from the acquisition of ANB in the second quarter of 2025, annual merit increases that became effective April 1, 2025 and higher incentives. This was partially offset by a $2.37 million decrease in FDIC assessment and other regulatory charges, reflecting the release of the remaining FDIC special assessment accrual and a lower assessment rate for the first quarter of 2026 compared to the same period of 2025.</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the first quarter of 2026 are discussed in further detail throughout the following sections of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4"/>
          <w:szCs w:val="14"/>
          <w:b w:val="1"/>
          <w:bCs w:val="1"/>
          <w:color w:val="auto"/>
        </w:rPr>
        <w:t>UNITED COMMUNITY BANKS, INC.</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Table 1 -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0" w:type="dxa"/>
            <w:vAlign w:val="bottom"/>
          </w:tcPr>
          <w:p>
            <w:pPr>
              <w:spacing w:after="0"/>
              <w:rPr>
                <w:sz w:val="1"/>
                <w:szCs w:val="1"/>
                <w:color w:val="auto"/>
              </w:rPr>
            </w:pPr>
          </w:p>
        </w:tc>
      </w:tr>
      <w:tr>
        <w:trPr>
          <w:trHeight w:val="67"/>
        </w:trPr>
        <w:tc>
          <w:tcPr>
            <w:tcW w:w="4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First</w:t>
            </w: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1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2026 - 2025</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12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20" w:type="dxa"/>
            <w:vAlign w:val="bottom"/>
          </w:tcPr>
          <w:p>
            <w:pPr>
              <w:spacing w:after="0"/>
              <w:rPr>
                <w:sz w:val="17"/>
                <w:szCs w:val="17"/>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SUMMARY</w:t>
            </w: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revenue</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333,961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346,367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353,850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347,365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335,357</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101,197</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108,441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120,221</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121,834</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123,336</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interest revenue</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232,764</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237,926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233,629</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225,531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212,021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86"/>
        </w:trPr>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43,746</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40,462</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43,219</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34,708</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35,656</w:t>
            </w:r>
          </w:p>
        </w:tc>
        <w:tc>
          <w:tcPr>
            <w:tcW w:w="118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86"/>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276,510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278,388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276,848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260,239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247,677</w:t>
            </w:r>
          </w:p>
        </w:tc>
        <w:tc>
          <w:tcPr>
            <w:tcW w:w="11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6"/>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00" w:type="dxa"/>
            <w:vAlign w:val="bottom"/>
          </w:tcPr>
          <w:p>
            <w:pPr>
              <w:spacing w:after="0"/>
              <w:rPr>
                <w:sz w:val="16"/>
                <w:szCs w:val="16"/>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10,853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13,662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7,907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11,818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15,419</w:t>
            </w: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2"/>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157,302</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152,048</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150,868</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147,919</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141,099</w:t>
            </w:r>
          </w:p>
        </w:tc>
        <w:tc>
          <w:tcPr>
            <w:tcW w:w="11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200" w:type="dxa"/>
            <w:vAlign w:val="bottom"/>
          </w:tcPr>
          <w:p>
            <w:pPr>
              <w:spacing w:after="0"/>
              <w:rPr>
                <w:sz w:val="15"/>
                <w:szCs w:val="15"/>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108,355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112,678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118,073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100,502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91,159</w:t>
            </w: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2"/>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24,066</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26,223</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26,579</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21,769</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19,746</w:t>
            </w:r>
          </w:p>
        </w:tc>
        <w:tc>
          <w:tcPr>
            <w:tcW w:w="11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00" w:type="dxa"/>
            <w:vAlign w:val="bottom"/>
          </w:tcPr>
          <w:p>
            <w:pPr>
              <w:spacing w:after="0"/>
              <w:rPr>
                <w:sz w:val="15"/>
                <w:szCs w:val="15"/>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84,289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86,455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91,494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78,733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71,413</w:t>
            </w: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2"/>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Non-operating items</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606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3,468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4,833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86"/>
        </w:trPr>
        <w:tc>
          <w:tcPr>
            <w:tcW w:w="4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Income tax benefit of non-operating items</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(751)</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(1,047)</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11"/>
        </w:trPr>
        <w:tc>
          <w:tcPr>
            <w:tcW w:w="4200" w:type="dxa"/>
            <w:vAlign w:val="bottom"/>
            <w:tcBorders>
              <w:bottom w:val="single" w:sz="8" w:color="CCEEFF"/>
            </w:tcBorders>
            <w:gridSpan w:val="2"/>
            <w:shd w:val="clear" w:color="auto" w:fill="CCEEFF"/>
          </w:tcPr>
          <w:p>
            <w:pPr>
              <w:ind w:left="140"/>
              <w:spacing w:after="0" w:line="186" w:lineRule="exact"/>
              <w:rPr>
                <w:sz w:val="20"/>
                <w:szCs w:val="20"/>
                <w:color w:val="auto"/>
              </w:rPr>
            </w:pPr>
            <w:r>
              <w:rPr>
                <w:rFonts w:ascii="Times New Roman" w:cs="Times New Roman" w:eastAsia="Times New Roman" w:hAnsi="Times New Roman"/>
                <w:sz w:val="14"/>
                <w:szCs w:val="14"/>
                <w:b w:val="1"/>
                <w:bCs w:val="1"/>
                <w:color w:val="auto"/>
              </w:rPr>
              <w:t xml:space="preserve">Net income - operating </w:t>
            </w:r>
            <w:r>
              <w:rPr>
                <w:rFonts w:ascii="Times New Roman" w:cs="Times New Roman" w:eastAsia="Times New Roman" w:hAnsi="Times New Roman"/>
                <w:sz w:val="18"/>
                <w:szCs w:val="18"/>
                <w:b w:val="1"/>
                <w:bCs w:val="1"/>
                <w:color w:val="auto"/>
                <w:vertAlign w:val="superscript"/>
              </w:rPr>
              <w:t>(1)</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84,684</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86,928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94,211</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82,519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72,429</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4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MEASURES</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Per common share:</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 net income - GAAP</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0.69</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0.70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0.70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0.63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0.58</w:t>
            </w:r>
          </w:p>
        </w:tc>
        <w:tc>
          <w:tcPr>
            <w:tcW w:w="11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9"/>
        </w:trPr>
        <w:tc>
          <w:tcPr>
            <w:tcW w:w="420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4"/>
                <w:szCs w:val="14"/>
                <w:color w:val="auto"/>
              </w:rPr>
              <w:t xml:space="preserve">Diluted net income - operating </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16"/>
                <w:szCs w:val="16"/>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0.70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0.75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0.66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0.59</w:t>
            </w: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9"/>
        </w:trPr>
        <w:tc>
          <w:tcPr>
            <w:tcW w:w="4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dividends declared</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0.25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0.25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0.25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0.24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0.24</w:t>
            </w:r>
          </w:p>
        </w:tc>
        <w:tc>
          <w:tcPr>
            <w:tcW w:w="11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6"/>
        </w:trPr>
        <w:tc>
          <w:tcPr>
            <w:tcW w:w="42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Book value</w:t>
            </w:r>
          </w:p>
        </w:tc>
        <w:tc>
          <w:tcPr>
            <w:tcW w:w="200" w:type="dxa"/>
            <w:vAlign w:val="bottom"/>
          </w:tcPr>
          <w:p>
            <w:pPr>
              <w:spacing w:after="0"/>
              <w:rPr>
                <w:sz w:val="16"/>
                <w:szCs w:val="16"/>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30.54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30.17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29.44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28.89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28.42</w:t>
            </w: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2"/>
        </w:trPr>
        <w:tc>
          <w:tcPr>
            <w:tcW w:w="4200" w:type="dxa"/>
            <w:vAlign w:val="bottom"/>
            <w:gridSpan w:val="2"/>
            <w:shd w:val="clear" w:color="auto" w:fill="CCEEFF"/>
          </w:tcPr>
          <w:p>
            <w:pPr>
              <w:ind w:left="220"/>
              <w:spacing w:after="0" w:line="193" w:lineRule="exact"/>
              <w:rPr>
                <w:sz w:val="20"/>
                <w:szCs w:val="20"/>
                <w:color w:val="auto"/>
              </w:rPr>
            </w:pPr>
            <w:r>
              <w:rPr>
                <w:rFonts w:ascii="Times New Roman" w:cs="Times New Roman" w:eastAsia="Times New Roman" w:hAnsi="Times New Roman"/>
                <w:sz w:val="14"/>
                <w:szCs w:val="14"/>
                <w:color w:val="auto"/>
              </w:rPr>
              <w:t xml:space="preserve">Tangible book value </w:t>
            </w:r>
            <w:r>
              <w:rPr>
                <w:rFonts w:ascii="Times New Roman" w:cs="Times New Roman" w:eastAsia="Times New Roman" w:hAnsi="Times New Roman"/>
                <w:sz w:val="18"/>
                <w:szCs w:val="18"/>
                <w:color w:val="auto"/>
                <w:vertAlign w:val="superscript"/>
              </w:rPr>
              <w:t>(3)</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22.56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22.24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21.59</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21.00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20.58</w:t>
            </w:r>
          </w:p>
        </w:tc>
        <w:tc>
          <w:tcPr>
            <w:tcW w:w="11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6"/>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Key performance ratios: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00" w:type="dxa"/>
            <w:vAlign w:val="bottom"/>
            <w:gridSpan w:val="2"/>
            <w:shd w:val="clear" w:color="auto" w:fill="CCEEFF"/>
          </w:tcPr>
          <w:p>
            <w:pPr>
              <w:ind w:left="220"/>
              <w:spacing w:after="0" w:line="193" w:lineRule="exact"/>
              <w:rPr>
                <w:sz w:val="20"/>
                <w:szCs w:val="20"/>
                <w:color w:val="auto"/>
              </w:rPr>
            </w:pPr>
            <w:r>
              <w:rPr>
                <w:rFonts w:ascii="Times New Roman" w:cs="Times New Roman" w:eastAsia="Times New Roman" w:hAnsi="Times New Roman"/>
                <w:sz w:val="14"/>
                <w:szCs w:val="14"/>
                <w:color w:val="auto"/>
              </w:rPr>
              <w:t xml:space="preserve">Return on common equity - GAAP </w:t>
            </w:r>
            <w:r>
              <w:rPr>
                <w:rFonts w:ascii="Times New Roman" w:cs="Times New Roman" w:eastAsia="Times New Roman" w:hAnsi="Times New Roman"/>
                <w:sz w:val="18"/>
                <w:szCs w:val="18"/>
                <w:color w:val="auto"/>
                <w:vertAlign w:val="superscript"/>
              </w:rPr>
              <w:t>(2)(4)</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9.35 %</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9.48 %</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9.20 %</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8.45 %</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7.89 %</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4"/>
                <w:szCs w:val="14"/>
                <w:color w:val="auto"/>
              </w:rPr>
              <w:t xml:space="preserve">Return on common equity - operating </w:t>
            </w:r>
            <w:r>
              <w:rPr>
                <w:rFonts w:ascii="Times New Roman" w:cs="Times New Roman" w:eastAsia="Times New Roman" w:hAnsi="Times New Roman"/>
                <w:sz w:val="18"/>
                <w:szCs w:val="18"/>
                <w:color w:val="auto"/>
                <w:vertAlign w:val="superscript"/>
              </w:rPr>
              <w:t>(1)(2)(4)</w:t>
            </w:r>
          </w:p>
        </w:tc>
        <w:tc>
          <w:tcPr>
            <w:tcW w:w="200" w:type="dxa"/>
            <w:vAlign w:val="bottom"/>
          </w:tcPr>
          <w:p>
            <w:pPr>
              <w:spacing w:after="0"/>
              <w:rPr>
                <w:sz w:val="16"/>
                <w:szCs w:val="16"/>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9.39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9.83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8.87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8.01</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4"/>
                <w:szCs w:val="14"/>
                <w:color w:val="auto"/>
              </w:rPr>
              <w:t xml:space="preserve">Return on tangible common equity - operating </w:t>
            </w:r>
            <w:r>
              <w:rPr>
                <w:rFonts w:ascii="Times New Roman" w:cs="Times New Roman" w:eastAsia="Times New Roman" w:hAnsi="Times New Roman"/>
                <w:sz w:val="18"/>
                <w:szCs w:val="18"/>
                <w:color w:val="auto"/>
                <w:vertAlign w:val="superscript"/>
              </w:rPr>
              <w:t>(1)(2)(3)(4)</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13.05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13.31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13.56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12.34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11.21</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4"/>
                <w:szCs w:val="14"/>
                <w:color w:val="auto"/>
              </w:rPr>
              <w:t xml:space="preserve">Return on assets - GAAP </w:t>
            </w:r>
            <w:r>
              <w:rPr>
                <w:rFonts w:ascii="Times New Roman" w:cs="Times New Roman" w:eastAsia="Times New Roman" w:hAnsi="Times New Roman"/>
                <w:sz w:val="18"/>
                <w:szCs w:val="18"/>
                <w:color w:val="auto"/>
                <w:vertAlign w:val="superscript"/>
              </w:rPr>
              <w:t>(4)</w:t>
            </w:r>
          </w:p>
        </w:tc>
        <w:tc>
          <w:tcPr>
            <w:tcW w:w="200" w:type="dxa"/>
            <w:vAlign w:val="bottom"/>
          </w:tcPr>
          <w:p>
            <w:pPr>
              <w:spacing w:after="0"/>
              <w:rPr>
                <w:sz w:val="16"/>
                <w:szCs w:val="16"/>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4"/>
                <w:szCs w:val="14"/>
                <w:color w:val="auto"/>
              </w:rPr>
              <w:t xml:space="preserve">Return on assets - operating </w:t>
            </w:r>
            <w:r>
              <w:rPr>
                <w:rFonts w:ascii="Times New Roman" w:cs="Times New Roman" w:eastAsia="Times New Roman" w:hAnsi="Times New Roman"/>
                <w:sz w:val="18"/>
                <w:szCs w:val="18"/>
                <w:color w:val="auto"/>
                <w:vertAlign w:val="superscript"/>
              </w:rPr>
              <w:t>(1)(4)</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4"/>
                <w:szCs w:val="14"/>
                <w:color w:val="auto"/>
              </w:rPr>
              <w:t xml:space="preserve">Net interest margin (FTE) </w:t>
            </w:r>
            <w:r>
              <w:rPr>
                <w:rFonts w:ascii="Times New Roman" w:cs="Times New Roman" w:eastAsia="Times New Roman" w:hAnsi="Times New Roman"/>
                <w:sz w:val="18"/>
                <w:szCs w:val="18"/>
                <w:color w:val="auto"/>
                <w:vertAlign w:val="superscript"/>
              </w:rPr>
              <w:t>(4)</w:t>
            </w:r>
          </w:p>
        </w:tc>
        <w:tc>
          <w:tcPr>
            <w:tcW w:w="200" w:type="dxa"/>
            <w:vAlign w:val="bottom"/>
          </w:tcPr>
          <w:p>
            <w:pPr>
              <w:spacing w:after="0"/>
              <w:rPr>
                <w:sz w:val="16"/>
                <w:szCs w:val="16"/>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3.36</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Efficiency ratio - GAAP</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56.66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54.40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54.30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56.69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56.74</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4"/>
                <w:szCs w:val="14"/>
                <w:color w:val="auto"/>
              </w:rPr>
              <w:t xml:space="preserve">Efficiency ratio - operating </w:t>
            </w:r>
            <w:r>
              <w:rPr>
                <w:rFonts w:ascii="Times New Roman" w:cs="Times New Roman" w:eastAsia="Times New Roman" w:hAnsi="Times New Roman"/>
                <w:sz w:val="18"/>
                <w:szCs w:val="18"/>
                <w:color w:val="auto"/>
                <w:vertAlign w:val="superscript"/>
              </w:rPr>
              <w:t>(1)</w:t>
            </w:r>
          </w:p>
        </w:tc>
        <w:tc>
          <w:tcPr>
            <w:tcW w:w="200" w:type="dxa"/>
            <w:vAlign w:val="bottom"/>
          </w:tcPr>
          <w:p>
            <w:pPr>
              <w:spacing w:after="0"/>
              <w:rPr>
                <w:sz w:val="16"/>
                <w:szCs w:val="16"/>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55.65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54.19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53.05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54.84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56.22</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to total assets</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12.99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12.78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12.86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12.56</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4"/>
                <w:szCs w:val="14"/>
                <w:color w:val="auto"/>
              </w:rPr>
              <w:t xml:space="preserve">Tangible common equity to tangible assets </w:t>
            </w:r>
            <w:r>
              <w:rPr>
                <w:rFonts w:ascii="Times New Roman" w:cs="Times New Roman" w:eastAsia="Times New Roman" w:hAnsi="Times New Roman"/>
                <w:sz w:val="18"/>
                <w:szCs w:val="18"/>
                <w:color w:val="auto"/>
                <w:vertAlign w:val="superscript"/>
              </w:rPr>
              <w:t>(3)</w:t>
            </w:r>
          </w:p>
        </w:tc>
        <w:tc>
          <w:tcPr>
            <w:tcW w:w="200" w:type="dxa"/>
            <w:vAlign w:val="bottom"/>
          </w:tcPr>
          <w:p>
            <w:pPr>
              <w:spacing w:after="0"/>
              <w:rPr>
                <w:sz w:val="16"/>
                <w:szCs w:val="16"/>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9.92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9.71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9.45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9.18</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4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 QUALITY</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NPAs</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98,623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93,498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97,916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83,959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93,290</w:t>
            </w:r>
          </w:p>
        </w:tc>
        <w:tc>
          <w:tcPr>
            <w:tcW w:w="11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6"/>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ACL - loans</w:t>
            </w:r>
          </w:p>
        </w:tc>
        <w:tc>
          <w:tcPr>
            <w:tcW w:w="200" w:type="dxa"/>
            <w:vAlign w:val="bottom"/>
          </w:tcPr>
          <w:p>
            <w:pPr>
              <w:spacing w:after="0"/>
              <w:rPr>
                <w:sz w:val="16"/>
                <w:szCs w:val="16"/>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208,396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210,429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215,791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216,500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211,974</w:t>
            </w: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2"/>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charge-offs</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10,377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16,418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7,676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8,225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9,607</w:t>
            </w:r>
          </w:p>
        </w:tc>
        <w:tc>
          <w:tcPr>
            <w:tcW w:w="11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6"/>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ACL - loans to loans</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00" w:type="dxa"/>
            <w:vAlign w:val="bottom"/>
            <w:gridSpan w:val="2"/>
            <w:shd w:val="clear" w:color="auto" w:fill="CCEEFF"/>
          </w:tcPr>
          <w:p>
            <w:pPr>
              <w:ind w:left="140"/>
              <w:spacing w:after="0" w:line="193" w:lineRule="exact"/>
              <w:rPr>
                <w:sz w:val="20"/>
                <w:szCs w:val="20"/>
                <w:color w:val="auto"/>
              </w:rPr>
            </w:pPr>
            <w:r>
              <w:rPr>
                <w:rFonts w:ascii="Times New Roman" w:cs="Times New Roman" w:eastAsia="Times New Roman" w:hAnsi="Times New Roman"/>
                <w:sz w:val="14"/>
                <w:szCs w:val="14"/>
                <w:color w:val="auto"/>
              </w:rPr>
              <w:t xml:space="preserve">Net charge-offs to average loans </w:t>
            </w:r>
            <w:r>
              <w:rPr>
                <w:rFonts w:ascii="Times New Roman" w:cs="Times New Roman" w:eastAsia="Times New Roman" w:hAnsi="Times New Roman"/>
                <w:sz w:val="18"/>
                <w:szCs w:val="18"/>
                <w:color w:val="auto"/>
                <w:vertAlign w:val="superscript"/>
              </w:rPr>
              <w:t>(4)</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0.22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0.34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0.16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0.18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0.21</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NPAs to total assets</w:t>
            </w:r>
          </w:p>
        </w:tc>
        <w:tc>
          <w:tcPr>
            <w:tcW w:w="200" w:type="dxa"/>
            <w:vAlign w:val="bottom"/>
          </w:tcPr>
          <w:p>
            <w:pPr>
              <w:spacing w:after="0"/>
              <w:rPr>
                <w:sz w:val="16"/>
                <w:szCs w:val="16"/>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0.35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0.35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0.30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0.33</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AT PERIOD END </w:t>
            </w:r>
            <w:r>
              <w:rPr>
                <w:rFonts w:ascii="Times New Roman" w:cs="Times New Roman" w:eastAsia="Times New Roman" w:hAnsi="Times New Roman"/>
                <w:sz w:val="14"/>
                <w:szCs w:val="14"/>
                <w:i w:val="1"/>
                <w:iCs w:val="1"/>
                <w:color w:val="auto"/>
              </w:rPr>
              <w:t>($ in millions)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19,602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19,384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19,175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18,921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18,425</w:t>
            </w:r>
          </w:p>
        </w:tc>
        <w:tc>
          <w:tcPr>
            <w:tcW w:w="11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6"/>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Investment securities</w:t>
            </w:r>
          </w:p>
        </w:tc>
        <w:tc>
          <w:tcPr>
            <w:tcW w:w="200" w:type="dxa"/>
            <w:vAlign w:val="bottom"/>
          </w:tcPr>
          <w:p>
            <w:pPr>
              <w:spacing w:after="0"/>
              <w:rPr>
                <w:sz w:val="16"/>
                <w:szCs w:val="16"/>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5,889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5,988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6,163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6,382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6,661</w:t>
            </w: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2"/>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28,177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28,003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28,143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28,086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27,874</w:t>
            </w:r>
          </w:p>
        </w:tc>
        <w:tc>
          <w:tcPr>
            <w:tcW w:w="11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6"/>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200" w:type="dxa"/>
            <w:vAlign w:val="bottom"/>
          </w:tcPr>
          <w:p>
            <w:pPr>
              <w:spacing w:after="0"/>
              <w:rPr>
                <w:sz w:val="16"/>
                <w:szCs w:val="16"/>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24,025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23,798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24,021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23,963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23,762</w:t>
            </w:r>
          </w:p>
        </w:tc>
        <w:tc>
          <w:tcPr>
            <w:tcW w:w="11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2"/>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Shareholders’ equity</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3,655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3,639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3,597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3,613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3,501</w:t>
            </w:r>
          </w:p>
        </w:tc>
        <w:tc>
          <w:tcPr>
            <w:tcW w:w="11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2"/>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Common shares outstanding (thousands)</w:t>
            </w:r>
          </w:p>
        </w:tc>
        <w:tc>
          <w:tcPr>
            <w:tcW w:w="200" w:type="dxa"/>
            <w:vAlign w:val="bottom"/>
          </w:tcPr>
          <w:p>
            <w:pPr>
              <w:spacing w:after="0"/>
              <w:rPr>
                <w:sz w:val="15"/>
                <w:szCs w:val="15"/>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119,684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120,598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121,553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121,431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119,514</w:t>
            </w:r>
          </w:p>
        </w:tc>
        <w:tc>
          <w:tcPr>
            <w:tcW w:w="80" w:type="dxa"/>
            <w:vAlign w:val="bottom"/>
          </w:tcPr>
          <w:p>
            <w:pPr>
              <w:spacing w:after="0"/>
              <w:rPr>
                <w:sz w:val="15"/>
                <w:szCs w:val="15"/>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right="20" w:firstLine="8"/>
        <w:spacing w:after="0" w:line="365" w:lineRule="auto"/>
        <w:tabs>
          <w:tab w:leader="none" w:pos="115" w:val="left"/>
        </w:tabs>
        <w:numPr>
          <w:ilvl w:val="0"/>
          <w:numId w:val="8"/>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E</w:t>
      </w:r>
      <w:r>
        <w:rPr>
          <w:rFonts w:ascii="Times New Roman" w:cs="Times New Roman" w:eastAsia="Times New Roman" w:hAnsi="Times New Roman"/>
          <w:sz w:val="11"/>
          <w:szCs w:val="11"/>
          <w:color w:val="auto"/>
        </w:rPr>
        <w:t>xcludes non-operating items as detailed on Non-GAAP Performance Measures Reconciliation on page</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1"/>
          <w:szCs w:val="11"/>
          <w:u w:val="single" w:color="auto"/>
          <w:color w:val="0000FF"/>
        </w:rPr>
        <w:t>46</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1"/>
          <w:szCs w:val="11"/>
          <w:color w:val="auto"/>
        </w:rPr>
        <w:t>Net income less preferred stock dividends, divided by average realized common</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1"/>
          <w:szCs w:val="11"/>
          <w:color w:val="auto"/>
        </w:rPr>
        <w:t xml:space="preserve">equity, which excludes AOCI. </w:t>
      </w:r>
      <w:r>
        <w:rPr>
          <w:rFonts w:ascii="Times New Roman" w:cs="Times New Roman" w:eastAsia="Times New Roman" w:hAnsi="Times New Roman"/>
          <w:sz w:val="8"/>
          <w:szCs w:val="8"/>
          <w:color w:val="auto"/>
        </w:rPr>
        <w:t>(3)</w:t>
      </w:r>
      <w:r>
        <w:rPr>
          <w:rFonts w:ascii="Times New Roman" w:cs="Times New Roman" w:eastAsia="Times New Roman" w:hAnsi="Times New Roman"/>
          <w:sz w:val="11"/>
          <w:szCs w:val="11"/>
          <w:color w:val="auto"/>
        </w:rPr>
        <w:t xml:space="preserve"> Excludes effect of acquisition related intangibles and associated amortization. </w:t>
      </w:r>
      <w:r>
        <w:rPr>
          <w:rFonts w:ascii="Times New Roman" w:cs="Times New Roman" w:eastAsia="Times New Roman" w:hAnsi="Times New Roman"/>
          <w:sz w:val="8"/>
          <w:szCs w:val="8"/>
          <w:color w:val="auto"/>
        </w:rPr>
        <w:t>(4)</w:t>
      </w:r>
      <w:r>
        <w:rPr>
          <w:rFonts w:ascii="Times New Roman" w:cs="Times New Roman" w:eastAsia="Times New Roman" w:hAnsi="Times New Roman"/>
          <w:sz w:val="11"/>
          <w:szCs w:val="11"/>
          <w:color w:val="auto"/>
        </w:rPr>
        <w:t xml:space="preserve"> Annualized.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Revenue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provides additional details on the daily average balances and net interest revenue for the periods presented. The table that follows indicates the relationship between interest revenue and expense and the daily average amounts of assets and liabilities, which provides further insight into net interest spread and net interest margin for the periods indicated.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FTE net interest revenue for the first quarter of 2026 was $234 million, representing an increase of $20.9 million, or 10%, from the same period in 2025. The net interest spreads for the first quarters of 2026 and 2025 were 2.92% and 2.46%, respectively. The net interest margins for the first quarters of 2026 and 2025 were 3.65% and 3.36%, respectively.</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interest rate environment changes over the past year included aggregate reductions of 75 basis points in the federal funds rate, which drove decreases in funding costs, and to a lesser extent, loan yields. As a result, the primary driver in the increase in FTE net interest revenue for the first quarter of 2026 was a $20.9 million decrease in deposit interest expense. Interest revenue from interest-earning assets decreased $1.28 million. Loan interest revenue increased $12.7 million compared to the same period of 2025, mostly driven by loan growth, while securities interest revenue decreased $12.7 million due to both a lower average balances and a decrease in the average rate earned. The increase in net interest revenue for the first quarter of 2026 also reflects net interest revenue from the loans and deposits acquired in the ANB merger, which closed on May 1, 2025. The increase in net interest margin and net interest spread was primarily driven by a steeper decrease in average rates paid on deposits compared to the decrease in rates earned on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8"/>
          <w:szCs w:val="18"/>
          <w:b w:val="1"/>
          <w:bCs w:val="1"/>
          <w:color w:val="auto"/>
        </w:rPr>
        <w:t>Table 2 - Average Consolidated Balance Sheets and Net Interest Analysis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 the Three Months Ended March 31,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(FTE))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Interest-earning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Loans, net of unearned income (FTE) </w:t>
            </w:r>
            <w:r>
              <w:rPr>
                <w:rFonts w:ascii="Times New Roman" w:cs="Times New Roman" w:eastAsia="Times New Roman" w:hAnsi="Times New Roman"/>
                <w:sz w:val="21"/>
                <w:szCs w:val="21"/>
                <w:color w:val="auto"/>
                <w:vertAlign w:val="superscript"/>
              </w:rPr>
              <w:t>(1)(2)</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19,403,795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286,629</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5.99 %</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18,213,501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273,930</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6.10 %</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Taxable securities </w:t>
            </w:r>
            <w:r>
              <w:rPr>
                <w:rFonts w:ascii="Times New Roman" w:cs="Times New Roman" w:eastAsia="Times New Roman" w:hAnsi="Times New Roman"/>
                <w:sz w:val="21"/>
                <w:szCs w:val="21"/>
                <w:color w:val="auto"/>
                <w:vertAlign w:val="superscript"/>
              </w:rPr>
              <w:t>(3)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5,926,885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44,483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6,737,658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57,172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Tax-exempt securities (FTE) </w:t>
            </w:r>
            <w:r>
              <w:rPr>
                <w:rFonts w:ascii="Times New Roman" w:cs="Times New Roman" w:eastAsia="Times New Roman" w:hAnsi="Times New Roman"/>
                <w:sz w:val="21"/>
                <w:szCs w:val="21"/>
                <w:color w:val="auto"/>
                <w:vertAlign w:val="superscript"/>
              </w:rPr>
              <w:t>(1)(3)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346,420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356,712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2.52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interest-earning assets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308,424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400,592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interest-earning assets (FTE)</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25,985,524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335,069</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5.22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25,708,463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336,348</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5.29</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Noninterest-earning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due from banks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219,540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Premises and equipment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396,443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Other assets </w:t>
            </w:r>
            <w:r>
              <w:rPr>
                <w:rFonts w:ascii="Times New Roman" w:cs="Times New Roman" w:eastAsia="Times New Roman" w:hAnsi="Times New Roman"/>
                <w:sz w:val="21"/>
                <w:szCs w:val="21"/>
                <w:color w:val="auto"/>
                <w:vertAlign w:val="superscript"/>
              </w:rPr>
              <w:t>(3)</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1,705,566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1,610,104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28,072,161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27,724,381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5,853,104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28,129</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1.95</w:t>
            </w:r>
          </w:p>
        </w:tc>
        <w:tc>
          <w:tcPr>
            <w:tcW w:w="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6,134,004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37,390</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Money market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6,826,707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40,709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6,583,963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49,541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13"/>
        </w:trPr>
        <w:tc>
          <w:tcPr>
            <w:tcW w:w="4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Savings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1,089,856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1,096,308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Time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3,651,034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3,446,048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Brokered time deposits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60,279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50,447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4.41</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17,480,980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98,029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17,310,770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118,934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07"/>
        </w:trPr>
        <w:tc>
          <w:tcPr>
            <w:tcW w:w="4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 funds purchased and other borrowings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00" w:type="dxa"/>
            <w:vAlign w:val="bottom"/>
          </w:tcPr>
          <w:p>
            <w:pPr>
              <w:spacing w:after="0"/>
              <w:rPr>
                <w:sz w:val="17"/>
                <w:szCs w:val="17"/>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00" w:type="dxa"/>
            <w:vAlign w:val="bottom"/>
          </w:tcPr>
          <w:p>
            <w:pPr>
              <w:spacing w:after="0"/>
              <w:rPr>
                <w:sz w:val="17"/>
                <w:szCs w:val="17"/>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Home Loan Bank advances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120,450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254,220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2,862</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borrowed funds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330,396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373,880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4.77</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Total interest-bearing liabilities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17,811,376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101,197</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17,684,650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123,336</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199"/>
        </w:trPr>
        <w:tc>
          <w:tcPr>
            <w:tcW w:w="4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6,265,370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6,194,217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337,611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369,939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24,414,357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24,248,806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3,657,804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3,475,575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28,072,161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27,724,381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revenue (FTE)</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233,872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213,012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interest-rate spread (FTE)</w:t>
            </w: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ind w:left="520"/>
              <w:spacing w:after="0"/>
              <w:rPr>
                <w:sz w:val="20"/>
                <w:szCs w:val="20"/>
                <w:color w:val="auto"/>
              </w:rPr>
            </w:pPr>
            <w:r>
              <w:rPr>
                <w:rFonts w:ascii="Times New Roman" w:cs="Times New Roman" w:eastAsia="Times New Roman" w:hAnsi="Times New Roman"/>
                <w:sz w:val="16"/>
                <w:szCs w:val="16"/>
                <w:color w:val="auto"/>
              </w:rPr>
              <w:t>2.92 %</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ind w:left="520"/>
              <w:spacing w:after="0"/>
              <w:rPr>
                <w:sz w:val="20"/>
                <w:szCs w:val="20"/>
                <w:color w:val="auto"/>
              </w:rPr>
            </w:pPr>
            <w:r>
              <w:rPr>
                <w:rFonts w:ascii="Times New Roman" w:cs="Times New Roman" w:eastAsia="Times New Roman" w:hAnsi="Times New Roman"/>
                <w:sz w:val="16"/>
                <w:szCs w:val="16"/>
                <w:color w:val="auto"/>
              </w:rPr>
              <w:t>2.46 %</w:t>
            </w:r>
          </w:p>
        </w:tc>
        <w:tc>
          <w:tcPr>
            <w:tcW w:w="0" w:type="dxa"/>
            <w:vAlign w:val="bottom"/>
          </w:tcPr>
          <w:p>
            <w:pPr>
              <w:spacing w:after="0" w:line="20" w:lineRule="exact"/>
              <w:rPr>
                <w:sz w:val="1"/>
                <w:szCs w:val="1"/>
                <w:color w:val="auto"/>
              </w:rPr>
            </w:pPr>
          </w:p>
        </w:tc>
      </w:tr>
      <w:tr>
        <w:trPr>
          <w:trHeight w:val="163"/>
        </w:trPr>
        <w:tc>
          <w:tcPr>
            <w:tcW w:w="4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8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Net interest margin (FTE) </w:t>
            </w:r>
            <w:r>
              <w:rPr>
                <w:rFonts w:ascii="Times New Roman" w:cs="Times New Roman" w:eastAsia="Times New Roman" w:hAnsi="Times New Roman"/>
                <w:sz w:val="21"/>
                <w:szCs w:val="21"/>
                <w:color w:val="auto"/>
                <w:vertAlign w:val="superscript"/>
              </w:rPr>
              <w:t>(4)</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3.65 %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3.36 %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ind w:left="340" w:hanging="332"/>
        <w:spacing w:after="0" w:line="267" w:lineRule="auto"/>
        <w:tabs>
          <w:tab w:leader="none" w:pos="327"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Interest revenue on tax-exempt securities and loans includes a taxable-equivalent adjustment to reflect comparable interest on taxable securities and loans. The FTE adjustment totaled $1.11 million and $991,000, respectively, for the three months ended March 31, 2026 and 2025. The tax rate used to calculate the adjustment was 25%, reflecting the statutory federal income tax rate and the federal tax adjusted state income tax rate.</w:t>
      </w:r>
    </w:p>
    <w:p>
      <w:pPr>
        <w:spacing w:after="0" w:line="1" w:lineRule="exact"/>
        <w:rPr>
          <w:rFonts w:ascii="Times New Roman" w:cs="Times New Roman" w:eastAsia="Times New Roman" w:hAnsi="Times New Roman"/>
          <w:sz w:val="9"/>
          <w:szCs w:val="9"/>
          <w:color w:val="auto"/>
        </w:rPr>
      </w:pPr>
    </w:p>
    <w:p>
      <w:pPr>
        <w:ind w:left="320" w:hanging="312"/>
        <w:spacing w:after="0" w:line="192" w:lineRule="auto"/>
        <w:tabs>
          <w:tab w:leader="none" w:pos="32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the average balance of loans outstanding are loans on which the accrual of interest has been discontinued.</w:t>
      </w:r>
    </w:p>
    <w:p>
      <w:pPr>
        <w:spacing w:after="0" w:line="3" w:lineRule="exact"/>
        <w:rPr>
          <w:rFonts w:ascii="Times New Roman" w:cs="Times New Roman" w:eastAsia="Times New Roman" w:hAnsi="Times New Roman"/>
          <w:sz w:val="19"/>
          <w:szCs w:val="19"/>
          <w:color w:val="auto"/>
          <w:vertAlign w:val="superscript"/>
        </w:rPr>
      </w:pPr>
    </w:p>
    <w:p>
      <w:pPr>
        <w:ind w:left="340" w:hanging="332"/>
        <w:spacing w:after="0" w:line="211" w:lineRule="auto"/>
        <w:tabs>
          <w:tab w:leader="none" w:pos="327"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Unrealized losses on AFS securities, including those related to the transfer from AFS to HTM, have been reclassified to other assets. Pretax unrealized losses of $176 million in 2026 and $269 million in 2025 are included in other assets for purposes of this presentation.</w:t>
      </w:r>
    </w:p>
    <w:p>
      <w:pPr>
        <w:ind w:left="320" w:hanging="312"/>
        <w:spacing w:after="0" w:line="192" w:lineRule="auto"/>
        <w:tabs>
          <w:tab w:leader="none" w:pos="32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interest margin is taxable equivalent net interest revenue divided by average interest-earning assets.</w:t>
      </w:r>
    </w:p>
    <w:p>
      <w:pPr>
        <w:sectPr>
          <w:pgSz w:w="11900" w:h="16838" w:orient="portrait"/>
          <w:cols w:equalWidth="0" w:num="1">
            <w:col w:w="11240"/>
          </w:cols>
          <w:pgMar w:left="320" w:top="968"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income for the periods indicated.</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3 - Noninterest Income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2320" w:type="dxa"/>
            <w:vAlign w:val="bottom"/>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3"/>
            <w:vMerge w:val="restart"/>
          </w:tcPr>
          <w:p>
            <w:pPr>
              <w:ind w:left="7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vMerge w:val="continue"/>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8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Service charges and fees:</w:t>
            </w:r>
          </w:p>
        </w:tc>
        <w:tc>
          <w:tcPr>
            <w:tcW w:w="8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Overdraft fees</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4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ATM and debit card fees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3,606</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w w:val="96"/>
              </w:rPr>
              <w:t>(5)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Other service charges and fees</w:t>
            </w: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840" w:type="dxa"/>
            <w:vAlign w:val="bottom"/>
          </w:tcPr>
          <w:p>
            <w:pPr>
              <w:ind w:left="1340"/>
              <w:spacing w:after="0"/>
              <w:rPr>
                <w:sz w:val="20"/>
                <w:szCs w:val="20"/>
                <w:color w:val="auto"/>
              </w:rPr>
            </w:pPr>
            <w:r>
              <w:rPr>
                <w:rFonts w:ascii="Times New Roman" w:cs="Times New Roman" w:eastAsia="Times New Roman" w:hAnsi="Times New Roman"/>
                <w:sz w:val="16"/>
                <w:szCs w:val="16"/>
                <w:color w:val="auto"/>
              </w:rPr>
              <w:t>Total service charges and fees</w:t>
            </w: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9,545</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gridSpan w:val="2"/>
          </w:tcPr>
          <w:p>
            <w:pPr>
              <w:jc w:val="right"/>
              <w:ind w:right="13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Mortgage loan gains and related fees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w:t>
            </w: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Wealth management fees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4,629</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Net gains (losses) on sales of other loans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w:t>
            </w: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Lending and loan servicing fees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w w:val="96"/>
              </w:rPr>
              <w:t>(5)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Securities gains, net</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center"/>
              <w:ind w:right="78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484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Other noninterest income:</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Customer derivative fees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4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Trading securities losses</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2"/>
          </w:tcPr>
          <w:p>
            <w:pPr>
              <w:jc w:val="center"/>
              <w:ind w:right="78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Other investment income</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center"/>
              <w:ind w:right="78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484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BOLI</w:t>
            </w: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w w:val="96"/>
              </w:rPr>
              <w:t>(8)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6"/>
                <w:szCs w:val="16"/>
                <w:color w:val="auto"/>
              </w:rPr>
              <w:t>Treasury management income</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40" w:type="dxa"/>
            <w:vAlign w:val="bottom"/>
            <w:tcBorders>
              <w:bottom w:val="single" w:sz="8" w:color="CCEEFF"/>
            </w:tcBorders>
          </w:tcPr>
          <w:p>
            <w:pPr>
              <w:ind w:left="126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8,926</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gridSpan w:val="2"/>
          </w:tcPr>
          <w:p>
            <w:pPr>
              <w:jc w:val="center"/>
              <w:ind w:right="78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Total other noninterest income</w:t>
            </w: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15,546</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4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Total noninterest income</w:t>
            </w: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43,746</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35,656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increase in mortgage loan gains and related fees for the three months ended March 31, 2026 compared to the same period of 2025 was primarily a result of an increase in mortgage servicing income of $1.04 million, which includes fair value adjustments to our mortgage servicing asset. During the first quarter of 2026, we began an economic hedging strategy utilizing a trading securities portfolio, with the intention of offsetting the impact of the changes in the fair value of our mortgage servicing asset with the gains or losses on trading securities. During the first quarter of 2026, we recognized $1.07 million losses on trading securities, which is included in other noninterest income.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other investment income reflects higher earnings on our fintech and limited partnership investments compared to the same period of 2025. Our other investment portfolio includes mutual funds, equity securities, fintech and other limited partnership investments. Gains and losses from these investments are generally unrealized.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other noninterest income was primarily driven by the $5.18 million gain on the termination of an interest rate cap accounted for as a cash flow hedge of our $100 million subordinated debt, for which redemption notice was provided in the first quarter of 2026. The subordinated debt was subsequently redeemed on April 30,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provisions for credit losses of $10.9 million for the three months ended March 31, 2026, compared to $15.4 million for the same period of 2025. The amount of provision recorded in each period was the amount required such that the total ACL reflected the appropriate balance as determined by management reflecting expected life of loan losses. Additional discussion on credit quality and the ACL is included in the “Allowance for Credit Losses” section of MD&amp;A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noninterest expense for the periods indicated.</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4 - Noninterest Expense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270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3"/>
            <w:vMerge w:val="restart"/>
          </w:tcPr>
          <w:p>
            <w:pPr>
              <w:ind w:left="8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11"/>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101,249</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84,267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16,982</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1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Communications and equipment</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Advertising and public relations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Postage, printing and supplies</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5,576</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Lending and loan servicing expense</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Outside services - electronic banking</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3,559</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FDIC assessments and other regulatory charges</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Merger-related and other charges</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3"/>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7,150</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37"/>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157,302</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salaries and employee benefits for the first quarter of 2026 compared to 2025 was mostly driven by the $6.70 million one-time payroll transition bonus described below, annual merit increases that went into effect on April 1, 2025, higher performance-related incentive compensation and the addition of ANB employees on May 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one-time payroll transition bonus was a result of our first quarter transition from a semi-monthly payroll cycle to a bi-weekly payroll cycle in arrears.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bonus was paid to bridge the resulting gap in payroll dates due to the schedule change.</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FDIC assessments and other regulatory charges reflects a $1.89 million accrual reversal of the FDIC special assessment related to certain 2023 bank failures, as the FDIC announced it no longer intended to collect the remainder of the assessment. In addition, our assessment rate for the first quarter of 2026 decreased compared to the first quarter of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income tax expense and the effective tax rate for the periods indicated.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5 - Income Tax 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151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5"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54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80" w:type="dxa"/>
            <w:vAlign w:val="bottom"/>
            <w:tcBorders>
              <w:bottom w:val="single" w:sz="8" w:color="CCEEFF"/>
            </w:tcBorders>
          </w:tcPr>
          <w:p>
            <w:pPr>
              <w:spacing w:after="0"/>
              <w:rPr>
                <w:sz w:val="18"/>
                <w:szCs w:val="18"/>
                <w:color w:val="auto"/>
              </w:rPr>
            </w:pPr>
          </w:p>
        </w:tc>
      </w:tr>
      <w:tr>
        <w:trPr>
          <w:trHeight w:val="211"/>
        </w:trPr>
        <w:tc>
          <w:tcPr>
            <w:tcW w:w="686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108,355</w:t>
            </w:r>
          </w:p>
        </w:tc>
        <w:tc>
          <w:tcPr>
            <w:tcW w:w="3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91,159</w:t>
            </w:r>
          </w:p>
        </w:tc>
        <w:tc>
          <w:tcPr>
            <w:tcW w:w="1380" w:type="dxa"/>
            <w:vAlign w:val="bottom"/>
            <w:shd w:val="clear" w:color="auto" w:fill="CCEEFF"/>
          </w:tcPr>
          <w:p>
            <w:pPr>
              <w:spacing w:after="0"/>
              <w:rPr>
                <w:sz w:val="18"/>
                <w:szCs w:val="18"/>
                <w:color w:val="auto"/>
              </w:rPr>
            </w:pPr>
          </w:p>
        </w:tc>
      </w:tr>
      <w:tr>
        <w:trPr>
          <w:trHeight w:val="213"/>
        </w:trPr>
        <w:tc>
          <w:tcPr>
            <w:tcW w:w="686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tcPr>
          <w:p>
            <w:pPr>
              <w:spacing w:after="0"/>
              <w:rPr>
                <w:sz w:val="18"/>
                <w:szCs w:val="18"/>
                <w:color w:val="auto"/>
              </w:rPr>
            </w:pP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24,066</w:t>
            </w:r>
          </w:p>
        </w:tc>
        <w:tc>
          <w:tcPr>
            <w:tcW w:w="38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19,746</w:t>
            </w:r>
          </w:p>
        </w:tc>
        <w:tc>
          <w:tcPr>
            <w:tcW w:w="1380" w:type="dxa"/>
            <w:vAlign w:val="bottom"/>
          </w:tcPr>
          <w:p>
            <w:pPr>
              <w:spacing w:after="0"/>
              <w:rPr>
                <w:sz w:val="18"/>
                <w:szCs w:val="18"/>
                <w:color w:val="auto"/>
              </w:rPr>
            </w:pPr>
          </w:p>
        </w:tc>
      </w:tr>
      <w:tr>
        <w:trPr>
          <w:trHeight w:val="219"/>
        </w:trPr>
        <w:tc>
          <w:tcPr>
            <w:tcW w:w="686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Effective tax rate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22.2 %</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21.7 %</w:t>
            </w:r>
          </w:p>
        </w:tc>
        <w:tc>
          <w:tcPr>
            <w:tcW w:w="1380" w:type="dxa"/>
            <w:vAlign w:val="bottom"/>
            <w:shd w:val="clear" w:color="auto" w:fill="CCEEFF"/>
          </w:tcPr>
          <w:p>
            <w:pPr>
              <w:spacing w:after="0"/>
              <w:rPr>
                <w:sz w:val="19"/>
                <w:szCs w:val="19"/>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Managing Risk</w:t>
      </w:r>
    </w:p>
    <w:p>
      <w:pPr>
        <w:spacing w:after="0" w:line="25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business purpose is to provide financial services and products to customers, which inherently comes with risk. We strive to manage, mitigate and optimize that risk appropriately. We maintain an enterprise risk framework that provides for the structure of the governance and oversight of our primary risk categories, which include credit, liquidity, market/interest rate, capital, strategic, operational, legal/compliance and reputation. The objective of our risk framework is to establish a formal structure for identifying, assessing, managing, monitoring and reporting risks in order to assist the Bank in achieving its strategic objectives.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of our financial results and activities for the periods covered by this Report are grouped into their most relevant risk categories of Credit Risk Management, Liquidity Risk Management, Market / Interest Rate Risk Management and</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Capital Risk Management. For more information on our risks, see Item 1A. Risk Factors and the Managing Risk section in MD&amp;A of the 2025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 Risk Management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loan portfolio is the largest asset class on our balance sheet; therefore, credit risk management plays a key role in our overall risk management infrastructure. Credit risk is inherent to the lending function; thus, a sound risk management system is essential to maximize returns within acceptable risk parameters.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asset quality and control credit risk through review and oversight of the loan portfolio as well as adherence to policies designed to promote sound underwriting and loan monitoring practices. Our credit risk management function is responsible for monitoring asset quality and Board approved portfolio concentration limits, establishing credit policies and procedures and enforcing the consistent application of these policies and procedures.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reviews of classified performing and non-performing loans, FDMs, past due loans and portfolio concentrations on a regular basis to identify risk migration and potential charges to the ACL. These items are discussed in a series of meetings attended by Credit Risk Management and other senior leadership from various lending groups. In addition to the reviews mentioned above, an independent loan review team reviews the portfolio to ensure consistent application of credit and risk rating policies and procedures.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see Credit Risk Management in the MD&amp;A of the 2025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loans totaled $19.6 billion, compared to $19.4 billion at December 31, 2025. The increase was primarily driven by organic loan growth, particularly in our commercial portfolio.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ACL reflects our assessment of the life of loan expected credit losses in the loan portfolio and unfunded loan commitments. This assessment involves uncertainty and judgment and is subject to change in future periods. See the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section of MD&amp;A in our 2025 10-K for additional information on the ACL.</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ACL for loans at March 31, 2026 totaled $208 million compared to $210 million at December 31, 2025 and the ACL for loans as a percentage of total loans decreased slightly to 1.06% from 1.09%. The decrease in the ACL was primarily attributable to a more positive economic forecast at March 31, 2026 compared to December 31, 2026. Our ACL for unfunded commitments, which totaled $17.6 million, increased $2.51 million compared to December 31, 2025 mostly due to an increase in our construction commitments.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8" w:name="page39"/>
    <w:bookmarkEnd w:id="38"/>
    <w:p>
      <w:pPr>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on loans and the ACL for the periods indicated. See Note 3 to the consolidated financial statements for further information on loans and the ACL.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6 - Loan Portfolio Composition and ACL Allocation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40" w:type="dxa"/>
            <w:vAlign w:val="bottom"/>
            <w:tcBorders>
              <w:top w:val="single" w:sz="8" w:color="auto"/>
              <w:bottom w:val="single" w:sz="8" w:color="auto"/>
            </w:tcBorders>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220" w:type="dxa"/>
            <w:vAlign w:val="bottom"/>
            <w:tcBorders>
              <w:top w:val="single" w:sz="8" w:color="auto"/>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20" w:type="dxa"/>
            <w:vAlign w:val="bottom"/>
          </w:tcPr>
          <w:p>
            <w:pPr>
              <w:spacing w:after="0"/>
              <w:rPr>
                <w:sz w:val="13"/>
                <w:szCs w:val="13"/>
                <w:color w:val="auto"/>
              </w:rPr>
            </w:pPr>
          </w:p>
        </w:tc>
        <w:tc>
          <w:tcPr>
            <w:tcW w:w="1260" w:type="dxa"/>
            <w:vAlign w:val="bottom"/>
            <w:gridSpan w:val="3"/>
          </w:tcPr>
          <w:p>
            <w:pPr>
              <w:jc w:val="right"/>
              <w:ind w:right="559"/>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78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ACL</w:t>
            </w:r>
          </w:p>
        </w:tc>
        <w:tc>
          <w:tcPr>
            <w:tcW w:w="12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ACL to</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20" w:type="dxa"/>
            <w:vAlign w:val="bottom"/>
          </w:tcPr>
          <w:p>
            <w:pPr>
              <w:spacing w:after="0"/>
              <w:rPr>
                <w:sz w:val="13"/>
                <w:szCs w:val="13"/>
                <w:color w:val="auto"/>
              </w:rPr>
            </w:pPr>
          </w:p>
        </w:tc>
        <w:tc>
          <w:tcPr>
            <w:tcW w:w="1360" w:type="dxa"/>
            <w:vAlign w:val="bottom"/>
            <w:gridSpan w:val="3"/>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 of portfolio</w:t>
            </w: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ACL</w:t>
            </w:r>
          </w:p>
        </w:tc>
        <w:tc>
          <w:tcPr>
            <w:tcW w:w="10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ACL to</w:t>
            </w:r>
          </w:p>
        </w:tc>
        <w:tc>
          <w:tcPr>
            <w:tcW w:w="0" w:type="dxa"/>
            <w:vAlign w:val="bottom"/>
          </w:tcPr>
          <w:p>
            <w:pPr>
              <w:spacing w:after="0"/>
              <w:rPr>
                <w:sz w:val="1"/>
                <w:szCs w:val="1"/>
                <w:color w:val="auto"/>
              </w:rPr>
            </w:pPr>
          </w:p>
        </w:tc>
      </w:tr>
      <w:tr>
        <w:trPr>
          <w:trHeight w:val="214"/>
        </w:trPr>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0" w:type="dxa"/>
            <w:vAlign w:val="bottom"/>
          </w:tcPr>
          <w:p>
            <w:pPr>
              <w:spacing w:after="0"/>
              <w:rPr>
                <w:sz w:val="1"/>
                <w:szCs w:val="1"/>
                <w:color w:val="auto"/>
              </w:rPr>
            </w:pPr>
          </w:p>
        </w:tc>
      </w:tr>
      <w:tr>
        <w:trPr>
          <w:trHeight w:val="211"/>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Owner occupied CRE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4,040,518</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25,127</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0.62 %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3,949,898</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24,888</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0.63 %</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producing CRE</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4,983,718</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41,358</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0.83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5,032,342</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44,071</w:t>
            </w:r>
          </w:p>
        </w:tc>
        <w:tc>
          <w:tcPr>
            <w:tcW w:w="10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0.88</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2,770,924</w:t>
            </w:r>
          </w:p>
        </w:tc>
        <w:tc>
          <w:tcPr>
            <w:tcW w:w="10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43,696</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2,696,291</w:t>
            </w:r>
          </w:p>
        </w:tc>
        <w:tc>
          <w:tcPr>
            <w:tcW w:w="11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43,269</w:t>
            </w:r>
          </w:p>
        </w:tc>
        <w:tc>
          <w:tcPr>
            <w:tcW w:w="10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construction &amp; land</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1,072,140</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10,198</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0.95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997,802</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8,286</w:t>
            </w:r>
          </w:p>
        </w:tc>
        <w:tc>
          <w:tcPr>
            <w:tcW w:w="10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0.83</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 financing</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1,896,828</w:t>
            </w:r>
          </w:p>
        </w:tc>
        <w:tc>
          <w:tcPr>
            <w:tcW w:w="10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42,862</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1,847,999</w:t>
            </w:r>
          </w:p>
        </w:tc>
        <w:tc>
          <w:tcPr>
            <w:tcW w:w="11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45,852</w:t>
            </w:r>
          </w:p>
        </w:tc>
        <w:tc>
          <w:tcPr>
            <w:tcW w:w="10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07"/>
        </w:trPr>
        <w:tc>
          <w:tcPr>
            <w:tcW w:w="2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commercial</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14,764,128</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163,241</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14,524,332</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166,366</w:t>
            </w:r>
          </w:p>
        </w:tc>
        <w:tc>
          <w:tcPr>
            <w:tcW w:w="10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mortgage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3,122,361</w:t>
            </w:r>
          </w:p>
        </w:tc>
        <w:tc>
          <w:tcPr>
            <w:tcW w:w="10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29,333</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0.94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3,157,017</w:t>
            </w:r>
          </w:p>
        </w:tc>
        <w:tc>
          <w:tcPr>
            <w:tcW w:w="11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29,241</w:t>
            </w:r>
          </w:p>
        </w:tc>
        <w:tc>
          <w:tcPr>
            <w:tcW w:w="10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0.93</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Home equity</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1,343,785</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12,769</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0.95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1,319,474</w:t>
            </w:r>
          </w:p>
        </w:tc>
        <w:tc>
          <w:tcPr>
            <w:tcW w:w="11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11,849</w:t>
            </w:r>
          </w:p>
        </w:tc>
        <w:tc>
          <w:tcPr>
            <w:tcW w:w="10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0.90</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 construction &amp; land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185,353</w:t>
            </w:r>
          </w:p>
        </w:tc>
        <w:tc>
          <w:tcPr>
            <w:tcW w:w="10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190,625</w:t>
            </w:r>
          </w:p>
        </w:tc>
        <w:tc>
          <w:tcPr>
            <w:tcW w:w="11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0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0.94</w:t>
            </w:r>
          </w:p>
        </w:tc>
        <w:tc>
          <w:tcPr>
            <w:tcW w:w="0" w:type="dxa"/>
            <w:vAlign w:val="bottom"/>
          </w:tcPr>
          <w:p>
            <w:pPr>
              <w:spacing w:after="0"/>
              <w:rPr>
                <w:sz w:val="1"/>
                <w:szCs w:val="1"/>
                <w:color w:val="auto"/>
              </w:rPr>
            </w:pPr>
          </w:p>
        </w:tc>
      </w:tr>
      <w:tr>
        <w:trPr>
          <w:trHeight w:val="213"/>
        </w:trPr>
        <w:tc>
          <w:tcPr>
            <w:tcW w:w="2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186,891</w:t>
            </w:r>
          </w:p>
        </w:tc>
        <w:tc>
          <w:tcPr>
            <w:tcW w:w="1040" w:type="dxa"/>
            <w:vAlign w:val="bottom"/>
            <w:tcBorders>
              <w:bottom w:val="single" w:sz="8" w:color="CCEEFF"/>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98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6"/>
                <w:szCs w:val="16"/>
                <w:color w:val="auto"/>
              </w:rPr>
              <w:t>0.62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187,536</w:t>
            </w:r>
          </w:p>
        </w:tc>
        <w:tc>
          <w:tcPr>
            <w:tcW w:w="1140" w:type="dxa"/>
            <w:vAlign w:val="bottom"/>
            <w:tcBorders>
              <w:bottom w:val="single" w:sz="8" w:color="CCEEFF"/>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100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6"/>
                <w:szCs w:val="16"/>
                <w:color w:val="auto"/>
              </w:rPr>
              <w:t>0.63</w:t>
            </w:r>
          </w:p>
        </w:tc>
        <w:tc>
          <w:tcPr>
            <w:tcW w:w="0" w:type="dxa"/>
            <w:vAlign w:val="bottom"/>
          </w:tcPr>
          <w:p>
            <w:pPr>
              <w:spacing w:after="0"/>
              <w:rPr>
                <w:sz w:val="1"/>
                <w:szCs w:val="1"/>
                <w:color w:val="auto"/>
              </w:rPr>
            </w:pPr>
          </w:p>
        </w:tc>
      </w:tr>
      <w:tr>
        <w:trPr>
          <w:trHeight w:val="237"/>
        </w:trPr>
        <w:tc>
          <w:tcPr>
            <w:tcW w:w="2280" w:type="dxa"/>
            <w:vAlign w:val="bottom"/>
            <w:tcBorders>
              <w:bottom w:val="single" w:sz="8" w:color="CCEEFF"/>
            </w:tcBorders>
            <w:shd w:val="clear" w:color="auto" w:fill="CCEEFF"/>
          </w:tcPr>
          <w:p>
            <w:pPr>
              <w:ind w:left="220"/>
              <w:spacing w:after="0" w:line="213" w:lineRule="exact"/>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19,602,518</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208,396</w:t>
            </w:r>
          </w:p>
        </w:tc>
        <w:tc>
          <w:tcPr>
            <w:tcW w:w="9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19,378,984</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210,429</w:t>
            </w:r>
          </w:p>
        </w:tc>
        <w:tc>
          <w:tcPr>
            <w:tcW w:w="100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Loans presented exclude fair value hedge basis adjustments.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The following table provides a summary of net charge-offs to average loans for the periods indicated.</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7 - Net Charge-offs to Average Loans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3" w:lineRule="exact"/>
        <w:rPr>
          <w:sz w:val="20"/>
          <w:szCs w:val="20"/>
          <w:color w:val="auto"/>
        </w:rPr>
      </w:pPr>
    </w:p>
    <w:p>
      <w:pPr>
        <w:jc w:val="center"/>
        <w:ind w:left="46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6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20" w:type="dxa"/>
            <w:vAlign w:val="bottom"/>
            <w:tcBorders>
              <w:bottom w:val="single" w:sz="8" w:color="CCEEFF"/>
            </w:tcBorders>
          </w:tcPr>
          <w:p>
            <w:pPr>
              <w:spacing w:after="0"/>
              <w:rPr>
                <w:sz w:val="18"/>
                <w:szCs w:val="18"/>
                <w:color w:val="auto"/>
              </w:rPr>
            </w:pPr>
          </w:p>
        </w:tc>
      </w:tr>
      <w:tr>
        <w:trPr>
          <w:trHeight w:val="198"/>
        </w:trPr>
        <w:tc>
          <w:tcPr>
            <w:tcW w:w="60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b w:val="1"/>
                <w:bCs w:val="1"/>
                <w:color w:val="auto"/>
              </w:rPr>
              <w:t>Net charge-offs (recoveries)</w:t>
            </w: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3"/>
        </w:trPr>
        <w:tc>
          <w:tcPr>
            <w:tcW w:w="600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Owner occupied CRE</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666</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126</w:t>
            </w:r>
          </w:p>
        </w:tc>
        <w:tc>
          <w:tcPr>
            <w:tcW w:w="1320" w:type="dxa"/>
            <w:vAlign w:val="bottom"/>
          </w:tcPr>
          <w:p>
            <w:pPr>
              <w:spacing w:after="0"/>
              <w:rPr>
                <w:sz w:val="18"/>
                <w:szCs w:val="18"/>
                <w:color w:val="auto"/>
              </w:rPr>
            </w:pPr>
          </w:p>
        </w:tc>
      </w:tr>
      <w:tr>
        <w:trPr>
          <w:trHeight w:val="219"/>
        </w:trPr>
        <w:tc>
          <w:tcPr>
            <w:tcW w:w="60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Income producing CRE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718</w:t>
            </w:r>
          </w:p>
        </w:tc>
        <w:tc>
          <w:tcPr>
            <w:tcW w:w="1320" w:type="dxa"/>
            <w:vAlign w:val="bottom"/>
            <w:shd w:val="clear" w:color="auto" w:fill="CCEEFF"/>
          </w:tcPr>
          <w:p>
            <w:pPr>
              <w:spacing w:after="0"/>
              <w:rPr>
                <w:sz w:val="19"/>
                <w:szCs w:val="19"/>
                <w:color w:val="auto"/>
              </w:rPr>
            </w:pPr>
          </w:p>
        </w:tc>
      </w:tr>
      <w:tr>
        <w:trPr>
          <w:trHeight w:val="213"/>
        </w:trPr>
        <w:tc>
          <w:tcPr>
            <w:tcW w:w="600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3,309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2,447</w:t>
            </w:r>
          </w:p>
        </w:tc>
        <w:tc>
          <w:tcPr>
            <w:tcW w:w="1320" w:type="dxa"/>
            <w:vAlign w:val="bottom"/>
          </w:tcPr>
          <w:p>
            <w:pPr>
              <w:spacing w:after="0"/>
              <w:rPr>
                <w:sz w:val="18"/>
                <w:szCs w:val="18"/>
                <w:color w:val="auto"/>
              </w:rPr>
            </w:pPr>
          </w:p>
        </w:tc>
      </w:tr>
      <w:tr>
        <w:trPr>
          <w:trHeight w:val="219"/>
        </w:trPr>
        <w:tc>
          <w:tcPr>
            <w:tcW w:w="60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Commercial construction</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(138)</w:t>
            </w:r>
          </w:p>
        </w:tc>
        <w:tc>
          <w:tcPr>
            <w:tcW w:w="1320" w:type="dxa"/>
            <w:vAlign w:val="bottom"/>
            <w:shd w:val="clear" w:color="auto" w:fill="CCEEFF"/>
          </w:tcPr>
          <w:p>
            <w:pPr>
              <w:spacing w:after="0"/>
              <w:rPr>
                <w:sz w:val="19"/>
                <w:szCs w:val="19"/>
                <w:color w:val="auto"/>
              </w:rPr>
            </w:pPr>
          </w:p>
        </w:tc>
      </w:tr>
      <w:tr>
        <w:trPr>
          <w:trHeight w:val="213"/>
        </w:trPr>
        <w:tc>
          <w:tcPr>
            <w:tcW w:w="600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Equipment financing</w:t>
            </w: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5,042</w:t>
            </w:r>
          </w:p>
        </w:tc>
        <w:tc>
          <w:tcPr>
            <w:tcW w:w="1320" w:type="dxa"/>
            <w:vAlign w:val="bottom"/>
          </w:tcPr>
          <w:p>
            <w:pPr>
              <w:spacing w:after="0"/>
              <w:rPr>
                <w:sz w:val="18"/>
                <w:szCs w:val="18"/>
                <w:color w:val="auto"/>
              </w:rPr>
            </w:pPr>
          </w:p>
        </w:tc>
      </w:tr>
      <w:tr>
        <w:trPr>
          <w:trHeight w:val="219"/>
        </w:trPr>
        <w:tc>
          <w:tcPr>
            <w:tcW w:w="60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Residential mortgage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320" w:type="dxa"/>
            <w:vAlign w:val="bottom"/>
            <w:shd w:val="clear" w:color="auto" w:fill="CCEEFF"/>
          </w:tcPr>
          <w:p>
            <w:pPr>
              <w:spacing w:after="0"/>
              <w:rPr>
                <w:sz w:val="19"/>
                <w:szCs w:val="19"/>
                <w:color w:val="auto"/>
              </w:rPr>
            </w:pPr>
          </w:p>
        </w:tc>
      </w:tr>
      <w:tr>
        <w:trPr>
          <w:trHeight w:val="213"/>
        </w:trPr>
        <w:tc>
          <w:tcPr>
            <w:tcW w:w="600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Home equity</w:t>
            </w: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w:t>
            </w:r>
          </w:p>
        </w:tc>
        <w:tc>
          <w:tcPr>
            <w:tcW w:w="1320" w:type="dxa"/>
            <w:vAlign w:val="bottom"/>
          </w:tcPr>
          <w:p>
            <w:pPr>
              <w:spacing w:after="0"/>
              <w:rPr>
                <w:sz w:val="18"/>
                <w:szCs w:val="18"/>
                <w:color w:val="auto"/>
              </w:rPr>
            </w:pPr>
          </w:p>
        </w:tc>
      </w:tr>
      <w:tr>
        <w:trPr>
          <w:trHeight w:val="219"/>
        </w:trPr>
        <w:tc>
          <w:tcPr>
            <w:tcW w:w="60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219</w:t>
            </w:r>
          </w:p>
        </w:tc>
        <w:tc>
          <w:tcPr>
            <w:tcW w:w="1320" w:type="dxa"/>
            <w:vAlign w:val="bottom"/>
            <w:shd w:val="clear" w:color="auto" w:fill="CCEEFF"/>
          </w:tcPr>
          <w:p>
            <w:pPr>
              <w:spacing w:after="0"/>
              <w:rPr>
                <w:sz w:val="19"/>
                <w:szCs w:val="19"/>
                <w:color w:val="auto"/>
              </w:rPr>
            </w:pPr>
          </w:p>
        </w:tc>
      </w:tr>
      <w:tr>
        <w:trPr>
          <w:trHeight w:val="213"/>
        </w:trPr>
        <w:tc>
          <w:tcPr>
            <w:tcW w:w="600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6"/>
                <w:szCs w:val="16"/>
                <w:color w:val="auto"/>
              </w:rPr>
              <w:t>Consumer</w:t>
            </w: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555</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1,256</w:t>
            </w:r>
          </w:p>
        </w:tc>
        <w:tc>
          <w:tcPr>
            <w:tcW w:w="1320" w:type="dxa"/>
            <w:vAlign w:val="bottom"/>
            <w:tcBorders>
              <w:bottom w:val="single" w:sz="8" w:color="CCEEFF"/>
            </w:tcBorders>
          </w:tcPr>
          <w:p>
            <w:pPr>
              <w:spacing w:after="0"/>
              <w:rPr>
                <w:sz w:val="18"/>
                <w:szCs w:val="18"/>
                <w:color w:val="auto"/>
              </w:rPr>
            </w:pPr>
          </w:p>
        </w:tc>
      </w:tr>
      <w:tr>
        <w:trPr>
          <w:trHeight w:val="209"/>
        </w:trPr>
        <w:tc>
          <w:tcPr>
            <w:tcW w:w="600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b w:val="1"/>
                <w:bCs w:val="1"/>
                <w:color w:val="auto"/>
              </w:rPr>
              <w:t>Total net charge-offs</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10,377</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9,607</w:t>
            </w:r>
          </w:p>
        </w:tc>
        <w:tc>
          <w:tcPr>
            <w:tcW w:w="1320" w:type="dxa"/>
            <w:vAlign w:val="bottom"/>
            <w:shd w:val="clear" w:color="auto" w:fill="CCEEFF"/>
          </w:tcPr>
          <w:p>
            <w:pPr>
              <w:spacing w:after="0"/>
              <w:rPr>
                <w:sz w:val="18"/>
                <w:szCs w:val="18"/>
                <w:color w:val="auto"/>
              </w:rPr>
            </w:pPr>
          </w:p>
        </w:tc>
      </w:tr>
      <w:tr>
        <w:trPr>
          <w:trHeight w:val="199"/>
        </w:trPr>
        <w:tc>
          <w:tcPr>
            <w:tcW w:w="6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6"/>
        </w:trPr>
        <w:tc>
          <w:tcPr>
            <w:tcW w:w="600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6"/>
                <w:szCs w:val="16"/>
                <w:b w:val="1"/>
                <w:bCs w:val="1"/>
                <w:color w:val="auto"/>
              </w:rPr>
              <w:t>Average loans</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600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Owner occupied CRE</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3,955,804</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3,393,849</w:t>
            </w:r>
          </w:p>
        </w:tc>
        <w:tc>
          <w:tcPr>
            <w:tcW w:w="1320" w:type="dxa"/>
            <w:vAlign w:val="bottom"/>
          </w:tcPr>
          <w:p>
            <w:pPr>
              <w:spacing w:after="0"/>
              <w:rPr>
                <w:sz w:val="18"/>
                <w:szCs w:val="18"/>
                <w:color w:val="auto"/>
              </w:rPr>
            </w:pPr>
          </w:p>
        </w:tc>
      </w:tr>
      <w:tr>
        <w:trPr>
          <w:trHeight w:val="219"/>
        </w:trPr>
        <w:tc>
          <w:tcPr>
            <w:tcW w:w="60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Income producing CRE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4,985,059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4,369,597</w:t>
            </w:r>
          </w:p>
        </w:tc>
        <w:tc>
          <w:tcPr>
            <w:tcW w:w="1320" w:type="dxa"/>
            <w:vAlign w:val="bottom"/>
            <w:shd w:val="clear" w:color="auto" w:fill="CCEEFF"/>
          </w:tcPr>
          <w:p>
            <w:pPr>
              <w:spacing w:after="0"/>
              <w:rPr>
                <w:sz w:val="19"/>
                <w:szCs w:val="19"/>
                <w:color w:val="auto"/>
              </w:rPr>
            </w:pPr>
          </w:p>
        </w:tc>
      </w:tr>
      <w:tr>
        <w:trPr>
          <w:trHeight w:val="213"/>
        </w:trPr>
        <w:tc>
          <w:tcPr>
            <w:tcW w:w="600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2,699,674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2,456,768</w:t>
            </w:r>
          </w:p>
        </w:tc>
        <w:tc>
          <w:tcPr>
            <w:tcW w:w="1320" w:type="dxa"/>
            <w:vAlign w:val="bottom"/>
          </w:tcPr>
          <w:p>
            <w:pPr>
              <w:spacing w:after="0"/>
              <w:rPr>
                <w:sz w:val="18"/>
                <w:szCs w:val="18"/>
                <w:color w:val="auto"/>
              </w:rPr>
            </w:pPr>
          </w:p>
        </w:tc>
      </w:tr>
      <w:tr>
        <w:trPr>
          <w:trHeight w:val="219"/>
        </w:trPr>
        <w:tc>
          <w:tcPr>
            <w:tcW w:w="60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Commercial construction</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1,083,555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1,661,366</w:t>
            </w:r>
          </w:p>
        </w:tc>
        <w:tc>
          <w:tcPr>
            <w:tcW w:w="1320" w:type="dxa"/>
            <w:vAlign w:val="bottom"/>
            <w:shd w:val="clear" w:color="auto" w:fill="CCEEFF"/>
          </w:tcPr>
          <w:p>
            <w:pPr>
              <w:spacing w:after="0"/>
              <w:rPr>
                <w:sz w:val="19"/>
                <w:szCs w:val="19"/>
                <w:color w:val="auto"/>
              </w:rPr>
            </w:pPr>
          </w:p>
        </w:tc>
      </w:tr>
      <w:tr>
        <w:trPr>
          <w:trHeight w:val="213"/>
        </w:trPr>
        <w:tc>
          <w:tcPr>
            <w:tcW w:w="600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Equipment financing</w:t>
            </w: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1,838,992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1,685,187</w:t>
            </w:r>
          </w:p>
        </w:tc>
        <w:tc>
          <w:tcPr>
            <w:tcW w:w="1320" w:type="dxa"/>
            <w:vAlign w:val="bottom"/>
          </w:tcPr>
          <w:p>
            <w:pPr>
              <w:spacing w:after="0"/>
              <w:rPr>
                <w:sz w:val="18"/>
                <w:szCs w:val="18"/>
                <w:color w:val="auto"/>
              </w:rPr>
            </w:pPr>
          </w:p>
        </w:tc>
      </w:tr>
      <w:tr>
        <w:trPr>
          <w:trHeight w:val="219"/>
        </w:trPr>
        <w:tc>
          <w:tcPr>
            <w:tcW w:w="60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Residential mortgage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3,146,817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3,210,729</w:t>
            </w:r>
          </w:p>
        </w:tc>
        <w:tc>
          <w:tcPr>
            <w:tcW w:w="1320" w:type="dxa"/>
            <w:vAlign w:val="bottom"/>
            <w:shd w:val="clear" w:color="auto" w:fill="CCEEFF"/>
          </w:tcPr>
          <w:p>
            <w:pPr>
              <w:spacing w:after="0"/>
              <w:rPr>
                <w:sz w:val="19"/>
                <w:szCs w:val="19"/>
                <w:color w:val="auto"/>
              </w:rPr>
            </w:pPr>
          </w:p>
        </w:tc>
      </w:tr>
      <w:tr>
        <w:trPr>
          <w:trHeight w:val="213"/>
        </w:trPr>
        <w:tc>
          <w:tcPr>
            <w:tcW w:w="600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Home equity</w:t>
            </w: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1,316,636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1,077,463</w:t>
            </w:r>
          </w:p>
        </w:tc>
        <w:tc>
          <w:tcPr>
            <w:tcW w:w="1320" w:type="dxa"/>
            <w:vAlign w:val="bottom"/>
          </w:tcPr>
          <w:p>
            <w:pPr>
              <w:spacing w:after="0"/>
              <w:rPr>
                <w:sz w:val="18"/>
                <w:szCs w:val="18"/>
                <w:color w:val="auto"/>
              </w:rPr>
            </w:pPr>
          </w:p>
        </w:tc>
      </w:tr>
      <w:tr>
        <w:trPr>
          <w:trHeight w:val="219"/>
        </w:trPr>
        <w:tc>
          <w:tcPr>
            <w:tcW w:w="60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191,373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173,987</w:t>
            </w:r>
          </w:p>
        </w:tc>
        <w:tc>
          <w:tcPr>
            <w:tcW w:w="1320" w:type="dxa"/>
            <w:vAlign w:val="bottom"/>
            <w:shd w:val="clear" w:color="auto" w:fill="CCEEFF"/>
          </w:tcPr>
          <w:p>
            <w:pPr>
              <w:spacing w:after="0"/>
              <w:rPr>
                <w:sz w:val="19"/>
                <w:szCs w:val="19"/>
                <w:color w:val="auto"/>
              </w:rPr>
            </w:pPr>
          </w:p>
        </w:tc>
      </w:tr>
      <w:tr>
        <w:trPr>
          <w:trHeight w:val="213"/>
        </w:trPr>
        <w:tc>
          <w:tcPr>
            <w:tcW w:w="600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6"/>
                <w:szCs w:val="16"/>
                <w:color w:val="auto"/>
              </w:rPr>
              <w:t>Consumer</w:t>
            </w: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185,885</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184,555</w:t>
            </w:r>
          </w:p>
        </w:tc>
        <w:tc>
          <w:tcPr>
            <w:tcW w:w="1320" w:type="dxa"/>
            <w:vAlign w:val="bottom"/>
            <w:tcBorders>
              <w:bottom w:val="single" w:sz="8" w:color="CCEEFF"/>
            </w:tcBorders>
          </w:tcPr>
          <w:p>
            <w:pPr>
              <w:spacing w:after="0"/>
              <w:rPr>
                <w:sz w:val="18"/>
                <w:szCs w:val="18"/>
                <w:color w:val="auto"/>
              </w:rPr>
            </w:pPr>
          </w:p>
        </w:tc>
      </w:tr>
      <w:tr>
        <w:trPr>
          <w:trHeight w:val="237"/>
        </w:trPr>
        <w:tc>
          <w:tcPr>
            <w:tcW w:w="6000" w:type="dxa"/>
            <w:vAlign w:val="bottom"/>
            <w:tcBorders>
              <w:bottom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6"/>
                <w:szCs w:val="16"/>
                <w:b w:val="1"/>
                <w:bCs w:val="1"/>
                <w:color w:val="auto"/>
              </w:rPr>
              <w:t>Total average loans</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19,403,795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18,213,501</w:t>
            </w:r>
          </w:p>
        </w:tc>
        <w:tc>
          <w:tcPr>
            <w:tcW w:w="1320" w:type="dxa"/>
            <w:vAlign w:val="bottom"/>
            <w:tcBorders>
              <w:bottom w:val="single" w:sz="8" w:color="CCEEFF"/>
            </w:tcBorders>
            <w:shd w:val="clear" w:color="auto" w:fill="CCEEFF"/>
          </w:tcPr>
          <w:p>
            <w:pPr>
              <w:spacing w:after="0"/>
              <w:rPr>
                <w:sz w:val="20"/>
                <w:szCs w:val="20"/>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163"/>
        </w:trPr>
        <w:tc>
          <w:tcPr>
            <w:tcW w:w="6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6"/>
        </w:trPr>
        <w:tc>
          <w:tcPr>
            <w:tcW w:w="6000" w:type="dxa"/>
            <w:vAlign w:val="bottom"/>
            <w:shd w:val="clear" w:color="auto" w:fill="CCEEFF"/>
          </w:tcPr>
          <w:p>
            <w:pPr>
              <w:ind w:left="132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Net charge-offs to average loans </w:t>
            </w:r>
            <w:r>
              <w:rPr>
                <w:rFonts w:ascii="Times New Roman" w:cs="Times New Roman" w:eastAsia="Times New Roman" w:hAnsi="Times New Roman"/>
                <w:sz w:val="21"/>
                <w:szCs w:val="21"/>
                <w:b w:val="1"/>
                <w:bCs w:val="1"/>
                <w:color w:val="auto"/>
                <w:vertAlign w:val="superscript"/>
              </w:rPr>
              <w:t>(1)</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600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Owner occupied CRE</w:t>
            </w: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0.02 %</w:t>
            </w:r>
          </w:p>
        </w:tc>
        <w:tc>
          <w:tcPr>
            <w:tcW w:w="1320" w:type="dxa"/>
            <w:vAlign w:val="bottom"/>
          </w:tcPr>
          <w:p>
            <w:pPr>
              <w:spacing w:after="0"/>
              <w:rPr>
                <w:sz w:val="18"/>
                <w:szCs w:val="18"/>
                <w:color w:val="auto"/>
              </w:rPr>
            </w:pPr>
          </w:p>
        </w:tc>
      </w:tr>
      <w:tr>
        <w:trPr>
          <w:trHeight w:val="219"/>
        </w:trPr>
        <w:tc>
          <w:tcPr>
            <w:tcW w:w="60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Income producing CRE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0.07</w:t>
            </w:r>
          </w:p>
        </w:tc>
        <w:tc>
          <w:tcPr>
            <w:tcW w:w="1320" w:type="dxa"/>
            <w:vAlign w:val="bottom"/>
            <w:shd w:val="clear" w:color="auto" w:fill="CCEEFF"/>
          </w:tcPr>
          <w:p>
            <w:pPr>
              <w:spacing w:after="0"/>
              <w:rPr>
                <w:sz w:val="19"/>
                <w:szCs w:val="19"/>
                <w:color w:val="auto"/>
              </w:rPr>
            </w:pPr>
          </w:p>
        </w:tc>
      </w:tr>
      <w:tr>
        <w:trPr>
          <w:trHeight w:val="213"/>
        </w:trPr>
        <w:tc>
          <w:tcPr>
            <w:tcW w:w="600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44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0.40</w:t>
            </w:r>
          </w:p>
        </w:tc>
        <w:tc>
          <w:tcPr>
            <w:tcW w:w="1320" w:type="dxa"/>
            <w:vAlign w:val="bottom"/>
          </w:tcPr>
          <w:p>
            <w:pPr>
              <w:spacing w:after="0"/>
              <w:rPr>
                <w:sz w:val="18"/>
                <w:szCs w:val="18"/>
                <w:color w:val="auto"/>
              </w:rPr>
            </w:pPr>
          </w:p>
        </w:tc>
      </w:tr>
      <w:tr>
        <w:trPr>
          <w:trHeight w:val="219"/>
        </w:trPr>
        <w:tc>
          <w:tcPr>
            <w:tcW w:w="60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Commercial construction</w:t>
            </w: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(0.03)</w:t>
            </w:r>
          </w:p>
        </w:tc>
        <w:tc>
          <w:tcPr>
            <w:tcW w:w="1320" w:type="dxa"/>
            <w:vAlign w:val="bottom"/>
            <w:shd w:val="clear" w:color="auto" w:fill="CCEEFF"/>
          </w:tcPr>
          <w:p>
            <w:pPr>
              <w:spacing w:after="0"/>
              <w:rPr>
                <w:sz w:val="19"/>
                <w:szCs w:val="19"/>
                <w:color w:val="auto"/>
              </w:rPr>
            </w:pPr>
          </w:p>
        </w:tc>
      </w:tr>
      <w:tr>
        <w:trPr>
          <w:trHeight w:val="213"/>
        </w:trPr>
        <w:tc>
          <w:tcPr>
            <w:tcW w:w="600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Equipment financing</w:t>
            </w:r>
          </w:p>
        </w:tc>
        <w:tc>
          <w:tcPr>
            <w:tcW w:w="44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1.21</w:t>
            </w:r>
          </w:p>
        </w:tc>
        <w:tc>
          <w:tcPr>
            <w:tcW w:w="1320" w:type="dxa"/>
            <w:vAlign w:val="bottom"/>
          </w:tcPr>
          <w:p>
            <w:pPr>
              <w:spacing w:after="0"/>
              <w:rPr>
                <w:sz w:val="18"/>
                <w:szCs w:val="18"/>
                <w:color w:val="auto"/>
              </w:rPr>
            </w:pPr>
          </w:p>
        </w:tc>
      </w:tr>
      <w:tr>
        <w:trPr>
          <w:trHeight w:val="219"/>
        </w:trPr>
        <w:tc>
          <w:tcPr>
            <w:tcW w:w="60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Residential mortgage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jc w:val="right"/>
              <w:ind w:right="152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00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Home equity</w:t>
            </w:r>
          </w:p>
        </w:tc>
        <w:tc>
          <w:tcPr>
            <w:tcW w:w="44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(0.02)</w:t>
            </w:r>
          </w:p>
        </w:tc>
        <w:tc>
          <w:tcPr>
            <w:tcW w:w="1320" w:type="dxa"/>
            <w:vAlign w:val="bottom"/>
          </w:tcPr>
          <w:p>
            <w:pPr>
              <w:spacing w:after="0"/>
              <w:rPr>
                <w:sz w:val="18"/>
                <w:szCs w:val="18"/>
                <w:color w:val="auto"/>
              </w:rPr>
            </w:pPr>
          </w:p>
        </w:tc>
      </w:tr>
      <w:tr>
        <w:trPr>
          <w:trHeight w:val="219"/>
        </w:trPr>
        <w:tc>
          <w:tcPr>
            <w:tcW w:w="60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Residential construction</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0.51</w:t>
            </w:r>
          </w:p>
        </w:tc>
        <w:tc>
          <w:tcPr>
            <w:tcW w:w="1320" w:type="dxa"/>
            <w:vAlign w:val="bottom"/>
            <w:shd w:val="clear" w:color="auto" w:fill="CCEEFF"/>
          </w:tcPr>
          <w:p>
            <w:pPr>
              <w:spacing w:after="0"/>
              <w:rPr>
                <w:sz w:val="19"/>
                <w:szCs w:val="19"/>
                <w:color w:val="auto"/>
              </w:rPr>
            </w:pPr>
          </w:p>
        </w:tc>
      </w:tr>
      <w:tr>
        <w:trPr>
          <w:trHeight w:val="213"/>
        </w:trPr>
        <w:tc>
          <w:tcPr>
            <w:tcW w:w="600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Consumer</w:t>
            </w:r>
          </w:p>
        </w:tc>
        <w:tc>
          <w:tcPr>
            <w:tcW w:w="44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2.76</w:t>
            </w:r>
          </w:p>
        </w:tc>
        <w:tc>
          <w:tcPr>
            <w:tcW w:w="1320" w:type="dxa"/>
            <w:vAlign w:val="bottom"/>
          </w:tcPr>
          <w:p>
            <w:pPr>
              <w:spacing w:after="0"/>
              <w:rPr>
                <w:sz w:val="18"/>
                <w:szCs w:val="18"/>
                <w:color w:val="auto"/>
              </w:rPr>
            </w:pPr>
          </w:p>
        </w:tc>
      </w:tr>
      <w:tr>
        <w:trPr>
          <w:trHeight w:val="219"/>
        </w:trPr>
        <w:tc>
          <w:tcPr>
            <w:tcW w:w="60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0.21</w:t>
            </w:r>
          </w:p>
        </w:tc>
        <w:tc>
          <w:tcPr>
            <w:tcW w:w="1320" w:type="dxa"/>
            <w:vAlign w:val="bottom"/>
            <w:shd w:val="clear" w:color="auto" w:fill="CCEEFF"/>
          </w:tcPr>
          <w:p>
            <w:pPr>
              <w:spacing w:after="0"/>
              <w:rPr>
                <w:sz w:val="19"/>
                <w:szCs w:val="19"/>
                <w:color w:val="auto"/>
              </w:rPr>
            </w:pPr>
          </w:p>
        </w:tc>
      </w:tr>
    </w:tbl>
    <w:p>
      <w:pPr>
        <w:spacing w:after="0" w:line="50"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summarizes NPAs for the periods indicated. NPAs include nonaccrual loans, OREO and repossessed assets. The main driver of the increase in nonaccrual loans since December 31, 2025 was a small population of larger owner-occupied CRE loans moving to nonaccrual during the first quarter of 2026.</w:t>
      </w: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8 - NPAs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6"/>
                <w:szCs w:val="16"/>
                <w:color w:val="auto"/>
              </w:rPr>
            </w:pPr>
          </w:p>
        </w:tc>
        <w:tc>
          <w:tcPr>
            <w:tcW w:w="2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5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Nonaccrual loans: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Owner occupied CRE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11,165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7,100</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Income producing CRE</w:t>
            </w:r>
          </w:p>
        </w:tc>
        <w:tc>
          <w:tcPr>
            <w:tcW w:w="2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11,037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11,488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Commercial &amp; industrial</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19,890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18,294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Commercial construction &amp; land</w:t>
            </w:r>
          </w:p>
        </w:tc>
        <w:tc>
          <w:tcPr>
            <w:tcW w:w="2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Equipment financing</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10,383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34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Total commercial</w:t>
            </w:r>
          </w:p>
        </w:tc>
        <w:tc>
          <w:tcPr>
            <w:tcW w:w="26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57,233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51,348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5,885</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Residential mortgage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31,906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32,423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Home equity</w:t>
            </w:r>
          </w:p>
        </w:tc>
        <w:tc>
          <w:tcPr>
            <w:tcW w:w="2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Residential construction &amp; land</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40" w:type="dxa"/>
            <w:vAlign w:val="bottom"/>
            <w:tcBorders>
              <w:bottom w:val="single" w:sz="8" w:color="CCEEFF"/>
            </w:tcBorders>
          </w:tcPr>
          <w:p>
            <w:pPr>
              <w:ind w:left="1520"/>
              <w:spacing w:after="0"/>
              <w:rPr>
                <w:sz w:val="20"/>
                <w:szCs w:val="20"/>
                <w:color w:val="auto"/>
              </w:rPr>
            </w:pPr>
            <w:r>
              <w:rPr>
                <w:rFonts w:ascii="Times New Roman" w:cs="Times New Roman" w:eastAsia="Times New Roman" w:hAnsi="Times New Roman"/>
                <w:sz w:val="16"/>
                <w:szCs w:val="16"/>
                <w:color w:val="auto"/>
              </w:rPr>
              <w:t>Consumer</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4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96,712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91,098</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5,614</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40" w:type="dxa"/>
            <w:vAlign w:val="bottom"/>
            <w:tcBorders>
              <w:bottom w:val="single" w:sz="8" w:color="CCEEFF"/>
            </w:tcBorders>
          </w:tcPr>
          <w:p>
            <w:pPr>
              <w:ind w:left="1300"/>
              <w:spacing w:after="0"/>
              <w:rPr>
                <w:sz w:val="20"/>
                <w:szCs w:val="20"/>
                <w:color w:val="auto"/>
              </w:rPr>
            </w:pPr>
            <w:r>
              <w:rPr>
                <w:rFonts w:ascii="Times New Roman" w:cs="Times New Roman" w:eastAsia="Times New Roman" w:hAnsi="Times New Roman"/>
                <w:sz w:val="16"/>
                <w:szCs w:val="16"/>
                <w:color w:val="auto"/>
              </w:rPr>
              <w:t>OREO and repossessed assets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1,911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2,400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3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340" w:type="dxa"/>
            <w:vAlign w:val="bottom"/>
            <w:tcBorders>
              <w:bottom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6"/>
                <w:szCs w:val="16"/>
                <w:color w:val="auto"/>
              </w:rPr>
              <w:t>Total NPAs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98,623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93,498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5,125</w:t>
            </w: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Nonaccrual loans as a percentage of total loans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NPAs as a percentage of total assets</w:t>
            </w:r>
          </w:p>
        </w:tc>
        <w:tc>
          <w:tcPr>
            <w:tcW w:w="26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0.33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4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ACL - loans to nonaccrual loans coverage ratio</w:t>
            </w:r>
          </w:p>
        </w:tc>
        <w:tc>
          <w:tcPr>
            <w:tcW w:w="2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Considerations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Commercial loans make up 75% of our loan portfolio, which includes owner occupied and income producing real estate, commercial and industrial, commercial construction and land and equipment financing loans.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75% of our loan portfolio is secured by real estate and therefore, can be affected by changes in real estate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auto"/>
        </w:rPr>
        <w:t>Non-owner occupied CRE loans</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following table provides industry concentrations of our non-owner occupied CRE loans, which include the income producing CRE portfolio and non-owner occupied commercial construction loans as of the dates indicated.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9 - Industry Concentrations of Non-Owner Occupied CRE Loans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6"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4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0" w:type="dxa"/>
            <w:vAlign w:val="bottom"/>
            <w:tcBorders>
              <w:top w:val="single" w:sz="8" w:color="auto"/>
            </w:tcBorders>
          </w:tcPr>
          <w:p>
            <w:pPr>
              <w:spacing w:after="0"/>
              <w:rPr>
                <w:sz w:val="19"/>
                <w:szCs w:val="19"/>
                <w:color w:val="auto"/>
              </w:rPr>
            </w:pPr>
          </w:p>
        </w:tc>
        <w:tc>
          <w:tcPr>
            <w:tcW w:w="3860" w:type="dxa"/>
            <w:vAlign w:val="bottom"/>
            <w:tcBorders>
              <w:top w:val="single" w:sz="8" w:color="auto"/>
            </w:tcBorders>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57"/>
        </w:trPr>
        <w:tc>
          <w:tcPr>
            <w:tcW w:w="4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 of loans in</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 loans in</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category</w:t>
            </w:r>
          </w:p>
        </w:tc>
        <w:tc>
          <w:tcPr>
            <w:tcW w:w="2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840" w:type="dxa"/>
            <w:vAlign w:val="bottom"/>
            <w:gridSpan w:val="2"/>
          </w:tcPr>
          <w:p>
            <w:pPr>
              <w:jc w:val="center"/>
              <w:ind w:right="140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0" w:type="dxa"/>
            <w:vAlign w:val="bottom"/>
          </w:tcPr>
          <w:p>
            <w:pPr>
              <w:spacing w:after="0"/>
              <w:rPr>
                <w:sz w:val="1"/>
                <w:szCs w:val="1"/>
                <w:color w:val="auto"/>
              </w:rPr>
            </w:pPr>
          </w:p>
        </w:tc>
      </w:tr>
      <w:tr>
        <w:trPr>
          <w:trHeight w:val="211"/>
        </w:trPr>
        <w:tc>
          <w:tcPr>
            <w:tcW w:w="4140" w:type="dxa"/>
            <w:vAlign w:val="bottom"/>
            <w:tcBorders>
              <w:top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Retail</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1,369,110</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1,338,882</w:t>
            </w: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Office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923,072</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898,359</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Multifamily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830,929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889,579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Warehouse and industrial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678,827</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656,749</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Hotel</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458,708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487,467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Builder finance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375,562</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360,698</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Rental 1-4 family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330,665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325,105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Self storage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304,431</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296,583</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282,825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265,937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Senior care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195,811</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204,558</w:t>
            </w:r>
          </w:p>
        </w:tc>
        <w:tc>
          <w:tcPr>
            <w:tcW w:w="10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Land</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150,494</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155,956</w:t>
            </w:r>
          </w:p>
        </w:tc>
        <w:tc>
          <w:tcPr>
            <w:tcW w:w="1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tcPr>
          <w:p>
            <w:pPr>
              <w:ind w:left="1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5,900,434</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5,879,873</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Risk Management</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Liquidity is defined as the ability to convert assets into cash or cash equivalents without significant loss and to raise additional funds by increasing liabilities. The primary objective of liquidity management is to maintain the ability to meet the daily cash flow requirements of customers, both depositors and borrowers, at a reasonable cost. As part of our liquidity management, we focus on maximizing the amount of securities and loans available as collateral for contingent liquidity sources and calibrating our assumptions in our liquidity stress test on an ongoing basis, particularly as it relates to deposit duration. We maintain an unencumbered liquid asset reserve to help ensure our ability to meet our obligations under normal conditions for at least a 12-month period and under severely adverse liquidity conditions for a minimum of 30 days. While the desired level of liquidity will vary depending upon a variety of factors, our primary goal is to maintain a sufficient level of liquidity in all expected economic environments.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Bank’s main source of liquidity is customer deposit accounts. Liquidity is also available from cash and cash equivalents and wholesale funding sources consisting primarily of Federal funds purchased, securities sold under agreements to repurchase, FHLB advances and brokered deposits. Wholesale funding instruments are generally short-term in nature and used as necessary to fund asset growth and meet other short-term liquidity needs. At the end of 2025 and through most of the first quarter of 2026, due to loan growth and some seasonal deposit attrition, we utilized modest short-term borrowings to meet short-term funding needs. At December 31, 2025, we had $85.0 million of outstanding federal funds purchased. By March 31, 2026, we were able to meet our funding needs without the use of wholesale borrowings and had no outstanding short-term borrowings at quarter-end. Our loan and securities portfolios also provide liquidity primarily through loan principal and interest payments and the maturities and sales of securities, as well as the ability to use these assets as collateral for borrowings on a secured basis.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see Liquidity Risk Management in the MD&amp;A of the 2025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2026 and December 31, 2025, we had sufficient liquid funds and qualifying collateral to support additional borrowings, which are detailed in the table below.</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10 - Liquid Funds and Unused Borrowing Capacity</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320" w:type="dxa"/>
            <w:vAlign w:val="bottom"/>
            <w:tcBorders>
              <w:top w:val="single" w:sz="8" w:color="auto"/>
            </w:tcBorders>
          </w:tcPr>
          <w:p>
            <w:pPr>
              <w:spacing w:after="0"/>
              <w:rPr>
                <w:sz w:val="18"/>
                <w:szCs w:val="18"/>
                <w:color w:val="auto"/>
              </w:rPr>
            </w:pPr>
          </w:p>
        </w:tc>
        <w:tc>
          <w:tcPr>
            <w:tcW w:w="32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b w:val="1"/>
                <w:bCs w:val="1"/>
                <w:color w:val="auto"/>
              </w:rPr>
              <w:t>Available liquid funds:</w:t>
            </w:r>
          </w:p>
        </w:tc>
        <w:tc>
          <w:tcPr>
            <w:tcW w:w="36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493,141</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395,754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18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Unused Borrowing Capacity </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3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FHLB</w:t>
            </w:r>
          </w:p>
        </w:tc>
        <w:tc>
          <w:tcPr>
            <w:tcW w:w="36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2,043,856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2,006,045</w:t>
            </w: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Federal Reserve - Discount Window</w:t>
            </w:r>
          </w:p>
        </w:tc>
        <w:tc>
          <w:tcPr>
            <w:tcW w:w="3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2,074,410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2,347,191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280" w:type="dxa"/>
            <w:vAlign w:val="bottom"/>
          </w:tcPr>
          <w:p>
            <w:pPr>
              <w:ind w:left="1180"/>
              <w:spacing w:after="0" w:line="162" w:lineRule="exact"/>
              <w:rPr>
                <w:sz w:val="20"/>
                <w:szCs w:val="20"/>
                <w:color w:val="auto"/>
              </w:rPr>
            </w:pPr>
            <w:r>
              <w:rPr>
                <w:rFonts w:ascii="Times New Roman" w:cs="Times New Roman" w:eastAsia="Times New Roman" w:hAnsi="Times New Roman"/>
                <w:sz w:val="16"/>
                <w:szCs w:val="16"/>
                <w:b w:val="1"/>
                <w:bCs w:val="1"/>
                <w:color w:val="auto"/>
              </w:rPr>
              <w:t>Unpledged securities available as collateral for additional</w:t>
            </w:r>
          </w:p>
        </w:tc>
        <w:tc>
          <w:tcPr>
            <w:tcW w:w="36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3,016,327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3,007,534</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280" w:type="dxa"/>
            <w:vAlign w:val="bottom"/>
          </w:tcPr>
          <w:p>
            <w:pPr>
              <w:ind w:left="1180"/>
              <w:spacing w:after="0"/>
              <w:rPr>
                <w:sz w:val="20"/>
                <w:szCs w:val="20"/>
                <w:color w:val="auto"/>
              </w:rPr>
            </w:pPr>
            <w:r>
              <w:rPr>
                <w:rFonts w:ascii="Times New Roman" w:cs="Times New Roman" w:eastAsia="Times New Roman" w:hAnsi="Times New Roman"/>
                <w:sz w:val="16"/>
                <w:szCs w:val="16"/>
                <w:b w:val="1"/>
                <w:bCs w:val="1"/>
                <w:color w:val="auto"/>
              </w:rPr>
              <w:t>borrowings</w:t>
            </w:r>
          </w:p>
        </w:tc>
        <w:tc>
          <w:tcPr>
            <w:tcW w:w="36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Based on collateral pledged.</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because the Holding Company is a separate entity and distinct from the Bank, it must provide for its own liquidity. The Holding Company is responsible for the payment of dividends declared for its common shareholders, and interest and principal on any outstanding debt or trust preferred securities. The Holding Company currently has sufficient liquid assets to meet these obligations. Holding Company liquidity is maintained at a level of at least 125% of the next 12 months of forecasted cash obligations.</w:t>
      </w:r>
    </w:p>
    <w:p>
      <w:pPr>
        <w:spacing w:after="0" w:line="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opinion of management, our liquidity position at March 31, 2026 was sufficient to meet our expected cash flow requirements for the foreseeable future. See the consolidated statement of cash flows for further detail.</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 deposits are the primary source of funds for the continued growth of our earning assets. We believe our high level of service, as evidenced by our strong customer satisfaction scores, is instrumental in attracting and retaining customer deposit accounts. Since December 31, 2025, customer deposits increased $237 million, primarily driven by the increase in noninterest demand deposits. As of March 31, 2026, we had approximately $10.1 billion of uninsured deposits, of which $2.99 billion was collateralized by investment securities.</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11 - Deposits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3"/>
          </w:tcPr>
          <w:p>
            <w:pPr>
              <w:jc w:val="right"/>
              <w:ind w:right="875"/>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3"/>
        </w:trPr>
        <w:tc>
          <w:tcPr>
            <w:tcW w:w="4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 of Total</w:t>
            </w:r>
          </w:p>
        </w:tc>
      </w:tr>
      <w:tr>
        <w:trPr>
          <w:trHeight w:val="223"/>
        </w:trPr>
        <w:tc>
          <w:tcPr>
            <w:tcW w:w="4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Noninterest-bearing demand</w:t>
            </w:r>
          </w:p>
        </w:tc>
        <w:tc>
          <w:tcPr>
            <w:tcW w:w="38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6,473,101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220" w:type="dxa"/>
            <w:vAlign w:val="bottom"/>
          </w:tcPr>
          <w:p>
            <w:pPr>
              <w:spacing w:after="0"/>
              <w:rPr>
                <w:sz w:val="19"/>
                <w:szCs w:val="19"/>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6,252,252</w:t>
            </w:r>
          </w:p>
        </w:tc>
        <w:tc>
          <w:tcPr>
            <w:tcW w:w="1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9"/>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NOW and interest-bearing demand</w:t>
            </w: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5,900,748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5,969,864</w:t>
            </w:r>
          </w:p>
        </w:tc>
        <w:tc>
          <w:tcPr>
            <w:tcW w:w="13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Money market and savings</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7,821,806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7,781,861</w:t>
            </w:r>
          </w:p>
        </w:tc>
        <w:tc>
          <w:tcPr>
            <w:tcW w:w="136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Time</w:t>
            </w:r>
          </w:p>
        </w:tc>
        <w:tc>
          <w:tcPr>
            <w:tcW w:w="3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3,664,706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3,619,189</w:t>
            </w:r>
          </w:p>
        </w:tc>
        <w:tc>
          <w:tcPr>
            <w:tcW w:w="13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w:t>
            </w:r>
          </w:p>
        </w:tc>
      </w:tr>
      <w:tr>
        <w:trPr>
          <w:trHeight w:val="210"/>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customer deposits</w:t>
            </w: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23,860,361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23,623,166</w:t>
            </w:r>
          </w:p>
        </w:tc>
        <w:tc>
          <w:tcPr>
            <w:tcW w:w="136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Brokered deposits</w:t>
            </w:r>
          </w:p>
        </w:tc>
        <w:tc>
          <w:tcPr>
            <w:tcW w:w="3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175,264</w:t>
            </w:r>
          </w:p>
        </w:tc>
        <w:tc>
          <w:tcPr>
            <w:tcW w:w="13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4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deposits</w:t>
            </w:r>
          </w:p>
        </w:tc>
        <w:tc>
          <w:tcPr>
            <w:tcW w:w="3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24,025,065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23,798,430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composition of the investment securities portfolio reflects our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The table below summarizes the carrying value of our securities portfolio and other relevant portfolio metrics including weighted-average life and effective duration as</w:t>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of the dates presented. Effective duration represents the expected change in the price of a security when rates change by 100 basis points.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12 - Investment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2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9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 of</w:t>
            </w:r>
          </w:p>
        </w:tc>
        <w:tc>
          <w:tcPr>
            <w:tcW w:w="10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portfolio</w:t>
            </w:r>
          </w:p>
        </w:tc>
        <w:tc>
          <w:tcPr>
            <w:tcW w:w="380" w:type="dxa"/>
            <w:vAlign w:val="bottom"/>
            <w:vMerge w:val="continue"/>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940" w:type="dxa"/>
            <w:vAlign w:val="bottom"/>
            <w:tcBorders>
              <w:top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AFS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3,574,546</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62 %</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3,750,863</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(176,317)</w:t>
            </w:r>
          </w:p>
        </w:tc>
        <w:tc>
          <w:tcPr>
            <w:tcW w:w="10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tcPr>
          <w:p>
            <w:pPr>
              <w:ind w:left="1060"/>
              <w:spacing w:after="0"/>
              <w:rPr>
                <w:sz w:val="20"/>
                <w:szCs w:val="20"/>
                <w:color w:val="auto"/>
              </w:rPr>
            </w:pPr>
            <w:r>
              <w:rPr>
                <w:rFonts w:ascii="Times New Roman" w:cs="Times New Roman" w:eastAsia="Times New Roman" w:hAnsi="Times New Roman"/>
                <w:sz w:val="16"/>
                <w:szCs w:val="16"/>
                <w:color w:val="auto"/>
              </w:rPr>
              <w:t>HTM</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2,211,523</w:t>
            </w:r>
          </w:p>
        </w:tc>
        <w:tc>
          <w:tcPr>
            <w:tcW w:w="104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2,237,356</w:t>
            </w:r>
          </w:p>
        </w:tc>
        <w:tc>
          <w:tcPr>
            <w:tcW w:w="102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(25,833)</w:t>
            </w:r>
          </w:p>
        </w:tc>
        <w:tc>
          <w:tcPr>
            <w:tcW w:w="10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4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5,786,069</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5,988,219</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(202,150)</w:t>
            </w: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Investment securities as a % of total assets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Weighted average life</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years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years</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Swap adjusted effective duration</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Effective duration</w:t>
            </w:r>
          </w:p>
        </w:tc>
        <w:tc>
          <w:tcPr>
            <w:tcW w:w="12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fair value hedges on a portion of our AFS securities portfolio in order to mitigate the impact of potential future unrealized losses on our tangible common equity. Gains and losses related to the hedge and hedged item are reflected in investment securities interest income. The changes in the fair value of the hedge and the hedged item substantially offset each other. See Note 4 to the financial statements for further detail.</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2026, HTM debt securities had a fair value of $1.88 billion, indicating net unrealized losses of $333 million (pre-tax). Additional unrealized losses on HTM debt securities of $50.0 million (pre-tax) were included in AOCI as a result of the transfer of AFS debt securities to HTM in 2022. Unrealized losses were primarily attributable to changes in interest rates.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consolidated financial statements for additional detail on investment securities.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Activities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2026 and December 31, 2025, we had long-term debt outstanding of $121 million and $120 million, respectively, which includes subordinated debentures and trust preferred securities. During the first quarter of 2026, holders of our $100 million subordinated debentures were notified that the debt would be redeemed prior to maturity, on April 30, 2026. At March 31, 2026 there were no short-term borrowings outstanding, compared to $85.0 million at December 31, 2025. The need to utilize wholesale funding sources has decreased because our liquidity needs have been met by our deposit and cash balances.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Off-Balance Sheet Arrangements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material changes to our contractual obligations and off-balance sheet arrangements since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 Management</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rate sensitivity is a function of the repricing characteristics of the portfolio of assets and liabilities. Repricing characteristics are the time frames within which the interest rates on interest-earning assets and interest-bearing liabilities are subject to change either at replacement, repricing or maturity.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uses an asset/liability simulation model to measure the potential change in net interest revenue over time using multiple interest rate scenarios. Our modeling is based on the 12-month impact on net interest revenue simulations with various interest rate shocks and ramps, which are compared to a base scenario that assumes rates remain unchanged. In the shock scenarios, rates immediately change the full amount at the scenario onset. In the ramp scenarios, rates change by 25 basis points per month until they reach the predetermined levels.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our estimated interest sensitivity position at the dates indicated. The scenario results presented assume parallel movements in the yield curve, which may differ from actual future curve behavior. Other than an assumption for the runoff of estimated surge deposits, which is assumed to be replaced with higher cost wholesale funding, this presentation generally assumes no change in deposit portfolio size or composition.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8"/>
          <w:szCs w:val="18"/>
          <w:b w:val="1"/>
          <w:bCs w:val="1"/>
          <w:color w:val="auto"/>
        </w:rPr>
        <w:t>Table 13 - Interest Sensitivity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20" w:type="dxa"/>
            <w:vAlign w:val="bottom"/>
            <w:gridSpan w:val="8"/>
          </w:tcPr>
          <w:p>
            <w:pPr>
              <w:jc w:val="center"/>
              <w:ind w:right="1560"/>
              <w:spacing w:after="0"/>
              <w:rPr>
                <w:sz w:val="20"/>
                <w:szCs w:val="20"/>
                <w:color w:val="auto"/>
              </w:rPr>
            </w:pPr>
            <w:r>
              <w:rPr>
                <w:rFonts w:ascii="Times New Roman" w:cs="Times New Roman" w:eastAsia="Times New Roman" w:hAnsi="Times New Roman"/>
                <w:sz w:val="16"/>
                <w:szCs w:val="16"/>
                <w:b w:val="1"/>
                <w:bCs w:val="1"/>
                <w:color w:val="auto"/>
              </w:rPr>
              <w:t>Increase (Decrease) in Net Interest Revenue from Base Scenario</w:t>
            </w:r>
          </w:p>
        </w:tc>
      </w:tr>
      <w:tr>
        <w:trPr>
          <w:trHeight w:val="214"/>
        </w:trPr>
        <w:tc>
          <w:tcPr>
            <w:tcW w:w="15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at</w:t>
            </w:r>
          </w:p>
        </w:tc>
        <w:tc>
          <w:tcPr>
            <w:tcW w:w="1060" w:type="dxa"/>
            <w:vAlign w:val="bottom"/>
            <w:tcBorders>
              <w:bottom w:val="single" w:sz="8" w:color="auto"/>
            </w:tcBorders>
          </w:tcPr>
          <w:p>
            <w:pPr>
              <w:spacing w:after="0"/>
              <w:rPr>
                <w:sz w:val="18"/>
                <w:szCs w:val="18"/>
                <w:color w:val="auto"/>
              </w:rPr>
            </w:pPr>
          </w:p>
        </w:tc>
        <w:tc>
          <w:tcPr>
            <w:tcW w:w="1560" w:type="dxa"/>
            <w:vAlign w:val="bottom"/>
          </w:tcPr>
          <w:p>
            <w:pPr>
              <w:spacing w:after="0"/>
              <w:rPr>
                <w:sz w:val="18"/>
                <w:szCs w:val="18"/>
                <w:color w:val="auto"/>
              </w:rPr>
            </w:pPr>
          </w:p>
        </w:tc>
      </w:tr>
      <w:tr>
        <w:trPr>
          <w:trHeight w:val="208"/>
        </w:trPr>
        <w:tc>
          <w:tcPr>
            <w:tcW w:w="15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00" w:type="dxa"/>
            <w:vAlign w:val="bottom"/>
          </w:tcPr>
          <w:p>
            <w:pPr>
              <w:spacing w:after="0"/>
              <w:rPr>
                <w:sz w:val="18"/>
                <w:szCs w:val="18"/>
                <w:color w:val="auto"/>
              </w:rPr>
            </w:pPr>
          </w:p>
        </w:tc>
        <w:tc>
          <w:tcPr>
            <w:tcW w:w="2240" w:type="dxa"/>
            <w:vAlign w:val="bottom"/>
            <w:tcBorders>
              <w:bottom w:val="single" w:sz="8" w:color="auto"/>
            </w:tcBorders>
            <w:gridSpan w:val="3"/>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560" w:type="dxa"/>
            <w:vAlign w:val="bottom"/>
          </w:tcPr>
          <w:p>
            <w:pPr>
              <w:spacing w:after="0"/>
              <w:rPr>
                <w:sz w:val="18"/>
                <w:szCs w:val="18"/>
                <w:color w:val="auto"/>
              </w:rPr>
            </w:pPr>
          </w:p>
        </w:tc>
      </w:tr>
      <w:tr>
        <w:trPr>
          <w:trHeight w:val="211"/>
        </w:trPr>
        <w:tc>
          <w:tcPr>
            <w:tcW w:w="1520" w:type="dxa"/>
            <w:vAlign w:val="bottom"/>
          </w:tcPr>
          <w:p>
            <w:pPr>
              <w:spacing w:after="0"/>
              <w:rPr>
                <w:sz w:val="18"/>
                <w:szCs w:val="18"/>
                <w:color w:val="auto"/>
              </w:rPr>
            </w:pPr>
          </w:p>
        </w:tc>
        <w:tc>
          <w:tcPr>
            <w:tcW w:w="3560" w:type="dxa"/>
            <w:vAlign w:val="bottom"/>
            <w:gridSpan w:val="2"/>
          </w:tcPr>
          <w:p>
            <w:pPr>
              <w:ind w:left="1160"/>
              <w:spacing w:after="0"/>
              <w:rPr>
                <w:sz w:val="20"/>
                <w:szCs w:val="20"/>
                <w:color w:val="auto"/>
              </w:rPr>
            </w:pPr>
            <w:r>
              <w:rPr>
                <w:rFonts w:ascii="Times New Roman" w:cs="Times New Roman" w:eastAsia="Times New Roman" w:hAnsi="Times New Roman"/>
                <w:sz w:val="16"/>
                <w:szCs w:val="16"/>
                <w:b w:val="1"/>
                <w:bCs w:val="1"/>
                <w:color w:val="auto"/>
              </w:rPr>
              <w:t>Change in Rates</w:t>
            </w: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Shock</w:t>
            </w:r>
          </w:p>
        </w:tc>
        <w:tc>
          <w:tcPr>
            <w:tcW w:w="10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Ramp</w:t>
            </w:r>
          </w:p>
        </w:tc>
        <w:tc>
          <w:tcPr>
            <w:tcW w:w="10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Shock</w:t>
            </w:r>
          </w:p>
        </w:tc>
        <w:tc>
          <w:tcPr>
            <w:tcW w:w="10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Ramp</w:t>
            </w:r>
          </w:p>
        </w:tc>
        <w:tc>
          <w:tcPr>
            <w:tcW w:w="1560" w:type="dxa"/>
            <w:vAlign w:val="bottom"/>
          </w:tcPr>
          <w:p>
            <w:pPr>
              <w:spacing w:after="0"/>
              <w:rPr>
                <w:sz w:val="18"/>
                <w:szCs w:val="18"/>
                <w:color w:val="auto"/>
              </w:rPr>
            </w:pPr>
          </w:p>
        </w:tc>
      </w:tr>
      <w:tr>
        <w:trPr>
          <w:trHeight w:val="211"/>
        </w:trPr>
        <w:tc>
          <w:tcPr>
            <w:tcW w:w="152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basis point increase</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0.17 %</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0.52 %</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0.66 %</w:t>
            </w:r>
          </w:p>
        </w:tc>
        <w:tc>
          <w:tcPr>
            <w:tcW w:w="1560" w:type="dxa"/>
            <w:vAlign w:val="bottom"/>
            <w:tcBorders>
              <w:top w:val="single" w:sz="8" w:color="CCEEFF"/>
            </w:tcBorders>
            <w:shd w:val="clear" w:color="auto" w:fill="CCEEFF"/>
          </w:tcPr>
          <w:p>
            <w:pPr>
              <w:spacing w:after="0"/>
              <w:rPr>
                <w:sz w:val="18"/>
                <w:szCs w:val="18"/>
                <w:color w:val="auto"/>
              </w:rPr>
            </w:pPr>
          </w:p>
        </w:tc>
      </w:tr>
      <w:tr>
        <w:trPr>
          <w:trHeight w:val="213"/>
        </w:trPr>
        <w:tc>
          <w:tcPr>
            <w:tcW w:w="15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100 basis point increase</w:t>
            </w:r>
          </w:p>
        </w:tc>
        <w:tc>
          <w:tcPr>
            <w:tcW w:w="10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0.10</w:t>
            </w: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tcPr>
          <w:p>
            <w:pPr>
              <w:spacing w:after="0"/>
              <w:rPr>
                <w:sz w:val="18"/>
                <w:szCs w:val="18"/>
                <w:color w:val="auto"/>
              </w:rPr>
            </w:pPr>
          </w:p>
        </w:tc>
        <w:tc>
          <w:tcPr>
            <w:tcW w:w="10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0.39</w:t>
            </w:r>
          </w:p>
        </w:tc>
        <w:tc>
          <w:tcPr>
            <w:tcW w:w="1560" w:type="dxa"/>
            <w:vAlign w:val="bottom"/>
          </w:tcPr>
          <w:p>
            <w:pPr>
              <w:spacing w:after="0"/>
              <w:rPr>
                <w:sz w:val="18"/>
                <w:szCs w:val="18"/>
                <w:color w:val="auto"/>
              </w:rPr>
            </w:pPr>
          </w:p>
        </w:tc>
      </w:tr>
      <w:tr>
        <w:trPr>
          <w:trHeight w:val="219"/>
        </w:trPr>
        <w:tc>
          <w:tcPr>
            <w:tcW w:w="15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 basis point decrease</w:t>
            </w: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(0.40)</w:t>
            </w:r>
          </w:p>
        </w:tc>
        <w:tc>
          <w:tcPr>
            <w:tcW w:w="11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(0.81)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(0.69)</w:t>
            </w:r>
          </w:p>
        </w:tc>
        <w:tc>
          <w:tcPr>
            <w:tcW w:w="1560" w:type="dxa"/>
            <w:vAlign w:val="bottom"/>
            <w:shd w:val="clear" w:color="auto" w:fill="CCEEFF"/>
          </w:tcPr>
          <w:p>
            <w:pPr>
              <w:spacing w:after="0"/>
              <w:rPr>
                <w:sz w:val="19"/>
                <w:szCs w:val="19"/>
                <w:color w:val="auto"/>
              </w:rPr>
            </w:pPr>
          </w:p>
        </w:tc>
      </w:tr>
      <w:tr>
        <w:trPr>
          <w:trHeight w:val="210"/>
        </w:trPr>
        <w:tc>
          <w:tcPr>
            <w:tcW w:w="15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basis point decrease</w:t>
            </w:r>
          </w:p>
        </w:tc>
        <w:tc>
          <w:tcPr>
            <w:tcW w:w="10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(0.75)</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(0.81)</w:t>
            </w: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(1.35)</w:t>
            </w:r>
          </w:p>
        </w:tc>
        <w:tc>
          <w:tcPr>
            <w:tcW w:w="1560" w:type="dxa"/>
            <w:vAlign w:val="bottom"/>
          </w:tcPr>
          <w:p>
            <w:pPr>
              <w:spacing w:after="0"/>
              <w:rPr>
                <w:sz w:val="18"/>
                <w:szCs w:val="18"/>
                <w:color w:val="auto"/>
              </w:rPr>
            </w:pP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results from December 31, 2025 to March 31, 2026 are primarily driven by a reduction in notional pay-fixed, receive float swaps.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Risk Management</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maintenance and management of capital levels is one of management’s significant priorities. We are committed to maintaining a capital position that will support ongoing operations and achieve our strategic objectives. The ALCO and the Board are responsible for establishing capital adequacy risk ranges that are appropriate given the risks to which we are exposed and the environment in which we operate. Current and projected capital levels are compared to the capital adequacy risk ranges and reported quarterly to the ALCO and the Board. We utilize a baseline capital forecast as part of our capital management and planning process to evaluate current and future capital needs. We also use hypothetical stressed scenarios and sensitivity analyses, based on changing economic conditions and scenarios, including potential merger and acquisition transactions and debt/capital market activities. Forecasting alternative capital scenarios helps inform overall capital adequacy and capital ranges.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 Highlights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equity at March 31, 2026 was $3.65 billion, an increase of $16.0 million from December 31, 2025 primarily due to year-to-date earnings of $84.3 million, partially offset by common stock repurchases of $37.4 million and dividends declared on common stock of $30.4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Capital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capital composition as of March 31, 2026 and December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14 - Capital Composition under Basel III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780" w:type="dxa"/>
            <w:vAlign w:val="bottom"/>
            <w:tcBorders>
              <w:top w:val="single" w:sz="8" w:color="auto"/>
            </w:tcBorders>
            <w:gridSpan w:val="5"/>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United Community Banks, Inc.</w:t>
            </w:r>
          </w:p>
        </w:tc>
        <w:tc>
          <w:tcPr>
            <w:tcW w:w="22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gridSpan w:val="4"/>
            <w:vMerge w:val="restart"/>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United Community Bank</w:t>
            </w:r>
          </w:p>
        </w:tc>
        <w:tc>
          <w:tcPr>
            <w:tcW w:w="0" w:type="dxa"/>
            <w:vAlign w:val="bottom"/>
          </w:tcPr>
          <w:p>
            <w:pPr>
              <w:spacing w:after="0"/>
              <w:rPr>
                <w:sz w:val="1"/>
                <w:szCs w:val="1"/>
                <w:color w:val="auto"/>
              </w:rPr>
            </w:pPr>
          </w:p>
        </w:tc>
      </w:tr>
      <w:tr>
        <w:trPr>
          <w:trHeight w:val="214"/>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20" w:type="dxa"/>
            <w:vAlign w:val="bottom"/>
          </w:tcPr>
          <w:p>
            <w:pPr>
              <w:spacing w:after="0"/>
              <w:rPr>
                <w:sz w:val="18"/>
                <w:szCs w:val="18"/>
                <w:color w:val="auto"/>
              </w:rPr>
            </w:pPr>
          </w:p>
        </w:tc>
        <w:tc>
          <w:tcPr>
            <w:tcW w:w="264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53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13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53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common shareholders' equity</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3,654,666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3,638,686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3,386,971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3,391,455</w:t>
            </w:r>
          </w:p>
        </w:tc>
        <w:tc>
          <w:tcPr>
            <w:tcW w:w="0" w:type="dxa"/>
            <w:vAlign w:val="bottom"/>
          </w:tcPr>
          <w:p>
            <w:pPr>
              <w:spacing w:after="0"/>
              <w:rPr>
                <w:sz w:val="1"/>
                <w:szCs w:val="1"/>
                <w:color w:val="auto"/>
              </w:rPr>
            </w:pPr>
          </w:p>
        </w:tc>
      </w:tr>
      <w:tr>
        <w:trPr>
          <w:trHeight w:val="213"/>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(925,119)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(925,119)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(925,119)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(925,119)</w:t>
            </w:r>
          </w:p>
        </w:tc>
        <w:tc>
          <w:tcPr>
            <w:tcW w:w="0" w:type="dxa"/>
            <w:vAlign w:val="bottom"/>
          </w:tcPr>
          <w:p>
            <w:pPr>
              <w:spacing w:after="0"/>
              <w:rPr>
                <w:sz w:val="1"/>
                <w:szCs w:val="1"/>
                <w:color w:val="auto"/>
              </w:rPr>
            </w:pPr>
          </w:p>
        </w:tc>
      </w:tr>
      <w:tr>
        <w:trPr>
          <w:trHeight w:val="165"/>
        </w:trPr>
        <w:tc>
          <w:tcPr>
            <w:tcW w:w="53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Intangibles, other than goodwill and mortgage servicing rights, net of associated</w:t>
            </w:r>
          </w:p>
        </w:tc>
        <w:tc>
          <w:tcPr>
            <w:tcW w:w="2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(37,274)</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(37,274)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DTLs</w:t>
            </w:r>
          </w:p>
        </w:tc>
        <w:tc>
          <w:tcPr>
            <w:tcW w:w="2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DTAs arising from net operating loss and tax credit carryforwards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losses on AFS securities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116,985</w:t>
            </w:r>
          </w:p>
        </w:tc>
        <w:tc>
          <w:tcPr>
            <w:tcW w:w="0" w:type="dxa"/>
            <w:vAlign w:val="bottom"/>
          </w:tcPr>
          <w:p>
            <w:pPr>
              <w:spacing w:after="0"/>
              <w:rPr>
                <w:sz w:val="1"/>
                <w:szCs w:val="1"/>
                <w:color w:val="auto"/>
              </w:rPr>
            </w:pPr>
          </w:p>
        </w:tc>
      </w:tr>
      <w:tr>
        <w:trPr>
          <w:trHeight w:val="213"/>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net gains on cash flow hedges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losses on HTM securities that are included in AOCI</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38,308</w:t>
            </w:r>
          </w:p>
        </w:tc>
        <w:tc>
          <w:tcPr>
            <w:tcW w:w="0" w:type="dxa"/>
            <w:vAlign w:val="bottom"/>
          </w:tcPr>
          <w:p>
            <w:pPr>
              <w:spacing w:after="0"/>
              <w:rPr>
                <w:sz w:val="1"/>
                <w:szCs w:val="1"/>
                <w:color w:val="auto"/>
              </w:rPr>
            </w:pPr>
          </w:p>
        </w:tc>
      </w:tr>
      <w:tr>
        <w:trPr>
          <w:trHeight w:val="21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1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CET1 / Tier 1 Capital</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2,844,828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2,824,732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2,578,830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2,582,475</w:t>
            </w:r>
          </w:p>
        </w:tc>
        <w:tc>
          <w:tcPr>
            <w:tcW w:w="0" w:type="dxa"/>
            <w:vAlign w:val="bottom"/>
          </w:tcPr>
          <w:p>
            <w:pPr>
              <w:spacing w:after="0"/>
              <w:rPr>
                <w:sz w:val="1"/>
                <w:szCs w:val="1"/>
                <w:color w:val="auto"/>
              </w:rPr>
            </w:pPr>
          </w:p>
        </w:tc>
      </w:tr>
      <w:tr>
        <w:trPr>
          <w:trHeight w:val="213"/>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Tier 2 capital instruments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Qualifying ACL</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215,074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215,074</w:t>
            </w:r>
          </w:p>
        </w:tc>
        <w:tc>
          <w:tcPr>
            <w:tcW w:w="0" w:type="dxa"/>
            <w:vAlign w:val="bottom"/>
          </w:tcPr>
          <w:p>
            <w:pPr>
              <w:spacing w:after="0"/>
              <w:rPr>
                <w:sz w:val="1"/>
                <w:szCs w:val="1"/>
                <w:color w:val="auto"/>
              </w:rPr>
            </w:pPr>
          </w:p>
        </w:tc>
      </w:tr>
      <w:tr>
        <w:trPr>
          <w:trHeight w:val="209"/>
        </w:trPr>
        <w:tc>
          <w:tcPr>
            <w:tcW w:w="53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capital</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3,106,528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3,104,806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2,795,530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2,797,549</w:t>
            </w: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shows capital ratios, as calculated under applicable regulatory guidelines, at March 31, 2026 and December 31, 2025. As of March 31, 2026, capital levels remained characterized as “well-capitalized” under regulatory requirements in effect at the time. Additional information related to capital ratios is provided in Note 8 to the consolidated financial statements.</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Table 15 - Capital Ratios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760" w:type="dxa"/>
            <w:vAlign w:val="bottom"/>
            <w:tcBorders>
              <w:top w:val="single" w:sz="8" w:color="auto"/>
            </w:tcBorders>
            <w:gridSpan w:val="4"/>
          </w:tcPr>
          <w:p>
            <w:pPr>
              <w:ind w:left="260"/>
              <w:spacing w:after="0" w:line="175" w:lineRule="exact"/>
              <w:rPr>
                <w:sz w:val="20"/>
                <w:szCs w:val="20"/>
                <w:color w:val="auto"/>
              </w:rPr>
            </w:pPr>
            <w:r>
              <w:rPr>
                <w:rFonts w:ascii="Times New Roman" w:cs="Times New Roman" w:eastAsia="Times New Roman" w:hAnsi="Times New Roman"/>
                <w:sz w:val="16"/>
                <w:szCs w:val="16"/>
                <w:b w:val="1"/>
                <w:bCs w:val="1"/>
                <w:color w:val="auto"/>
              </w:rPr>
              <w:t>United Community Banks, Inc.</w:t>
            </w:r>
          </w:p>
        </w:tc>
        <w:tc>
          <w:tcPr>
            <w:tcW w:w="2660" w:type="dxa"/>
            <w:vAlign w:val="bottom"/>
            <w:tcBorders>
              <w:top w:val="single" w:sz="8" w:color="auto"/>
            </w:tcBorders>
            <w:gridSpan w:val="3"/>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United Community Bank</w:t>
            </w:r>
          </w:p>
        </w:tc>
        <w:tc>
          <w:tcPr>
            <w:tcW w:w="0" w:type="dxa"/>
            <w:vAlign w:val="bottom"/>
          </w:tcPr>
          <w:p>
            <w:pPr>
              <w:spacing w:after="0"/>
              <w:rPr>
                <w:sz w:val="1"/>
                <w:szCs w:val="1"/>
                <w:color w:val="auto"/>
              </w:rPr>
            </w:pPr>
          </w:p>
        </w:tc>
      </w:tr>
      <w:tr>
        <w:trPr>
          <w:trHeight w:val="214"/>
        </w:trPr>
        <w:tc>
          <w:tcPr>
            <w:tcW w:w="15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8"/>
                <w:szCs w:val="18"/>
                <w:color w:val="auto"/>
              </w:rPr>
            </w:pPr>
          </w:p>
        </w:tc>
        <w:tc>
          <w:tcPr>
            <w:tcW w:w="26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Well-</w:t>
            </w:r>
          </w:p>
        </w:tc>
        <w:tc>
          <w:tcPr>
            <w:tcW w:w="16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Minimum Capital Plus</w:t>
            </w:r>
          </w:p>
        </w:tc>
        <w:tc>
          <w:tcPr>
            <w:tcW w:w="100" w:type="dxa"/>
            <w:vAlign w:val="bottom"/>
          </w:tcPr>
          <w:p>
            <w:pPr>
              <w:spacing w:after="0"/>
              <w:rPr>
                <w:sz w:val="13"/>
                <w:szCs w:val="13"/>
                <w:color w:val="auto"/>
              </w:rPr>
            </w:pPr>
          </w:p>
        </w:tc>
        <w:tc>
          <w:tcPr>
            <w:tcW w:w="1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280" w:type="dxa"/>
            <w:vAlign w:val="bottom"/>
            <w:gridSpan w:val="2"/>
            <w:vMerge w:val="continue"/>
          </w:tcPr>
          <w:p>
            <w:pPr>
              <w:spacing w:after="0"/>
              <w:rPr>
                <w:sz w:val="14"/>
                <w:szCs w:val="14"/>
                <w:color w:val="auto"/>
              </w:rPr>
            </w:pPr>
          </w:p>
        </w:tc>
        <w:tc>
          <w:tcPr>
            <w:tcW w:w="17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Capital Conservation</w:t>
            </w:r>
          </w:p>
        </w:tc>
        <w:tc>
          <w:tcPr>
            <w:tcW w:w="134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5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Capitalized</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Buffer</w:t>
            </w:r>
          </w:p>
        </w:tc>
        <w:tc>
          <w:tcPr>
            <w:tcW w:w="124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32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30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8"/>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Risk-based ratios:</w:t>
            </w: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CET1 capital</w:t>
            </w:r>
          </w:p>
        </w:tc>
        <w:tc>
          <w:tcPr>
            <w:tcW w:w="11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tcPr>
          <w:p>
            <w:pPr>
              <w:spacing w:after="0"/>
              <w:rPr>
                <w:sz w:val="18"/>
                <w:szCs w:val="18"/>
                <w:color w:val="auto"/>
              </w:rPr>
            </w:pPr>
          </w:p>
        </w:tc>
        <w:tc>
          <w:tcPr>
            <w:tcW w:w="12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13.40 %</w:t>
            </w:r>
          </w:p>
        </w:tc>
        <w:tc>
          <w:tcPr>
            <w:tcW w:w="100" w:type="dxa"/>
            <w:vAlign w:val="bottom"/>
          </w:tcPr>
          <w:p>
            <w:pPr>
              <w:spacing w:after="0"/>
              <w:rPr>
                <w:sz w:val="18"/>
                <w:szCs w:val="18"/>
                <w:color w:val="auto"/>
              </w:rPr>
            </w:pPr>
          </w:p>
        </w:tc>
        <w:tc>
          <w:tcPr>
            <w:tcW w:w="13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13.44 %</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12.34 %</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Tier 1 capital</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13.40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13.44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12.19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12.34</w:t>
            </w:r>
          </w:p>
        </w:tc>
        <w:tc>
          <w:tcPr>
            <w:tcW w:w="0" w:type="dxa"/>
            <w:vAlign w:val="bottom"/>
          </w:tcPr>
          <w:p>
            <w:pPr>
              <w:spacing w:after="0"/>
              <w:rPr>
                <w:sz w:val="1"/>
                <w:szCs w:val="1"/>
                <w:color w:val="auto"/>
              </w:rPr>
            </w:pPr>
          </w:p>
        </w:tc>
      </w:tr>
      <w:tr>
        <w:trPr>
          <w:trHeight w:val="213"/>
        </w:trPr>
        <w:tc>
          <w:tcPr>
            <w:tcW w:w="1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capital</w:t>
            </w:r>
          </w:p>
        </w:tc>
        <w:tc>
          <w:tcPr>
            <w:tcW w:w="114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2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14.63</w:t>
            </w:r>
          </w:p>
        </w:tc>
        <w:tc>
          <w:tcPr>
            <w:tcW w:w="100" w:type="dxa"/>
            <w:vAlign w:val="bottom"/>
          </w:tcPr>
          <w:p>
            <w:pPr>
              <w:spacing w:after="0"/>
              <w:rPr>
                <w:sz w:val="18"/>
                <w:szCs w:val="18"/>
                <w:color w:val="auto"/>
              </w:rPr>
            </w:pPr>
          </w:p>
        </w:tc>
        <w:tc>
          <w:tcPr>
            <w:tcW w:w="13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14.77</w:t>
            </w:r>
          </w:p>
        </w:tc>
        <w:tc>
          <w:tcPr>
            <w:tcW w:w="1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13.21</w:t>
            </w:r>
          </w:p>
        </w:tc>
        <w:tc>
          <w:tcPr>
            <w:tcW w:w="12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13.37</w:t>
            </w:r>
          </w:p>
        </w:tc>
        <w:tc>
          <w:tcPr>
            <w:tcW w:w="0" w:type="dxa"/>
            <w:vAlign w:val="bottom"/>
          </w:tcPr>
          <w:p>
            <w:pPr>
              <w:spacing w:after="0"/>
              <w:rPr>
                <w:sz w:val="1"/>
                <w:szCs w:val="1"/>
                <w:color w:val="auto"/>
              </w:rPr>
            </w:pPr>
          </w:p>
        </w:tc>
      </w:tr>
      <w:tr>
        <w:trPr>
          <w:trHeight w:val="219"/>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Leverage ratio</w:t>
            </w:r>
          </w:p>
        </w:tc>
        <w:tc>
          <w:tcPr>
            <w:tcW w:w="11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N/A</w:t>
            </w:r>
          </w:p>
        </w:tc>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10.45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10.28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9.42</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 and Changing Prices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Management believes the effect of inflation on financial results depends on our ability to react to changes in interest rates, and by such reaction, reduce the inflationary effect on performance. We have an asset/liability management program to manage interest rate sensitivity. In addition, periodic reviews of banking services and products are conducted to adjust pricing in view of current and expected costs.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required to make estimates and assumptions that affect the reported amounts of assets and liabilities as of the date of the balance sheet and revenues and expenses for the period. Our accounting and reporting estimates are in accordance with GAAP and conform to customary practices within the banking industry. Estimates that are susceptible to significant changes include accounting for the ACL and fair value measurements, both of which require significant judgments by management. Actual results could differ significantly from those estimates. Also, different assumptions in the application of these accounting estimates could result in material changes in our consolidated financial position or consolidated results of operations. Our critical accounting estimates are discussed in MD&amp;A in our 2025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15"/>
          <w:szCs w:val="15"/>
          <w:b w:val="1"/>
          <w:bCs w:val="1"/>
          <w:color w:val="auto"/>
        </w:rPr>
        <w:t>UNITED COMMUNITY BANKS,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Table 16 (Continued) - Financial Highlights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Non-GAAP Performance Measures Reconciliation</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(dollars in thousands, except per share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8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2026</w:t>
            </w:r>
          </w:p>
        </w:tc>
        <w:tc>
          <w:tcPr>
            <w:tcW w:w="14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gridSpan w:val="3"/>
          </w:tcPr>
          <w:p>
            <w:pPr>
              <w:jc w:val="right"/>
              <w:ind w:right="110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1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r>
      <w:tr>
        <w:trPr>
          <w:trHeight w:val="196"/>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First Quarter</w:t>
            </w:r>
          </w:p>
        </w:tc>
        <w:tc>
          <w:tcPr>
            <w:tcW w:w="140" w:type="dxa"/>
            <w:vAlign w:val="bottom"/>
          </w:tcPr>
          <w:p>
            <w:pPr>
              <w:spacing w:after="0"/>
              <w:rPr>
                <w:sz w:val="17"/>
                <w:szCs w:val="17"/>
                <w:color w:val="auto"/>
              </w:rPr>
            </w:pPr>
          </w:p>
        </w:tc>
        <w:tc>
          <w:tcPr>
            <w:tcW w:w="1340" w:type="dxa"/>
            <w:vAlign w:val="bottom"/>
            <w:gridSpan w:val="3"/>
          </w:tcPr>
          <w:p>
            <w:pPr>
              <w:ind w:left="80"/>
              <w:spacing w:after="0"/>
              <w:rPr>
                <w:sz w:val="20"/>
                <w:szCs w:val="20"/>
                <w:color w:val="auto"/>
              </w:rPr>
            </w:pPr>
            <w:r>
              <w:rPr>
                <w:rFonts w:ascii="Times New Roman" w:cs="Times New Roman" w:eastAsia="Times New Roman" w:hAnsi="Times New Roman"/>
                <w:sz w:val="15"/>
                <w:szCs w:val="15"/>
                <w:b w:val="1"/>
                <w:bCs w:val="1"/>
                <w:color w:val="auto"/>
              </w:rPr>
              <w:t>Fourth Quarter</w:t>
            </w:r>
          </w:p>
        </w:tc>
        <w:tc>
          <w:tcPr>
            <w:tcW w:w="100" w:type="dxa"/>
            <w:vAlign w:val="bottom"/>
          </w:tcPr>
          <w:p>
            <w:pPr>
              <w:spacing w:after="0"/>
              <w:rPr>
                <w:sz w:val="17"/>
                <w:szCs w:val="17"/>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Third Quarter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Second Quarter</w:t>
            </w:r>
          </w:p>
        </w:tc>
        <w:tc>
          <w:tcPr>
            <w:tcW w:w="120" w:type="dxa"/>
            <w:vAlign w:val="bottom"/>
          </w:tcPr>
          <w:p>
            <w:pPr>
              <w:spacing w:after="0"/>
              <w:rPr>
                <w:sz w:val="17"/>
                <w:szCs w:val="17"/>
                <w:color w:val="auto"/>
              </w:rPr>
            </w:pPr>
          </w:p>
        </w:tc>
        <w:tc>
          <w:tcPr>
            <w:tcW w:w="106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First Quarter</w:t>
            </w:r>
          </w:p>
        </w:tc>
      </w:tr>
      <w:tr>
        <w:trPr>
          <w:trHeight w:val="183"/>
        </w:trPr>
        <w:tc>
          <w:tcPr>
            <w:tcW w:w="45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Noninterest income reconciliation</w:t>
            </w: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Noninterest income (GAAP)</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43,746</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40,462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43,219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34,708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35,656</w:t>
            </w:r>
          </w:p>
        </w:tc>
      </w:tr>
      <w:tr>
        <w:trPr>
          <w:trHeight w:val="200"/>
        </w:trPr>
        <w:tc>
          <w:tcPr>
            <w:tcW w:w="4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on terminated cash flow hedge</w:t>
            </w:r>
          </w:p>
        </w:tc>
        <w:tc>
          <w:tcPr>
            <w:tcW w:w="120" w:type="dxa"/>
            <w:vAlign w:val="bottom"/>
          </w:tcPr>
          <w:p>
            <w:pPr>
              <w:spacing w:after="0"/>
              <w:rPr>
                <w:sz w:val="17"/>
                <w:szCs w:val="17"/>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(5,184)</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23"/>
        </w:trPr>
        <w:tc>
          <w:tcPr>
            <w:tcW w:w="45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Noninterest income - operating</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38,562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40,462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43,219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34,708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35,656</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Noninterest expense reconciliation</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4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Noninterest expense (GAAP)</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157,302</w:t>
            </w:r>
          </w:p>
        </w:tc>
        <w:tc>
          <w:tcPr>
            <w:tcW w:w="14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152,048</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150,868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147,919</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141,099</w:t>
            </w:r>
          </w:p>
        </w:tc>
      </w:tr>
      <w:tr>
        <w:trPr>
          <w:trHeight w:val="20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Payroll transition bonus</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(6,704)</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4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FDIC special assessment accrual reversal</w:t>
            </w:r>
          </w:p>
        </w:tc>
        <w:tc>
          <w:tcPr>
            <w:tcW w:w="120" w:type="dxa"/>
            <w:vAlign w:val="bottom"/>
          </w:tcPr>
          <w:p>
            <w:pPr>
              <w:spacing w:after="0"/>
              <w:rPr>
                <w:sz w:val="17"/>
                <w:szCs w:val="17"/>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1,885</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Merger-related and other charges</w:t>
            </w: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(873)</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(606)</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(3,468)</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(4,833)</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(1,297)</w:t>
            </w:r>
          </w:p>
        </w:tc>
      </w:tr>
      <w:tr>
        <w:trPr>
          <w:trHeight w:val="196"/>
        </w:trPr>
        <w:tc>
          <w:tcPr>
            <w:tcW w:w="45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Noninterest expense - operating</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151,610</w:t>
            </w:r>
          </w:p>
        </w:tc>
        <w:tc>
          <w:tcPr>
            <w:tcW w:w="140" w:type="dxa"/>
            <w:vAlign w:val="bottom"/>
          </w:tcPr>
          <w:p>
            <w:pPr>
              <w:spacing w:after="0"/>
              <w:rPr>
                <w:sz w:val="17"/>
                <w:szCs w:val="17"/>
                <w:color w:val="auto"/>
              </w:rPr>
            </w:pPr>
          </w:p>
        </w:tc>
        <w:tc>
          <w:tcPr>
            <w:tcW w:w="3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151,442</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147,400</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143,086</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139,802</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0"/>
        </w:trPr>
        <w:tc>
          <w:tcPr>
            <w:tcW w:w="4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02"/>
        </w:trPr>
        <w:tc>
          <w:tcPr>
            <w:tcW w:w="45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 to operating income reconciliation</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(GAAP)</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84,289</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86,455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91,494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78,733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71,413</w:t>
            </w:r>
          </w:p>
        </w:tc>
      </w:tr>
      <w:tr>
        <w:trPr>
          <w:trHeight w:val="200"/>
        </w:trPr>
        <w:tc>
          <w:tcPr>
            <w:tcW w:w="4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on terminated cash flow hedge</w:t>
            </w:r>
          </w:p>
        </w:tc>
        <w:tc>
          <w:tcPr>
            <w:tcW w:w="120" w:type="dxa"/>
            <w:vAlign w:val="bottom"/>
          </w:tcPr>
          <w:p>
            <w:pPr>
              <w:spacing w:after="0"/>
              <w:rPr>
                <w:sz w:val="17"/>
                <w:szCs w:val="17"/>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(5,184)</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Payroll transition bonus</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6,704</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4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FDIC special assessment accrual reversal</w:t>
            </w:r>
          </w:p>
        </w:tc>
        <w:tc>
          <w:tcPr>
            <w:tcW w:w="120" w:type="dxa"/>
            <w:vAlign w:val="bottom"/>
          </w:tcPr>
          <w:p>
            <w:pPr>
              <w:spacing w:after="0"/>
              <w:rPr>
                <w:sz w:val="17"/>
                <w:szCs w:val="17"/>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(1,885)</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Merger-related and other charges</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873</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606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3,468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4,833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1,297</w:t>
            </w:r>
          </w:p>
        </w:tc>
      </w:tr>
      <w:tr>
        <w:trPr>
          <w:trHeight w:val="20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Income tax benefit of non-operating items</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(113)</w:t>
            </w: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(133)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(751)</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(1,047)</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(281)</w:t>
            </w:r>
          </w:p>
        </w:tc>
      </w:tr>
      <w:tr>
        <w:trPr>
          <w:trHeight w:val="223"/>
        </w:trPr>
        <w:tc>
          <w:tcPr>
            <w:tcW w:w="4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 - operating</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84,684</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86,928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94,211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82,519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72,429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Diluted income per common share reconciliation</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4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Diluted income per common share (GAAP)</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0.69</w:t>
            </w:r>
          </w:p>
        </w:tc>
        <w:tc>
          <w:tcPr>
            <w:tcW w:w="140" w:type="dxa"/>
            <w:vAlign w:val="bottom"/>
          </w:tcPr>
          <w:p>
            <w:pPr>
              <w:spacing w:after="0"/>
              <w:rPr>
                <w:sz w:val="17"/>
                <w:szCs w:val="17"/>
                <w:color w:val="auto"/>
              </w:rPr>
            </w:pP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0.70</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0.70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0.63</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0.58</w:t>
            </w:r>
          </w:p>
        </w:tc>
      </w:tr>
      <w:tr>
        <w:trPr>
          <w:trHeight w:val="20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 on terminated cash flow hedge</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(0.03)</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4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Payroll transition bonus</w:t>
            </w:r>
          </w:p>
        </w:tc>
        <w:tc>
          <w:tcPr>
            <w:tcW w:w="120" w:type="dxa"/>
            <w:vAlign w:val="bottom"/>
          </w:tcPr>
          <w:p>
            <w:pPr>
              <w:spacing w:after="0"/>
              <w:rPr>
                <w:sz w:val="17"/>
                <w:szCs w:val="17"/>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0.04</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FDIC special assessment accrual reversal</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(0.01)</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4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Merger-related and other charges</w:t>
            </w:r>
          </w:p>
        </w:tc>
        <w:tc>
          <w:tcPr>
            <w:tcW w:w="120" w:type="dxa"/>
            <w:vAlign w:val="bottom"/>
          </w:tcPr>
          <w:p>
            <w:pPr>
              <w:spacing w:after="0"/>
              <w:rPr>
                <w:sz w:val="17"/>
                <w:szCs w:val="17"/>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0.01</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0.02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0.01</w:t>
            </w:r>
          </w:p>
        </w:tc>
      </w:tr>
      <w:tr>
        <w:trPr>
          <w:trHeight w:val="20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Deemed dividend on preferred stock redemption</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0.03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45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Diluted income per common share - operating</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0.70</w:t>
            </w:r>
          </w:p>
        </w:tc>
        <w:tc>
          <w:tcPr>
            <w:tcW w:w="14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0.71</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0.75</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0.66</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0.59</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0"/>
        </w:trPr>
        <w:tc>
          <w:tcPr>
            <w:tcW w:w="4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02"/>
        </w:trPr>
        <w:tc>
          <w:tcPr>
            <w:tcW w:w="45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Book value per common share reconciliation</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Book value per common share (GAAP)</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30.54</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30.17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29.44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28.89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28.42</w:t>
            </w:r>
          </w:p>
        </w:tc>
      </w:tr>
      <w:tr>
        <w:trPr>
          <w:trHeight w:val="20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Effect of goodwill and other intangibles</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(7.98)</w:t>
            </w:r>
          </w:p>
        </w:tc>
        <w:tc>
          <w:tcPr>
            <w:tcW w:w="1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(7.93)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(7.85)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(7.89)</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(7.84)</w:t>
            </w:r>
          </w:p>
        </w:tc>
      </w:tr>
      <w:tr>
        <w:trPr>
          <w:trHeight w:val="223"/>
        </w:trPr>
        <w:tc>
          <w:tcPr>
            <w:tcW w:w="4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Tangible book value per common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22.56</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22.24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21.59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21.00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20.58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Return on tangible common equity reconciliation</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0"/>
        </w:trPr>
        <w:tc>
          <w:tcPr>
            <w:tcW w:w="4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Return on common equity (GAAP)</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9.35 %</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9.48 %</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9.20 %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8.45 %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7.89 %</w:t>
            </w:r>
          </w:p>
        </w:tc>
      </w:tr>
      <w:tr>
        <w:trPr>
          <w:trHeight w:val="20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Gain on terminated cash flow hedge</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(0.45)</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4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Payroll transition bonus</w:t>
            </w:r>
          </w:p>
        </w:tc>
        <w:tc>
          <w:tcPr>
            <w:tcW w:w="120" w:type="dxa"/>
            <w:vAlign w:val="bottom"/>
          </w:tcPr>
          <w:p>
            <w:pPr>
              <w:spacing w:after="0"/>
              <w:rPr>
                <w:sz w:val="17"/>
                <w:szCs w:val="17"/>
                <w:color w:val="auto"/>
              </w:rPr>
            </w:pP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0.58</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FDIC special assessment accrual reversal</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(0.16)</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4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Merger-related and other charges</w:t>
            </w:r>
          </w:p>
        </w:tc>
        <w:tc>
          <w:tcPr>
            <w:tcW w:w="120" w:type="dxa"/>
            <w:vAlign w:val="bottom"/>
          </w:tcPr>
          <w:p>
            <w:pPr>
              <w:spacing w:after="0"/>
              <w:rPr>
                <w:sz w:val="17"/>
                <w:szCs w:val="17"/>
                <w:color w:val="auto"/>
              </w:rPr>
            </w:pP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0.07</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0.05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0.29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0.12</w:t>
            </w:r>
          </w:p>
        </w:tc>
      </w:tr>
      <w:tr>
        <w:trPr>
          <w:trHeight w:val="20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Deemed dividend on preferred stock redemption</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0.34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4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Return on common equity - operating</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9.39</w:t>
            </w:r>
          </w:p>
        </w:tc>
        <w:tc>
          <w:tcPr>
            <w:tcW w:w="1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9.53</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9.83</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8.87</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8.01</w:t>
            </w:r>
          </w:p>
        </w:tc>
      </w:tr>
      <w:tr>
        <w:trPr>
          <w:trHeight w:val="20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goodwill and other intangibles</w:t>
            </w: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3.66</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3.78</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3.73</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3.47</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3.20</w:t>
            </w:r>
          </w:p>
        </w:tc>
      </w:tr>
      <w:tr>
        <w:trPr>
          <w:trHeight w:val="198"/>
        </w:trPr>
        <w:tc>
          <w:tcPr>
            <w:tcW w:w="45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Return on tangible common equity - operating</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13.05 %</w:t>
            </w: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13.31 %</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13.56 %</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12.34 %</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11.21 %</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0"/>
        </w:trPr>
        <w:tc>
          <w:tcPr>
            <w:tcW w:w="4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02"/>
        </w:trPr>
        <w:tc>
          <w:tcPr>
            <w:tcW w:w="45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Return on assets reconciliation</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Return on assets (GAAP)</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1.22 %</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1.21 %</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1.29 %</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1.11 %</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1.02 %</w:t>
            </w:r>
          </w:p>
        </w:tc>
      </w:tr>
      <w:tr>
        <w:trPr>
          <w:trHeight w:val="200"/>
        </w:trPr>
        <w:tc>
          <w:tcPr>
            <w:tcW w:w="4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on terminated cash flow hedge</w:t>
            </w:r>
          </w:p>
        </w:tc>
        <w:tc>
          <w:tcPr>
            <w:tcW w:w="120" w:type="dxa"/>
            <w:vAlign w:val="bottom"/>
          </w:tcPr>
          <w:p>
            <w:pPr>
              <w:spacing w:after="0"/>
              <w:rPr>
                <w:sz w:val="17"/>
                <w:szCs w:val="17"/>
                <w:color w:val="auto"/>
              </w:rPr>
            </w:pPr>
          </w:p>
        </w:tc>
        <w:tc>
          <w:tcPr>
            <w:tcW w:w="10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(0.06)</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Payroll transition bonus</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0.07</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4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FDIC special assessment accrual reversal</w:t>
            </w:r>
          </w:p>
        </w:tc>
        <w:tc>
          <w:tcPr>
            <w:tcW w:w="120" w:type="dxa"/>
            <w:vAlign w:val="bottom"/>
          </w:tcPr>
          <w:p>
            <w:pPr>
              <w:spacing w:after="0"/>
              <w:rPr>
                <w:sz w:val="17"/>
                <w:szCs w:val="17"/>
                <w:color w:val="auto"/>
              </w:rPr>
            </w:pPr>
          </w:p>
        </w:tc>
        <w:tc>
          <w:tcPr>
            <w:tcW w:w="106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(0.02)</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Merger-related and other charges</w:t>
            </w: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0.01</w:t>
            </w:r>
          </w:p>
        </w:tc>
        <w:tc>
          <w:tcPr>
            <w:tcW w:w="1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0.01</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0.04</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0.05</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0.02</w:t>
            </w:r>
          </w:p>
        </w:tc>
      </w:tr>
      <w:tr>
        <w:trPr>
          <w:trHeight w:val="198"/>
        </w:trPr>
        <w:tc>
          <w:tcPr>
            <w:tcW w:w="45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Return on assets - operating</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1.22 %</w:t>
            </w: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1.22 %</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1.33 %</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1.16 %</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1.04 %</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0"/>
        </w:trPr>
        <w:tc>
          <w:tcPr>
            <w:tcW w:w="4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40"/>
          </w:cols>
          <w:pgMar w:left="320" w:top="1063"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type w:val="continuous"/>
        </w:sectPr>
      </w:pPr>
    </w:p>
    <w:bookmarkStart w:id="47" w:name="page48"/>
    <w:bookmarkEnd w:id="47"/>
    <w:p>
      <w:pPr>
        <w:ind w:left="20"/>
        <w:spacing w:after="0"/>
        <w:rPr>
          <w:sz w:val="20"/>
          <w:szCs w:val="20"/>
          <w:color w:val="auto"/>
        </w:rPr>
      </w:pPr>
      <w:r>
        <w:rPr>
          <w:rFonts w:ascii="Times New Roman" w:cs="Times New Roman" w:eastAsia="Times New Roman" w:hAnsi="Times New Roman"/>
          <w:sz w:val="15"/>
          <w:szCs w:val="15"/>
          <w:b w:val="1"/>
          <w:bCs w:val="1"/>
          <w:color w:val="auto"/>
        </w:rPr>
        <w:t>UNITED COMMUNITY BANKS, INC.</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Table 16 (Continued) - Financial Highlights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Non-GAAP Performance Measures Reconciliation</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(dollars in thousands, except per share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20" w:type="dxa"/>
            <w:vAlign w:val="bottom"/>
            <w:tcBorders>
              <w:top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gridSpan w:val="3"/>
          </w:tcPr>
          <w:p>
            <w:pPr>
              <w:jc w:val="right"/>
              <w:ind w:right="1084"/>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1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r>
      <w:tr>
        <w:trPr>
          <w:trHeight w:val="196"/>
        </w:trPr>
        <w:tc>
          <w:tcPr>
            <w:tcW w:w="4720" w:type="dxa"/>
            <w:vAlign w:val="bottom"/>
          </w:tcPr>
          <w:p>
            <w:pPr>
              <w:spacing w:after="0"/>
              <w:rPr>
                <w:sz w:val="17"/>
                <w:szCs w:val="17"/>
                <w:color w:val="auto"/>
              </w:rPr>
            </w:pPr>
          </w:p>
        </w:tc>
        <w:tc>
          <w:tcPr>
            <w:tcW w:w="118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First Quarter</w:t>
            </w:r>
          </w:p>
        </w:tc>
        <w:tc>
          <w:tcPr>
            <w:tcW w:w="10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Fourth Quarter</w:t>
            </w:r>
          </w:p>
        </w:tc>
        <w:tc>
          <w:tcPr>
            <w:tcW w:w="1180" w:type="dxa"/>
            <w:vAlign w:val="bottom"/>
          </w:tcPr>
          <w:p>
            <w:pPr>
              <w:jc w:val="right"/>
              <w:ind w:right="24"/>
              <w:spacing w:after="0"/>
              <w:rPr>
                <w:sz w:val="20"/>
                <w:szCs w:val="20"/>
                <w:color w:val="auto"/>
              </w:rPr>
            </w:pPr>
            <w:r>
              <w:rPr>
                <w:rFonts w:ascii="Times New Roman" w:cs="Times New Roman" w:eastAsia="Times New Roman" w:hAnsi="Times New Roman"/>
                <w:sz w:val="15"/>
                <w:szCs w:val="15"/>
                <w:b w:val="1"/>
                <w:bCs w:val="1"/>
                <w:color w:val="auto"/>
              </w:rPr>
              <w:t>Third Quarter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Second Quarter</w:t>
            </w:r>
          </w:p>
        </w:tc>
        <w:tc>
          <w:tcPr>
            <w:tcW w:w="1180" w:type="dxa"/>
            <w:vAlign w:val="bottom"/>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First Quarter</w:t>
            </w:r>
          </w:p>
        </w:tc>
      </w:tr>
      <w:tr>
        <w:trPr>
          <w:trHeight w:val="183"/>
        </w:trPr>
        <w:tc>
          <w:tcPr>
            <w:tcW w:w="47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Efficiency ratio reconciliation</w:t>
            </w: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Efficiency ratio (GAAP)</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56.66 %</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54.40 %</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54.30 %</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56.69 %</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56.74 %</w:t>
            </w:r>
          </w:p>
        </w:tc>
      </w:tr>
      <w:tr>
        <w:trPr>
          <w:trHeight w:val="200"/>
        </w:trPr>
        <w:tc>
          <w:tcPr>
            <w:tcW w:w="4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Gain on terminated cash flow hedge</w:t>
            </w: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1.03</w:t>
            </w:r>
          </w:p>
        </w:tc>
        <w:tc>
          <w:tcPr>
            <w:tcW w:w="1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Payroll transition bonus</w:t>
            </w:r>
          </w:p>
        </w:tc>
        <w:tc>
          <w:tcPr>
            <w:tcW w:w="118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(2.41)</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4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FDIC special assessment accrual reversal</w:t>
            </w: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0.68</w:t>
            </w:r>
          </w:p>
        </w:tc>
        <w:tc>
          <w:tcPr>
            <w:tcW w:w="1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Merger-related and other charges</w:t>
            </w:r>
          </w:p>
        </w:tc>
        <w:tc>
          <w:tcPr>
            <w:tcW w:w="118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(0.31)</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(0.21)</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(1.25)</w:t>
            </w:r>
          </w:p>
        </w:tc>
        <w:tc>
          <w:tcPr>
            <w:tcW w:w="1480" w:type="dxa"/>
            <w:vAlign w:val="bottom"/>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(1.85)</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(0.52)</w:t>
            </w:r>
          </w:p>
        </w:tc>
      </w:tr>
      <w:tr>
        <w:trPr>
          <w:trHeight w:val="196"/>
        </w:trPr>
        <w:tc>
          <w:tcPr>
            <w:tcW w:w="47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Efficiency ratio - operating</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55.65 %</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54.19 %</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53.05 %</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54.84 %</w:t>
            </w:r>
          </w:p>
        </w:tc>
        <w:tc>
          <w:tcPr>
            <w:tcW w:w="1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56.22 %</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9"/>
        </w:trPr>
        <w:tc>
          <w:tcPr>
            <w:tcW w:w="47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02"/>
        </w:trPr>
        <w:tc>
          <w:tcPr>
            <w:tcW w:w="47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Tangible common equity to tangible assets reconciliation</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Equity to total assets (GAAP)</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12.97 %</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12.99 %</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12.78 %</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12.86 %</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12.56 %</w:t>
            </w:r>
          </w:p>
        </w:tc>
      </w:tr>
      <w:tr>
        <w:trPr>
          <w:trHeight w:val="200"/>
        </w:trPr>
        <w:tc>
          <w:tcPr>
            <w:tcW w:w="4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Effect of goodwill and other intangibles</w:t>
            </w:r>
          </w:p>
        </w:tc>
        <w:tc>
          <w:tcPr>
            <w:tcW w:w="11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(3.05)</w:t>
            </w:r>
          </w:p>
        </w:tc>
        <w:tc>
          <w:tcPr>
            <w:tcW w:w="100" w:type="dxa"/>
            <w:vAlign w:val="bottom"/>
          </w:tcPr>
          <w:p>
            <w:pPr>
              <w:spacing w:after="0"/>
              <w:rPr>
                <w:sz w:val="17"/>
                <w:szCs w:val="17"/>
                <w:color w:val="auto"/>
              </w:rPr>
            </w:pPr>
          </w:p>
        </w:tc>
        <w:tc>
          <w:tcPr>
            <w:tcW w:w="118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(3.07)</w:t>
            </w:r>
          </w:p>
        </w:tc>
        <w:tc>
          <w:tcPr>
            <w:tcW w:w="100" w:type="dxa"/>
            <w:vAlign w:val="bottom"/>
          </w:tcPr>
          <w:p>
            <w:pPr>
              <w:spacing w:after="0"/>
              <w:rPr>
                <w:sz w:val="17"/>
                <w:szCs w:val="17"/>
                <w:color w:val="auto"/>
              </w:rPr>
            </w:pPr>
          </w:p>
        </w:tc>
        <w:tc>
          <w:tcPr>
            <w:tcW w:w="11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(3.07)</w:t>
            </w:r>
          </w:p>
        </w:tc>
        <w:tc>
          <w:tcPr>
            <w:tcW w:w="1480" w:type="dxa"/>
            <w:vAlign w:val="bottom"/>
            <w:gridSpan w:val="3"/>
          </w:tcPr>
          <w:p>
            <w:pPr>
              <w:jc w:val="right"/>
              <w:ind w:right="64"/>
              <w:spacing w:after="0"/>
              <w:rPr>
                <w:sz w:val="20"/>
                <w:szCs w:val="20"/>
                <w:color w:val="auto"/>
              </w:rPr>
            </w:pPr>
            <w:r>
              <w:rPr>
                <w:rFonts w:ascii="Times New Roman" w:cs="Times New Roman" w:eastAsia="Times New Roman" w:hAnsi="Times New Roman"/>
                <w:sz w:val="15"/>
                <w:szCs w:val="15"/>
                <w:color w:val="auto"/>
              </w:rPr>
              <w:t>(3.10)</w:t>
            </w:r>
          </w:p>
        </w:tc>
        <w:tc>
          <w:tcPr>
            <w:tcW w:w="120" w:type="dxa"/>
            <w:vAlign w:val="bottom"/>
          </w:tcPr>
          <w:p>
            <w:pPr>
              <w:spacing w:after="0"/>
              <w:rPr>
                <w:sz w:val="17"/>
                <w:szCs w:val="17"/>
                <w:color w:val="auto"/>
              </w:rPr>
            </w:pPr>
          </w:p>
        </w:tc>
        <w:tc>
          <w:tcPr>
            <w:tcW w:w="11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(3.06)</w:t>
            </w:r>
          </w:p>
        </w:tc>
      </w:tr>
      <w:tr>
        <w:trPr>
          <w:trHeight w:val="205"/>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preferred equity</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gridSpan w:val="3"/>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(0.31)</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(0.32)</w:t>
            </w:r>
          </w:p>
        </w:tc>
      </w:tr>
      <w:tr>
        <w:trPr>
          <w:trHeight w:val="196"/>
        </w:trPr>
        <w:tc>
          <w:tcPr>
            <w:tcW w:w="47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Tangible common equity to tangible assets</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9.92 %</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9.92 %</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9.71 %</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9.45 %</w:t>
            </w:r>
          </w:p>
        </w:tc>
        <w:tc>
          <w:tcPr>
            <w:tcW w:w="12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9.18 %</w:t>
            </w:r>
          </w:p>
        </w:tc>
      </w:tr>
      <w:tr>
        <w:trPr>
          <w:trHeight w:val="21"/>
        </w:trPr>
        <w:tc>
          <w:tcPr>
            <w:tcW w:w="4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as of March 31, 2026 from that presented in our 2025 10-K. Our interest rate sensitivity position at March 31, 2026 is set forth in Table 13 in MD&amp;A of this Report and incorporated herein by this reference.</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4" w:lineRule="exact"/>
        <w:rPr>
          <w:sz w:val="20"/>
          <w:szCs w:val="20"/>
          <w:color w:val="auto"/>
        </w:rPr>
      </w:pPr>
    </w:p>
    <w:p>
      <w:pPr>
        <w:jc w:val="both"/>
        <w:ind w:firstLine="210"/>
        <w:spacing w:after="0" w:line="261" w:lineRule="auto"/>
        <w:tabs>
          <w:tab w:leader="none" w:pos="45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Under the supervision and with the participation of our management, including our principal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principal financial officer, we conducted an evaluation of our disclosure controls and procedures (as such term is defined in Exchange Act Rule 13a-15(e)) as of March 31, 2026. Based on that evaluation, our principal executive officer and chief financial officer concluded that our disclosure controls and procedures were effective as of the end of the period covered by this Report.</w:t>
      </w:r>
    </w:p>
    <w:p>
      <w:pPr>
        <w:spacing w:after="0" w:line="206" w:lineRule="exact"/>
        <w:rPr>
          <w:rFonts w:ascii="Times New Roman" w:cs="Times New Roman" w:eastAsia="Times New Roman" w:hAnsi="Times New Roman"/>
          <w:sz w:val="18"/>
          <w:szCs w:val="18"/>
          <w:color w:val="auto"/>
        </w:rPr>
      </w:pPr>
    </w:p>
    <w:p>
      <w:pPr>
        <w:jc w:val="both"/>
        <w:ind w:firstLine="285"/>
        <w:spacing w:after="0" w:line="267" w:lineRule="auto"/>
        <w:tabs>
          <w:tab w:leader="none" w:pos="55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No change in our internal control over financial reporting (as such term 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Rule 13a-15(f)) occurred during the fiscal quarter ended March 31, 2026 that materially affected, or is reasonably likely to materially affect, our internal control over financial reporting.</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3" w:right="339" w:bottom="1440" w:gutter="0" w:footer="0" w:header="0"/>
        </w:sectPr>
      </w:pPr>
    </w:p>
    <w:bookmarkStart w:id="48" w:name="page49"/>
    <w:bookmarkEnd w:id="4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1A. Risk Factors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with respect to the additional risk factor related to the proposed Peach State merger set forth below, there have been no material changes to the risk factors previously disclosed in the 2025 10-K.</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Combining United and Peach State may be more difficult, costly or time-consuming than expected, and the anticipated benefits and cost savings of the merger and the bank merger may not be realized.</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United and Peach State have operated and, until the completion of the merger, will continue to operate independently. The success of the merger and the bank merger, including anticipated benefits and cost savings, will depend, in part, on United’s ability to successfully combine and integrate the businesses of United and Peach State in a manner that permits growth opportunities and does not materially disrupt the existing customer relations or result in decreased revenues due to loss of customers. It is possible that the integration process could result in the loss of key employees, the disruption of either company’s ongoing businesses or inconsistencies in standards, controls, procedures and policies that adversely affect the combined company’s ability to maintain relationships with clients, customers, depositors and employees or to achieve the anticipated benefits and cost savings of the merger and the bank merger. Integration efforts between the two companies could have an adverse effect on each of United and Peach State during the transition period and for an undetermined period after completion of the merger on the combined company. In addition, the actual cost savings of the merger and the bank merger could be less than anticipated.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Issuer Purchases of Equity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information regarding purchases of our common stock made during the quarter ended March 31, 2026 by or on behalf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or any “affiliated purchaser,” as defined by Rule 10b-18(a)(3) of the Exchange Act:</w:t>
      </w: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Common Stock Repurchases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500" w:type="dxa"/>
            <w:vAlign w:val="bottom"/>
            <w:tcBorders>
              <w:top w:val="single" w:sz="8" w:color="auto"/>
            </w:tcBorders>
            <w:vMerge w:val="restart"/>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Total Number</w:t>
            </w:r>
          </w:p>
        </w:tc>
        <w:tc>
          <w:tcPr>
            <w:tcW w:w="100" w:type="dxa"/>
            <w:vAlign w:val="bottom"/>
          </w:tcPr>
          <w:p>
            <w:pPr>
              <w:spacing w:after="0"/>
              <w:rPr>
                <w:sz w:val="14"/>
                <w:szCs w:val="14"/>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Purchased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as Part of Publicly</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tcPr>
          <w:p>
            <w:pPr>
              <w:jc w:val="center"/>
              <w:ind w:right="199"/>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 May</w:t>
            </w:r>
          </w:p>
        </w:tc>
        <w:tc>
          <w:tcPr>
            <w:tcW w:w="0" w:type="dxa"/>
            <w:vAlign w:val="bottom"/>
          </w:tcPr>
          <w:p>
            <w:pPr>
              <w:spacing w:after="0"/>
              <w:rPr>
                <w:sz w:val="1"/>
                <w:szCs w:val="1"/>
                <w:color w:val="auto"/>
              </w:rPr>
            </w:pPr>
          </w:p>
        </w:tc>
      </w:tr>
      <w:tr>
        <w:trPr>
          <w:trHeight w:val="162"/>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 except for per share amounts)</w:t>
            </w:r>
          </w:p>
        </w:tc>
        <w:tc>
          <w:tcPr>
            <w:tcW w:w="12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100" w:type="dxa"/>
            <w:vAlign w:val="bottom"/>
          </w:tcPr>
          <w:p>
            <w:pPr>
              <w:spacing w:after="0"/>
              <w:rPr>
                <w:sz w:val="14"/>
                <w:szCs w:val="14"/>
                <w:color w:val="auto"/>
              </w:rPr>
            </w:pPr>
          </w:p>
        </w:tc>
        <w:tc>
          <w:tcPr>
            <w:tcW w:w="11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Price Paid</w:t>
            </w:r>
          </w:p>
        </w:tc>
        <w:tc>
          <w:tcPr>
            <w:tcW w:w="19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tcPr>
          <w:p>
            <w:pPr>
              <w:jc w:val="center"/>
              <w:ind w:right="199"/>
              <w:spacing w:after="0" w:line="162" w:lineRule="exact"/>
              <w:rPr>
                <w:sz w:val="20"/>
                <w:szCs w:val="20"/>
                <w:color w:val="auto"/>
              </w:rPr>
            </w:pPr>
            <w:r>
              <w:rPr>
                <w:rFonts w:ascii="Times New Roman" w:cs="Times New Roman" w:eastAsia="Times New Roman" w:hAnsi="Times New Roman"/>
                <w:sz w:val="16"/>
                <w:szCs w:val="16"/>
                <w:b w:val="1"/>
                <w:bCs w:val="1"/>
                <w:color w:val="auto"/>
              </w:rPr>
              <w:t>Yet Be Purchased Under</w:t>
            </w:r>
          </w:p>
        </w:tc>
        <w:tc>
          <w:tcPr>
            <w:tcW w:w="0" w:type="dxa"/>
            <w:vAlign w:val="bottom"/>
          </w:tcPr>
          <w:p>
            <w:pPr>
              <w:spacing w:after="0"/>
              <w:rPr>
                <w:sz w:val="1"/>
                <w:szCs w:val="1"/>
                <w:color w:val="auto"/>
              </w:rPr>
            </w:pPr>
          </w:p>
        </w:tc>
      </w:tr>
      <w:tr>
        <w:trPr>
          <w:trHeight w:val="216"/>
        </w:trPr>
        <w:tc>
          <w:tcPr>
            <w:tcW w:w="3900" w:type="dxa"/>
            <w:vAlign w:val="bottom"/>
            <w:gridSpan w:val="2"/>
            <w:vMerge w:val="continue"/>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line="216" w:lineRule="exact"/>
              <w:rPr>
                <w:sz w:val="20"/>
                <w:szCs w:val="20"/>
                <w:color w:val="auto"/>
              </w:rPr>
            </w:pPr>
            <w:r>
              <w:rPr>
                <w:rFonts w:ascii="Times New Roman" w:cs="Times New Roman" w:eastAsia="Times New Roman" w:hAnsi="Times New Roman"/>
                <w:sz w:val="16"/>
                <w:szCs w:val="16"/>
                <w:b w:val="1"/>
                <w:bCs w:val="1"/>
                <w:color w:val="auto"/>
                <w:w w:val="92"/>
              </w:rPr>
              <w:t>per Share</w:t>
            </w:r>
            <w:r>
              <w:rPr>
                <w:rFonts w:ascii="Times New Roman" w:cs="Times New Roman" w:eastAsia="Times New Roman" w:hAnsi="Times New Roman"/>
                <w:sz w:val="21"/>
                <w:szCs w:val="21"/>
                <w:b w:val="1"/>
                <w:bCs w:val="1"/>
                <w:color w:val="auto"/>
                <w:w w:val="92"/>
                <w:vertAlign w:val="superscript"/>
              </w:rPr>
              <w:t>(1)(2)</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or Programs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jc w:val="center"/>
              <w:ind w:right="199"/>
              <w:spacing w:after="0" w:line="216" w:lineRule="exact"/>
              <w:rPr>
                <w:sz w:val="20"/>
                <w:szCs w:val="20"/>
                <w:color w:val="auto"/>
              </w:rPr>
            </w:pPr>
            <w:r>
              <w:rPr>
                <w:rFonts w:ascii="Times New Roman" w:cs="Times New Roman" w:eastAsia="Times New Roman" w:hAnsi="Times New Roman"/>
                <w:sz w:val="16"/>
                <w:szCs w:val="16"/>
                <w:b w:val="1"/>
                <w:bCs w:val="1"/>
                <w:color w:val="auto"/>
                <w:w w:val="95"/>
              </w:rPr>
              <w:t xml:space="preserve">the Plans or Programs </w:t>
            </w:r>
            <w:r>
              <w:rPr>
                <w:rFonts w:ascii="Times New Roman" w:cs="Times New Roman" w:eastAsia="Times New Roman" w:hAnsi="Times New Roman"/>
                <w:sz w:val="21"/>
                <w:szCs w:val="21"/>
                <w:b w:val="1"/>
                <w:bCs w:val="1"/>
                <w:color w:val="auto"/>
                <w:w w:val="95"/>
                <w:vertAlign w:val="superscript"/>
              </w:rPr>
              <w:t>(2)(3)</w:t>
            </w: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1, 2026 - January 31, 2026</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1,090,402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w:t>
            </w: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1,090,402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62,906</w:t>
            </w: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1, 2026 - February 28, 2026</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62,906</w:t>
            </w:r>
          </w:p>
        </w:tc>
        <w:tc>
          <w:tcPr>
            <w:tcW w:w="0" w:type="dxa"/>
            <w:vAlign w:val="bottom"/>
          </w:tcPr>
          <w:p>
            <w:pPr>
              <w:spacing w:after="0"/>
              <w:rPr>
                <w:sz w:val="1"/>
                <w:szCs w:val="1"/>
                <w:color w:val="auto"/>
              </w:rPr>
            </w:pPr>
          </w:p>
        </w:tc>
      </w:tr>
      <w:tr>
        <w:trPr>
          <w:trHeight w:val="21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1, 2026 - March 31, 2026</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62,906</w:t>
            </w:r>
          </w:p>
        </w:tc>
        <w:tc>
          <w:tcPr>
            <w:tcW w:w="0" w:type="dxa"/>
            <w:vAlign w:val="bottom"/>
          </w:tcPr>
          <w:p>
            <w:pPr>
              <w:spacing w:after="0"/>
              <w:rPr>
                <w:sz w:val="1"/>
                <w:szCs w:val="1"/>
                <w:color w:val="auto"/>
              </w:rPr>
            </w:pPr>
          </w:p>
        </w:tc>
      </w:tr>
      <w:tr>
        <w:trPr>
          <w:trHeight w:val="21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1,090,402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33.97</w:t>
            </w:r>
          </w:p>
        </w:tc>
        <w:tc>
          <w:tcPr>
            <w:tcW w:w="100" w:type="dxa"/>
            <w:vAlign w:val="bottom"/>
          </w:tcPr>
          <w:p>
            <w:pPr>
              <w:spacing w:after="0"/>
              <w:rPr>
                <w:sz w:val="18"/>
                <w:szCs w:val="18"/>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1,090,402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160" w:hanging="152"/>
        <w:spacing w:after="0"/>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commissions.</w:t>
      </w:r>
    </w:p>
    <w:p>
      <w:pPr>
        <w:ind w:left="160" w:hanging="152"/>
        <w:spacing w:after="0" w:line="207" w:lineRule="auto"/>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excise tax on share repurchases.</w:t>
      </w:r>
    </w:p>
    <w:p>
      <w:pPr>
        <w:ind w:left="180" w:hanging="172"/>
        <w:spacing w:after="0" w:line="191" w:lineRule="auto"/>
        <w:tabs>
          <w:tab w:leader="none" w:pos="18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Under United’s common stock repurchase program, management is authorized to repurchase up to $100 million of its common stock. The program is scheduled to expire</w:t>
      </w:r>
    </w:p>
    <w:p>
      <w:pPr>
        <w:spacing w:after="0" w:line="1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on the earlier of the repurchase of our common stock having an aggregate purchase price of $100 million or December 31, 2026. A more detailed description of United’s common stock repurchase plan is included in our 2025 10-K.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2" w:lineRule="exact"/>
        <w:rPr>
          <w:sz w:val="20"/>
          <w:szCs w:val="20"/>
          <w:color w:val="auto"/>
        </w:rPr>
      </w:pPr>
    </w:p>
    <w:p>
      <w:pPr>
        <w:ind w:left="1100" w:hanging="444"/>
        <w:spacing w:after="0"/>
        <w:tabs>
          <w:tab w:leader="none" w:pos="11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See Exhibit Index below.</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79" w:lineRule="exact"/>
        <w:rPr>
          <w:sz w:val="20"/>
          <w:szCs w:val="20"/>
          <w:color w:val="auto"/>
        </w:rPr>
      </w:pPr>
    </w:p>
    <w:p>
      <w:pPr>
        <w:ind w:left="440"/>
        <w:spacing w:after="0"/>
        <w:tabs>
          <w:tab w:leader="none" w:pos="59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right"/>
        <w:ind w:left="1080"/>
        <w:spacing w:after="0" w:line="222" w:lineRule="auto"/>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3.1   Restated Articles of Incorporation of United Community Banks, Inc. as amended through August 13, 2021 (incorporated herein by</w:t>
        </w:r>
      </w:hyperlink>
      <w:r>
        <w:rPr>
          <w:rFonts w:ascii="Times New Roman" w:cs="Times New Roman" w:eastAsia="Times New Roman" w:hAnsi="Times New Roman"/>
          <w:sz w:val="18"/>
          <w:szCs w:val="18"/>
          <w:u w:val="single" w:color="auto"/>
          <w:color w:val="0000FF"/>
        </w:rPr>
        <w:t xml:space="preserve"> </w:t>
      </w:r>
      <w:hyperlink r:id="rId73">
        <w:r>
          <w:rPr>
            <w:rFonts w:ascii="Times New Roman" w:cs="Times New Roman" w:eastAsia="Times New Roman" w:hAnsi="Times New Roman"/>
            <w:sz w:val="18"/>
            <w:szCs w:val="18"/>
            <w:u w:val="single" w:color="auto"/>
            <w:color w:val="0000FF"/>
          </w:rPr>
          <w:t>reference to Exhibit 3.1 to United Community Bank Inc.'s Quarterly Report on Form 10-Q for the period ended September 30, 2021,</w:t>
        </w:r>
      </w:hyperlink>
    </w:p>
    <w:p>
      <w:pPr>
        <w:spacing w:after="0" w:line="2" w:lineRule="exact"/>
        <w:rPr>
          <w:sz w:val="20"/>
          <w:szCs w:val="20"/>
          <w:color w:val="auto"/>
        </w:rPr>
      </w:pPr>
    </w:p>
    <w:p>
      <w:pPr>
        <w:ind w:left="1600"/>
        <w:spacing w:after="0"/>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filed on November 5, 2021).</w:t>
        </w:r>
      </w:hyperlink>
    </w:p>
    <w:p>
      <w:pPr>
        <w:spacing w:after="0" w:line="165" w:lineRule="exact"/>
        <w:rPr>
          <w:sz w:val="20"/>
          <w:szCs w:val="20"/>
          <w:color w:val="auto"/>
        </w:rPr>
      </w:pPr>
    </w:p>
    <w:p>
      <w:pPr>
        <w:jc w:val="right"/>
        <w:ind w:left="1080"/>
        <w:spacing w:after="0" w:line="222" w:lineRule="auto"/>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3.2   Amended and Restated Bylaws of United Community Banks, Inc., as amended (incorporated herein by reference to Exhibit 3.2 to</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United Community Banks, Inc.’s Quarterly Report on Form 10-Q for the period ended March 31, 2015, filed with the SEC on May</w:t>
        </w:r>
      </w:hyperlink>
    </w:p>
    <w:p>
      <w:pPr>
        <w:spacing w:after="0" w:line="2" w:lineRule="exact"/>
        <w:rPr>
          <w:sz w:val="20"/>
          <w:szCs w:val="20"/>
          <w:color w:val="auto"/>
        </w:rPr>
      </w:pPr>
    </w:p>
    <w:p>
      <w:pPr>
        <w:ind w:left="1600"/>
        <w:spacing w:after="0"/>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11, 2015).</w:t>
        </w:r>
      </w:hyperlink>
    </w:p>
    <w:p>
      <w:pPr>
        <w:spacing w:after="0" w:line="165" w:lineRule="exact"/>
        <w:rPr>
          <w:sz w:val="20"/>
          <w:szCs w:val="20"/>
          <w:color w:val="auto"/>
        </w:rPr>
      </w:pPr>
    </w:p>
    <w:p>
      <w:pPr>
        <w:ind w:left="1600" w:hanging="606"/>
        <w:spacing w:after="0" w:line="237" w:lineRule="auto"/>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31.1</w:t>
        <w:tab/>
        <w:t>Certification by H. Lynn Harton, Chairman, Chief Executive Officer and President of United Community Banks, Inc., pursuant to Exchange Act Rule 13a-14(a).</w:t>
      </w:r>
    </w:p>
    <w:p>
      <w:pPr>
        <w:spacing w:after="0" w:line="172" w:lineRule="exact"/>
        <w:rPr>
          <w:sz w:val="20"/>
          <w:szCs w:val="20"/>
          <w:color w:val="auto"/>
        </w:rPr>
      </w:pPr>
    </w:p>
    <w:p>
      <w:pPr>
        <w:ind w:left="1600" w:hanging="606"/>
        <w:spacing w:after="0" w:line="237" w:lineRule="auto"/>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31.2</w:t>
        <w:tab/>
        <w:t>Certification by Jefferson L. Harralson, Executive Vice President and Chief Financial Officer of United Community Banks, Inc., pursuant to Exchange Act Rule 13a-14(a).</w:t>
      </w:r>
    </w:p>
    <w:p>
      <w:pPr>
        <w:spacing w:after="0" w:line="172" w:lineRule="exact"/>
        <w:rPr>
          <w:sz w:val="20"/>
          <w:szCs w:val="20"/>
          <w:color w:val="auto"/>
        </w:rPr>
      </w:pPr>
    </w:p>
    <w:p>
      <w:pPr>
        <w:ind w:left="1140"/>
        <w:spacing w:after="0"/>
        <w:tabs>
          <w:tab w:leader="none" w:pos="1580" w:val="left"/>
        </w:tabs>
        <w:rPr>
          <w:sz w:val="20"/>
          <w:szCs w:val="20"/>
          <w:color w:val="auto"/>
        </w:rPr>
      </w:pPr>
      <w:r>
        <w:rPr>
          <w:rFonts w:ascii="Times New Roman" w:cs="Times New Roman" w:eastAsia="Times New Roman" w:hAnsi="Times New Roman"/>
          <w:sz w:val="18"/>
          <w:szCs w:val="18"/>
          <w:u w:val="single" w:color="auto"/>
          <w:color w:val="0000FF"/>
        </w:rPr>
        <w:t>32</w:t>
        <w:tab/>
        <w:t>Certification of CEO and CFO pursuant to 18 U.S.C. Section 1350.</w:t>
      </w:r>
    </w:p>
    <w:p>
      <w:pPr>
        <w:spacing w:after="0" w:line="185" w:lineRule="exact"/>
        <w:rPr>
          <w:sz w:val="20"/>
          <w:szCs w:val="20"/>
          <w:color w:val="auto"/>
        </w:rPr>
      </w:pPr>
    </w:p>
    <w:p>
      <w:pPr>
        <w:jc w:val="both"/>
        <w:ind w:left="1600" w:hanging="557"/>
        <w:spacing w:after="0" w:line="222" w:lineRule="auto"/>
        <w:tabs>
          <w:tab w:leader="none" w:pos="1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Interactive data files for United Community Bank, Inc.’s Quarterly Report on Form 10-Q for the quarter ended March 31, 2026, formatted in Inline XBRL: </w:t>
      </w:r>
      <w:r>
        <w:rPr>
          <w:rFonts w:ascii="Times New Roman" w:cs="Times New Roman" w:eastAsia="Times New Roman" w:hAnsi="Times New Roman"/>
          <w:sz w:val="18"/>
          <w:szCs w:val="18"/>
          <w:color w:val="212529"/>
        </w:rPr>
        <w:t>(i) the Consolidated Balance Sheets (unaudited); (ii) the Consolidated Statements of Income (unaudited);</w:t>
      </w:r>
    </w:p>
    <w:p>
      <w:pPr>
        <w:spacing w:after="0" w:line="1" w:lineRule="exact"/>
        <w:rPr>
          <w:rFonts w:ascii="Times New Roman" w:cs="Times New Roman" w:eastAsia="Times New Roman" w:hAnsi="Times New Roman"/>
          <w:sz w:val="18"/>
          <w:szCs w:val="18"/>
          <w:color w:val="auto"/>
        </w:rPr>
      </w:pPr>
    </w:p>
    <w:p>
      <w:pPr>
        <w:jc w:val="both"/>
        <w:ind w:left="1600" w:firstLine="5"/>
        <w:spacing w:after="0" w:line="218" w:lineRule="auto"/>
        <w:tabs>
          <w:tab w:leader="none" w:pos="1981" w:val="left"/>
        </w:tabs>
        <w:numPr>
          <w:ilvl w:val="1"/>
          <w:numId w:val="15"/>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the Consolidated Statements of Comprehensive Income (unaudited); (iv) the Consolidated Statements of Changes in Shareholders’ Equity (unaudited); (v) the Consolidated Statements of Cash Flows (unaudited); and (vi) the Notes to Consolidated Financial Statements (unaudited)</w:t>
      </w:r>
      <w:r>
        <w:rPr>
          <w:rFonts w:ascii="Times New Roman" w:cs="Times New Roman" w:eastAsia="Times New Roman" w:hAnsi="Times New Roman"/>
          <w:sz w:val="18"/>
          <w:szCs w:val="18"/>
          <w:color w:val="000000"/>
        </w:rPr>
        <w:t>.</w:t>
      </w:r>
    </w:p>
    <w:p>
      <w:pPr>
        <w:spacing w:after="0" w:line="172" w:lineRule="exact"/>
        <w:rPr>
          <w:sz w:val="20"/>
          <w:szCs w:val="20"/>
          <w:color w:val="auto"/>
        </w:rPr>
      </w:pPr>
    </w:p>
    <w:p>
      <w:pPr>
        <w:ind w:left="1600" w:hanging="557"/>
        <w:spacing w:after="0" w:line="237" w:lineRule="auto"/>
        <w:tabs>
          <w:tab w:leader="none" w:pos="1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United Community Bank’s Quarterly Report on Form 10-Q for the quarter ended March 31, 2026 (formatted in Inline XBRL and included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UNITED COMMUNITY BANKS, INC.</w:t>
      </w:r>
    </w:p>
    <w:p>
      <w:pPr>
        <w:spacing w:after="0" w:line="25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H. Lynn Harton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Alan H. Kumler</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4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927" w:right="339" w:bottom="1440" w:gutter="0" w:footer="0" w:header="0"/>
        </w:sectPr>
      </w:pPr>
    </w:p>
    <w:bookmarkStart w:id="51" w:name="page52"/>
    <w:bookmarkEnd w:id="51"/>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6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5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2026</w:t>
      </w:r>
    </w:p>
    <w:p>
      <w:pPr>
        <w:spacing w:after="0" w:line="2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14605</wp:posOffset>
            </wp:positionV>
            <wp:extent cx="41916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pacing w:after="0" w:line="1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H. Lynn Harton</w:t>
      </w:r>
    </w:p>
    <w:p>
      <w:pPr>
        <w:spacing w:after="0" w:line="2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p>
      <w:pPr>
        <w:sectPr>
          <w:pgSz w:w="11900" w:h="16838" w:orient="portrait"/>
          <w:cols w:equalWidth="0" w:num="1">
            <w:col w:w="11240"/>
          </w:cols>
          <w:pgMar w:left="320" w:top="887" w:right="339" w:bottom="1440" w:gutter="0" w:footer="0" w:header="0"/>
        </w:sectPr>
      </w:pPr>
    </w:p>
    <w:bookmarkStart w:id="52" w:name="page53"/>
    <w:bookmarkEnd w:id="52"/>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United Community Banks, Inc. (the “Registrant”);</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6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5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6, 2026</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Jefferson L. Harralson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United Community Banks, Inc. (“United”) on Form 10-Q for the period ending March 31, 2026 filed with the Securities and Exchange Commission on the date hereof (the “Report”), each of the undersigned officers of United certifies, pursuant to 18 U.S.C. Section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United.</w:t>
      </w:r>
    </w:p>
    <w:p>
      <w:pPr>
        <w:spacing w:after="0" w:line="126" w:lineRule="exact"/>
        <w:rPr>
          <w:sz w:val="20"/>
          <w:szCs w:val="20"/>
          <w:color w:val="auto"/>
        </w:rPr>
      </w:pPr>
    </w:p>
    <w:tbl>
      <w:tblPr>
        <w:tblLayout w:type="fixed"/>
        <w:tblInd w:w="53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 Lynn Harton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 Lynn Harton</w:t>
            </w: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6, 2026</w:t>
            </w:r>
          </w:p>
        </w:tc>
      </w:tr>
      <w:tr>
        <w:trPr>
          <w:trHeight w:val="459"/>
        </w:trPr>
        <w:tc>
          <w:tcPr>
            <w:tcW w:w="780" w:type="dxa"/>
            <w:vAlign w:val="bottom"/>
          </w:tcPr>
          <w:p>
            <w:pPr>
              <w:spacing w:after="0"/>
              <w:rPr>
                <w:sz w:val="24"/>
                <w:szCs w:val="24"/>
                <w:color w:val="auto"/>
              </w:rPr>
            </w:pP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Jefferson L. Harralson</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Jefferson L. Harralson</w:t>
            </w:r>
          </w:p>
        </w:tc>
      </w:tr>
      <w:tr>
        <w:trPr>
          <w:trHeight w:val="22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6, 2026</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lowerLetter"/>
      <w:start w:val="1"/>
    </w:lvl>
    <w:lvl w:ilvl="1">
      <w:lvlJc w:val="left"/>
      <w:lvlText w:val="(%2)"/>
      <w:numFmt w:val="lowerLetter"/>
      <w:start w:val="2"/>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lowerLetter"/>
      <w:start w:val="4"/>
    </w:lvl>
  </w:abstractNum>
  <w:abstractNum w:abstractNumId="14">
    <w:nsid w:val="25E45D32"/>
    <w:multiLevelType w:val="hybridMultilevel"/>
    <w:lvl w:ilvl="0">
      <w:lvlJc w:val="left"/>
      <w:lvlText w:val="%1"/>
      <w:numFmt w:val="decimal"/>
      <w:start w:val="101"/>
    </w:lvl>
    <w:lvl w:ilvl="1">
      <w:lvlJc w:val="left"/>
      <w:lvlText w:val="(%2)"/>
      <w:numFmt w:val="lowerRoman"/>
      <w:start w:val="3"/>
    </w:lvl>
  </w:abstractNum>
  <w:abstractNum w:abstractNumId="15">
    <w:nsid w:val="519B500D"/>
    <w:multiLevelType w:val="hybridMultilevel"/>
    <w:lvl w:ilvl="0">
      <w:lvlJc w:val="left"/>
      <w:lvlText w:val="%1"/>
      <w:numFmt w:val="decimal"/>
      <w:start w:val="104"/>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73" Type="http://schemas.openxmlformats.org/officeDocument/2006/relationships/hyperlink" Target="https://www.sec.gov/Archives/edgar/data/857855/000085785521000109/ucbi93021ex31restatedartic.htm" TargetMode="External"/><Relationship Id="rId74" Type="http://schemas.openxmlformats.org/officeDocument/2006/relationships/hyperlink" Target="https://www.sec.gov/Archives/edgar/data/857855/000157104915003882/t82199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2026-05-06T14:57:47Z</dcterms:created>
  <dcterms:modified xsi:type="dcterms:W3CDTF">2026-05-06T14:57:47Z</dcterms:modified>
</cp:coreProperties>
</file>