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76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Georgia</w:t>
            </w:r>
          </w:p>
        </w:tc>
        <w:tc>
          <w:tcPr>
            <w:tcW w:w="582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500" w:type="dxa"/>
            <w:vAlign w:val="bottom"/>
            <w:tcBorders>
              <w:top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1"/>
              </w:rPr>
              <w:t>(State of Incorporation)</w:t>
            </w: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50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125 Highway 515</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Blairsville, Georgia</w:t>
            </w:r>
          </w:p>
        </w:tc>
        <w:tc>
          <w:tcPr>
            <w:tcW w:w="582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05"/>
        </w:trPr>
        <w:tc>
          <w:tcPr>
            <w:tcW w:w="3500" w:type="dxa"/>
            <w:vAlign w:val="bottom"/>
            <w:tcBorders>
              <w:top w:val="single" w:sz="8" w:color="auto"/>
            </w:tcBorders>
          </w:tcPr>
          <w:p>
            <w:pPr>
              <w:jc w:val="center"/>
              <w:ind w:left="790"/>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470"/>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Executive Offices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92"/>
        </w:trPr>
        <w:tc>
          <w:tcPr>
            <w:tcW w:w="3500" w:type="dxa"/>
            <w:vAlign w:val="bottom"/>
          </w:tcPr>
          <w:p>
            <w:pPr>
              <w:spacing w:after="0"/>
              <w:rPr>
                <w:sz w:val="24"/>
                <w:szCs w:val="2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(706) 781-2265</w:t>
            </w:r>
          </w:p>
        </w:tc>
        <w:tc>
          <w:tcPr>
            <w:tcW w:w="3880" w:type="dxa"/>
            <w:vAlign w:val="bottom"/>
          </w:tcPr>
          <w:p>
            <w:pPr>
              <w:spacing w:after="0"/>
              <w:rPr>
                <w:sz w:val="24"/>
                <w:szCs w:val="24"/>
                <w:color w:val="auto"/>
              </w:rPr>
            </w:pPr>
          </w:p>
        </w:tc>
      </w:tr>
      <w:tr>
        <w:trPr>
          <w:trHeight w:val="228"/>
        </w:trPr>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388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o</w:t>
      </w:r>
    </w:p>
    <w:p>
      <w:pPr>
        <w:spacing w:after="0" w:line="227" w:lineRule="exact"/>
        <w:rPr>
          <w:sz w:val="20"/>
          <w:szCs w:val="20"/>
          <w:color w:val="auto"/>
        </w:rPr>
      </w:pPr>
    </w:p>
    <w:p>
      <w:pPr>
        <w:jc w:val="both"/>
        <w:ind w:left="340" w:right="559"/>
        <w:spacing w:after="0" w:line="261"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YES o NO o</w:t>
      </w:r>
    </w:p>
    <w:p>
      <w:pPr>
        <w:spacing w:after="0" w:line="185"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accelerated filer o Accelerated filer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Non-accelerated filer 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Smaller Reporting Company o</w:t>
      </w:r>
    </w:p>
    <w:p>
      <w:pPr>
        <w:spacing w:after="0" w:line="434" w:lineRule="exact"/>
        <w:rPr>
          <w:sz w:val="20"/>
          <w:szCs w:val="20"/>
          <w:color w:val="auto"/>
        </w:rPr>
      </w:pPr>
    </w:p>
    <w:p>
      <w:pPr>
        <w:sectPr>
          <w:pgSz w:w="11900" w:h="16838" w:orient="portrait"/>
          <w:cols w:equalWidth="0" w:num="3">
            <w:col w:w="3740" w:space="60"/>
            <w:col w:w="3540" w:space="80"/>
            <w:col w:w="2799"/>
          </w:cols>
          <w:pgMar w:left="240" w:top="122"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50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13"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Common stock, par value $1 per share 94,323,569 shares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outstanding as of 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980" w:type="dxa"/>
            <w:vAlign w:val="bottom"/>
            <w:gridSpan w:val="26"/>
          </w:tcPr>
          <w:p>
            <w:pPr>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4"/>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420" w:type="dxa"/>
            <w:vAlign w:val="bottom"/>
            <w:gridSpan w:val="12"/>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5580" w:type="dxa"/>
            <w:vAlign w:val="bottom"/>
            <w:gridSpan w:val="13"/>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Six Months Ended June 30, 2010</w:t>
              </w:r>
            </w:hyperlink>
          </w:p>
        </w:tc>
        <w:tc>
          <w:tcPr>
            <w:tcW w:w="12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and 2009</w:t>
              </w:r>
            </w:hyperlink>
          </w:p>
        </w:tc>
        <w:tc>
          <w:tcPr>
            <w:tcW w:w="664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Consolidated Balance Sheet at June 30, 2010 (unaudited), December 31, 2009 (audited) and</w:t>
              </w:r>
            </w:hyperlink>
          </w:p>
        </w:tc>
        <w:tc>
          <w:tcPr>
            <w:tcW w:w="12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June 30, 2009 (unaudited)</w:t>
              </w:r>
            </w:hyperlink>
          </w:p>
        </w:tc>
        <w:tc>
          <w:tcPr>
            <w:tcW w:w="4780" w:type="dxa"/>
            <w:vAlign w:val="bottom"/>
            <w:tcBorders>
              <w:top w:val="single" w:sz="8" w:color="0000EE"/>
            </w:tcBorders>
            <w:gridSpan w:val="7"/>
          </w:tcPr>
          <w:p>
            <w:pPr>
              <w:spacing w:after="0"/>
              <w:rPr>
                <w:sz w:val="17"/>
                <w:szCs w:val="17"/>
                <w:color w:val="auto"/>
              </w:rPr>
            </w:pPr>
          </w:p>
        </w:tc>
        <w:tc>
          <w:tcPr>
            <w:tcW w:w="60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 of Changes in Shareholders’ Equity (unaudited) for the Six Months Ended</w:t>
              </w:r>
            </w:hyperlink>
          </w:p>
        </w:tc>
        <w:tc>
          <w:tcPr>
            <w:tcW w:w="12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June 30, 2010 and 2009</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Six Months Ended June 30, 2010 and</w:t>
              </w:r>
            </w:hyperlink>
          </w:p>
        </w:tc>
        <w:tc>
          <w:tcPr>
            <w:tcW w:w="22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600" w:type="dxa"/>
            <w:vAlign w:val="bottom"/>
            <w:gridSpan w:val="4"/>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4"/>
              </w:rPr>
            </w:pPr>
            <w:hyperlink w:anchor="page8">
              <w:r>
                <w:rPr>
                  <w:rFonts w:ascii="Arial" w:cs="Arial" w:eastAsia="Arial" w:hAnsi="Arial"/>
                  <w:sz w:val="18"/>
                  <w:szCs w:val="18"/>
                  <w:b w:val="1"/>
                  <w:bCs w:val="1"/>
                  <w:color w:val="0000EE"/>
                  <w:w w:val="84"/>
                </w:rPr>
                <w:t>2009</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2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Item 2. Management’s Discussion and Analysis of Financial Condition and Results of Operations</w:t>
              </w:r>
            </w:hyperlink>
          </w:p>
        </w:tc>
        <w:tc>
          <w:tcPr>
            <w:tcW w:w="36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gridSpan w:val="2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3. Quantitative and Qualitative Disclosures About Market Risk</w:t>
              </w:r>
            </w:hyperlink>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89"/>
              </w:rPr>
            </w:pPr>
            <w:hyperlink w:anchor="page55">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5"/>
          </w:tcPr>
          <w:p>
            <w:pPr>
              <w:spacing w:after="0"/>
              <w:rPr>
                <w:sz w:val="24"/>
                <w:szCs w:val="24"/>
                <w:color w:val="auto"/>
              </w:rPr>
            </w:pPr>
          </w:p>
        </w:tc>
        <w:tc>
          <w:tcPr>
            <w:tcW w:w="254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7980" w:type="dxa"/>
            <w:vAlign w:val="bottom"/>
            <w:gridSpan w:val="26"/>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 Other Information</w:t>
              </w:r>
            </w:hyperlink>
          </w:p>
        </w:tc>
        <w:tc>
          <w:tcPr>
            <w:tcW w:w="126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gridSpan w:val="10"/>
          </w:tcPr>
          <w:p>
            <w:pPr>
              <w:spacing w:after="0"/>
              <w:rPr>
                <w:rFonts w:ascii="Arial" w:cs="Arial" w:eastAsia="Arial" w:hAnsi="Arial"/>
                <w:sz w:val="18"/>
                <w:szCs w:val="18"/>
                <w:b w:val="1"/>
                <w:bCs w:val="1"/>
                <w:color w:val="0000EE"/>
                <w:w w:val="96"/>
              </w:rPr>
            </w:pPr>
            <w:hyperlink w:anchor="page55">
              <w:r>
                <w:rPr>
                  <w:rFonts w:ascii="Arial" w:cs="Arial" w:eastAsia="Arial" w:hAnsi="Arial"/>
                  <w:sz w:val="18"/>
                  <w:szCs w:val="18"/>
                  <w:b w:val="1"/>
                  <w:bCs w:val="1"/>
                  <w:color w:val="0000EE"/>
                  <w:w w:val="96"/>
                </w:rPr>
                <w:t>Item 1. Legal Proceedings</w:t>
              </w:r>
            </w:hyperlink>
          </w:p>
        </w:tc>
        <w:tc>
          <w:tcPr>
            <w:tcW w:w="560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1A. Risk Factors</w:t>
              </w:r>
            </w:hyperlink>
          </w:p>
        </w:tc>
        <w:tc>
          <w:tcPr>
            <w:tcW w:w="580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55">
              <w:r>
                <w:rPr>
                  <w:rFonts w:ascii="Arial" w:cs="Arial" w:eastAsia="Arial" w:hAnsi="Arial"/>
                  <w:sz w:val="18"/>
                  <w:szCs w:val="18"/>
                  <w:b w:val="1"/>
                  <w:bCs w:val="1"/>
                  <w:color w:val="0000EE"/>
                  <w:w w:val="88"/>
                </w:rPr>
                <w:t>Item 2. Unregistered Sales of Equity Securities and Use of Proceeds</w:t>
              </w:r>
            </w:hyperlink>
          </w:p>
        </w:tc>
        <w:tc>
          <w:tcPr>
            <w:tcW w:w="26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gridSpan w:val="2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3. Defaults Upon Senior Securities</w:t>
              </w:r>
            </w:hyperlink>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w w:val="89"/>
              </w:rPr>
            </w:pPr>
            <w:hyperlink w:anchor="page55">
              <w:r>
                <w:rPr>
                  <w:rFonts w:ascii="Arial" w:cs="Arial" w:eastAsia="Arial" w:hAnsi="Arial"/>
                  <w:sz w:val="18"/>
                  <w:szCs w:val="18"/>
                  <w:b w:val="1"/>
                  <w:bCs w:val="1"/>
                  <w:color w:val="0000EE"/>
                  <w:w w:val="89"/>
                </w:rPr>
                <w:t>Item 4. (Removed and Reserved)</w:t>
              </w:r>
            </w:hyperlink>
          </w:p>
        </w:tc>
        <w:tc>
          <w:tcPr>
            <w:tcW w:w="500" w:type="dxa"/>
            <w:vAlign w:val="bottom"/>
            <w:tcBorders>
              <w:top w:val="single" w:sz="8" w:color="0000EE"/>
            </w:tcBorders>
          </w:tcPr>
          <w:p>
            <w:pPr>
              <w:spacing w:after="0"/>
              <w:rPr>
                <w:sz w:val="24"/>
                <w:szCs w:val="24"/>
                <w:color w:val="auto"/>
              </w:rPr>
            </w:pPr>
          </w:p>
        </w:tc>
        <w:tc>
          <w:tcPr>
            <w:tcW w:w="476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gridSpan w:val="2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5. Other Information</w:t>
              </w:r>
            </w:hyperlink>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6. Exhibits</w:t>
              </w:r>
            </w:hyperlink>
          </w:p>
        </w:tc>
        <w:tc>
          <w:tcPr>
            <w:tcW w:w="576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56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Exhibit 3.4</w:t>
            </w:r>
          </w:p>
        </w:tc>
        <w:tc>
          <w:tcPr>
            <w:tcW w:w="7160" w:type="dxa"/>
            <w:vAlign w:val="bottom"/>
            <w:gridSpan w:val="21"/>
          </w:tcPr>
          <w:p>
            <w:pPr>
              <w:spacing w:after="0"/>
              <w:rPr>
                <w:sz w:val="24"/>
                <w:szCs w:val="24"/>
                <w:color w:val="auto"/>
              </w:rPr>
            </w:pPr>
          </w:p>
        </w:tc>
        <w:tc>
          <w:tcPr>
            <w:tcW w:w="1260" w:type="dxa"/>
            <w:vAlign w:val="bottom"/>
          </w:tcPr>
          <w:p>
            <w:pPr>
              <w:spacing w:after="0"/>
              <w:rPr>
                <w:sz w:val="24"/>
                <w:szCs w:val="24"/>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3.5</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70,611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81,691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142,826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163,571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securities, including tax exempt of $295,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$309, $606 and $628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15,829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20,485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32,032</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41,237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7"/>
              </w:rPr>
              <w:t>Federal funds sold, commercial paper and deposits in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banks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1,697</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176,555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205,348</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3,599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17,718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37,916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68,117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Federal funds purchased, repurchase agreements and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41,855</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54,642</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61,127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121,913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136,500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9"/>
              </w:rPr>
              <w:t>Net interest revenue after 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15,440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2,825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3,080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Securities gains (losses), net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3,511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23,590</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26,305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47,950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53,618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3,836</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3,818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7,650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Foreclosed property</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14,540</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5,737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25,353</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1,596</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Loss on sale of nonperforming assets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45,349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158,477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178,396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w w:val="98"/>
              </w:rPr>
              <w:t>Loss from continuing operations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(30,596)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(149,819)</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(151,535)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 from continuing operations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(119,996)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(Loss) income from discontinued operations, net of</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8"/>
              </w:rPr>
              <w:t>Gain from sale of subsidiary, net of income taxes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selling costs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(119,774)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Preferred stock dividends and discount accretion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(62,109)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(124,887)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87" w:orient="portrait"/>
          <w:cols w:equalWidth="0" w:num="1">
            <w:col w:w="10219"/>
          </w:cols>
          <w:pgMar w:left="240" w:top="405" w:right="1440" w:bottom="0" w:gutter="0" w:footer="0" w:header="0"/>
        </w:sectPr>
      </w:pPr>
    </w:p>
    <w:p>
      <w:pPr>
        <w:spacing w:after="0" w:line="15" w:lineRule="exact"/>
        <w:rPr>
          <w:sz w:val="20"/>
          <w:szCs w:val="20"/>
          <w:color w:val="auto"/>
        </w:rPr>
      </w:pPr>
    </w:p>
    <w:p>
      <w:pPr>
        <w:ind w:left="340"/>
        <w:spacing w:after="0"/>
        <w:tabs>
          <w:tab w:leader="none" w:pos="4720" w:val="left"/>
          <w:tab w:leader="none" w:pos="5400" w:val="left"/>
          <w:tab w:leader="none" w:pos="6060" w:val="left"/>
          <w:tab w:leader="none" w:pos="6720" w:val="left"/>
          <w:tab w:leader="none" w:pos="7340" w:val="left"/>
          <w:tab w:leader="none" w:pos="7900" w:val="left"/>
          <w:tab w:leader="none" w:pos="8640" w:val="left"/>
          <w:tab w:leader="none" w:pos="9180" w:val="left"/>
        </w:tabs>
        <w:rPr>
          <w:sz w:val="20"/>
          <w:szCs w:val="20"/>
          <w:color w:val="auto"/>
        </w:rPr>
      </w:pPr>
      <w:r>
        <w:rPr>
          <w:rFonts w:ascii="Arial" w:cs="Arial" w:eastAsia="Arial" w:hAnsi="Arial"/>
          <w:sz w:val="18"/>
          <w:szCs w:val="18"/>
          <w:color w:val="auto"/>
        </w:rPr>
        <w:t>Loss from continuing operations per common share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w:t>
        <w:tab/>
        <w:t>$</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(2.58)</w:t>
      </w:r>
    </w:p>
    <w:p>
      <w:pPr>
        <w:sectPr>
          <w:pgSz w:w="11900" w:h="16887" w:orient="portrait"/>
          <w:cols w:equalWidth="0" w:num="1">
            <w:col w:w="10219"/>
          </w:cols>
          <w:pgMar w:left="240" w:top="405"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480" w:type="dxa"/>
            <w:vAlign w:val="bottom"/>
          </w:tcPr>
          <w:p>
            <w:pPr>
              <w:ind w:left="200"/>
              <w:spacing w:after="0"/>
              <w:rPr>
                <w:sz w:val="20"/>
                <w:szCs w:val="20"/>
                <w:color w:val="auto"/>
              </w:rPr>
            </w:pPr>
            <w:r>
              <w:rPr>
                <w:rFonts w:ascii="Arial" w:cs="Arial" w:eastAsia="Arial" w:hAnsi="Arial"/>
                <w:sz w:val="18"/>
                <w:szCs w:val="18"/>
                <w:color w:val="auto"/>
              </w:rPr>
              <w:t>Basic / Diluted</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 Basic / Diluted</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(.66)</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 Basic /</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4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94,524</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48,794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94,453</w:t>
            </w:r>
          </w:p>
        </w:tc>
        <w:tc>
          <w:tcPr>
            <w:tcW w:w="940" w:type="dxa"/>
            <w:vAlign w:val="bottom"/>
          </w:tcPr>
          <w:p>
            <w:pPr>
              <w:jc w:val="right"/>
              <w:spacing w:after="0"/>
              <w:rPr>
                <w:sz w:val="20"/>
                <w:szCs w:val="20"/>
                <w:color w:val="auto"/>
              </w:rPr>
            </w:pPr>
            <w:r>
              <w:rPr>
                <w:rFonts w:ascii="Arial" w:cs="Arial" w:eastAsia="Arial" w:hAnsi="Arial"/>
                <w:sz w:val="18"/>
                <w:szCs w:val="18"/>
                <w:color w:val="auto"/>
              </w:rPr>
              <w:t>48,560</w:t>
            </w:r>
          </w:p>
        </w:tc>
      </w:tr>
    </w:tbl>
    <w:p>
      <w:pPr>
        <w:spacing w:after="0" w:line="16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40" w:type="dxa"/>
            <w:vAlign w:val="bottom"/>
          </w:tcPr>
          <w:p>
            <w:pPr>
              <w:spacing w:after="0"/>
              <w:rPr>
                <w:sz w:val="20"/>
                <w:szCs w:val="20"/>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115,088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126,265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110,943</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105,183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70,474</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w w:val="98"/>
              </w:rPr>
              <w:t>Federal funds sold, commercial paper and short-term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148,227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129,720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368,498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376,367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181,417</w:t>
            </w: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1,165,776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1,530,047</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1,816,787</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held to maturity (fair value $327,497)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322,148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22,705</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30,226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42,185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4,873,030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5,151,476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5,513,087</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174,111</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155,602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145,678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4,698,919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4,995,874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5,367,409</w:t>
            </w: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Assets covered by loss sharing agreements with the FDIC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156,611</w:t>
            </w:r>
          </w:p>
        </w:tc>
        <w:tc>
          <w:tcPr>
            <w:tcW w:w="1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185,938</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230,125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180,125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182,038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178,983</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29,650</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33,867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41,405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223,600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225,196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251,821</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Foreclosed property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123,910</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120,770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104,754</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360,542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319,591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262,469</w:t>
            </w: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7,652,484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7,999,914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8,477,355</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Demand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779,934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707,826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714,630</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1,326,861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1,335,790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1,273,368</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756,370</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713,901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573,463</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185,176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177,427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180,368</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Time: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Less than $100,000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1,575,211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1,746,511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1,992,056</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800"/>
              <w:spacing w:after="0"/>
              <w:rPr>
                <w:sz w:val="20"/>
                <w:szCs w:val="20"/>
                <w:color w:val="auto"/>
              </w:rPr>
            </w:pPr>
            <w:r>
              <w:rPr>
                <w:rFonts w:ascii="Arial" w:cs="Arial" w:eastAsia="Arial" w:hAnsi="Arial"/>
                <w:sz w:val="18"/>
                <w:szCs w:val="18"/>
                <w:color w:val="auto"/>
              </w:rPr>
              <w:t>Greater than $100,000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1,093,975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1,187,499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1,351,527</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Brokered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611,985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758,880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763,348</w:t>
            </w:r>
          </w:p>
        </w:tc>
      </w:tr>
      <w:tr>
        <w:trPr>
          <w:trHeight w:val="224"/>
        </w:trPr>
        <w:tc>
          <w:tcPr>
            <w:tcW w:w="340" w:type="dxa"/>
            <w:vAlign w:val="bottom"/>
          </w:tcPr>
          <w:p>
            <w:pPr>
              <w:spacing w:after="0"/>
              <w:rPr>
                <w:sz w:val="19"/>
                <w:szCs w:val="19"/>
                <w:color w:val="auto"/>
              </w:rPr>
            </w:pPr>
          </w:p>
        </w:tc>
        <w:tc>
          <w:tcPr>
            <w:tcW w:w="5360" w:type="dxa"/>
            <w:vAlign w:val="bottom"/>
            <w:gridSpan w:val="2"/>
          </w:tcPr>
          <w:p>
            <w:pPr>
              <w:ind w:left="1000"/>
              <w:spacing w:after="0"/>
              <w:rPr>
                <w:sz w:val="20"/>
                <w:szCs w:val="20"/>
                <w:color w:val="auto"/>
              </w:rPr>
            </w:pPr>
            <w:r>
              <w:rPr>
                <w:rFonts w:ascii="Arial" w:cs="Arial" w:eastAsia="Arial" w:hAnsi="Arial"/>
                <w:sz w:val="18"/>
                <w:szCs w:val="18"/>
                <w:color w:val="auto"/>
              </w:rPr>
              <w:t>Total deposits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6,329,512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6,627,834</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6,848,760</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Federal funds purchased, repurchase agreements, and other short-term</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104,127</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101,389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252,493</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104,138</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114,501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283,292</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150,106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150,026</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60,184</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43,803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87,512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6,748,067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7,037,593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7,622,083</w:t>
            </w:r>
          </w:p>
        </w:tc>
      </w:tr>
      <w:tr>
        <w:trPr>
          <w:trHeight w:val="439"/>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w w:val="90"/>
              </w:rPr>
              <w:t>Series A; $10 stated value; 21,700 shares issued and outstanding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r>
      <w:tr>
        <w:trPr>
          <w:trHeight w:val="202"/>
        </w:trPr>
        <w:tc>
          <w:tcPr>
            <w:tcW w:w="340" w:type="dxa"/>
            <w:vAlign w:val="bottom"/>
          </w:tcPr>
          <w:p>
            <w:pPr>
              <w:spacing w:after="0"/>
              <w:rPr>
                <w:sz w:val="17"/>
                <w:szCs w:val="17"/>
                <w:color w:val="auto"/>
              </w:rPr>
            </w:pPr>
          </w:p>
        </w:tc>
        <w:tc>
          <w:tcPr>
            <w:tcW w:w="536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Series B; $1,000 stated value; 180,000 shares issued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175,050</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174,408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173,785</w:t>
            </w:r>
          </w:p>
        </w:tc>
      </w:tr>
      <w:tr>
        <w:trPr>
          <w:trHeight w:val="202"/>
        </w:trPr>
        <w:tc>
          <w:tcPr>
            <w:tcW w:w="340" w:type="dxa"/>
            <w:vAlign w:val="bottom"/>
          </w:tcPr>
          <w:p>
            <w:pPr>
              <w:spacing w:after="0"/>
              <w:rPr>
                <w:sz w:val="17"/>
                <w:szCs w:val="17"/>
                <w:color w:val="auto"/>
              </w:rPr>
            </w:pPr>
          </w:p>
        </w:tc>
        <w:tc>
          <w:tcPr>
            <w:tcW w:w="5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$1 par value; 200,000,000 shares authorized;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94,280,925, 94,045,603 and 48,933,383 shares issued and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94,281</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94,046</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48,933</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284,771, 221,906 and 182,041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663,836</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622,034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450,514</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 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(77,590)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136,624</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44,725</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47,635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41,816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904,417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962,321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855,272</w:t>
            </w:r>
          </w:p>
        </w:tc>
      </w:tr>
      <w:tr>
        <w:trPr>
          <w:trHeight w:val="223"/>
        </w:trPr>
        <w:tc>
          <w:tcPr>
            <w:tcW w:w="340" w:type="dxa"/>
            <w:vAlign w:val="bottom"/>
          </w:tcPr>
          <w:p>
            <w:pPr>
              <w:spacing w:after="0"/>
              <w:rPr>
                <w:sz w:val="19"/>
                <w:szCs w:val="19"/>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7,652,484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7,999,914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8,477,355</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68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686"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Series A</w:t>
            </w:r>
          </w:p>
        </w:tc>
        <w:tc>
          <w:tcPr>
            <w:tcW w:w="8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Issuable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Surplus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$ 173,180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48,809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2,908</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$ 460,708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265,405</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(16,465)</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54,579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989,382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(119,774)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 for sale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securities, net of deferred tax expense and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reclassification adjustment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ind w:left="400"/>
              <w:spacing w:after="0" w:line="130" w:lineRule="exact"/>
              <w:rPr>
                <w:sz w:val="20"/>
                <w:szCs w:val="20"/>
                <w:color w:val="auto"/>
              </w:rPr>
            </w:pPr>
            <w:r>
              <w:rPr>
                <w:rFonts w:ascii="Arial" w:cs="Arial" w:eastAsia="Arial" w:hAnsi="Arial"/>
                <w:sz w:val="14"/>
                <w:szCs w:val="14"/>
                <w:color w:val="auto"/>
              </w:rPr>
              <w:t>Unrealized losses on derivative financial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600"/>
              <w:spacing w:after="0" w:line="149" w:lineRule="exact"/>
              <w:rPr>
                <w:sz w:val="20"/>
                <w:szCs w:val="20"/>
                <w:color w:val="auto"/>
              </w:rPr>
            </w:pPr>
            <w:r>
              <w:rPr>
                <w:rFonts w:ascii="Arial" w:cs="Arial" w:eastAsia="Arial" w:hAnsi="Arial"/>
                <w:sz w:val="14"/>
                <w:szCs w:val="14"/>
                <w:color w:val="auto"/>
                <w:w w:val="94"/>
              </w:rPr>
              <w:t>instruments qualifying as cash flow hedges, 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600"/>
              <w:spacing w:after="0"/>
              <w:rPr>
                <w:sz w:val="20"/>
                <w:szCs w:val="20"/>
                <w:color w:val="auto"/>
              </w:rPr>
            </w:pPr>
            <w:r>
              <w:rPr>
                <w:rFonts w:ascii="Arial" w:cs="Arial" w:eastAsia="Arial" w:hAnsi="Arial"/>
                <w:sz w:val="14"/>
                <w:szCs w:val="14"/>
                <w:color w:val="auto"/>
              </w:rPr>
              <w:t>of deferred tax benefit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(14,345)</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(14,345)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(119,774)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(12,763)</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Retirement of preferred stock (4,100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dividends declared on common stock (737,530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Exercise of stock options (437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issued to dividend Reinvestment plan and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benefit plans (167,873 shares)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Amortization of stock option and restricted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Vesting of restricted stock (12,447 shares issued, 16,162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 deferred)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 including dividend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200"/>
              <w:spacing w:after="0"/>
              <w:rPr>
                <w:sz w:val="20"/>
                <w:szCs w:val="20"/>
                <w:color w:val="auto"/>
              </w:rPr>
            </w:pPr>
            <w:r>
              <w:rPr>
                <w:rFonts w:ascii="Arial" w:cs="Arial" w:eastAsia="Arial" w:hAnsi="Arial"/>
                <w:sz w:val="14"/>
                <w:szCs w:val="14"/>
                <w:color w:val="auto"/>
              </w:rPr>
              <w:t>equivalents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Shares issued from deferred compensation plan (5,687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Tax on option exercise and restricted stock vesting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Dividends on Series A preferred stock ($.30 per share)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Dividends on Series B preferred stock (5%)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$ 173,785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48,933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3,383</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$ 450,514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136,624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41,816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855,272</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2009</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0" w:type="dxa"/>
            <w:vAlign w:val="bottom"/>
            <w:gridSpan w:val="2"/>
            <w:vMerge w:val="continue"/>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217</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$ 174,408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94,046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3,597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$ 622,034</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20,384</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47,635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962,321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ind w:left="400"/>
              <w:spacing w:after="0" w:line="130" w:lineRule="exact"/>
              <w:rPr>
                <w:sz w:val="20"/>
                <w:szCs w:val="20"/>
                <w:color w:val="auto"/>
              </w:rPr>
            </w:pPr>
            <w:r>
              <w:rPr>
                <w:rFonts w:ascii="Arial" w:cs="Arial" w:eastAsia="Arial" w:hAnsi="Arial"/>
                <w:sz w:val="14"/>
                <w:szCs w:val="14"/>
                <w:color w:val="auto"/>
              </w:rPr>
              <w:t>Unrealized holding gains on available for sale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ind w:left="600"/>
              <w:spacing w:after="0" w:line="149" w:lineRule="exact"/>
              <w:rPr>
                <w:sz w:val="20"/>
                <w:szCs w:val="20"/>
                <w:color w:val="auto"/>
              </w:rPr>
            </w:pPr>
            <w:r>
              <w:rPr>
                <w:rFonts w:ascii="Arial" w:cs="Arial" w:eastAsia="Arial" w:hAnsi="Arial"/>
                <w:sz w:val="14"/>
                <w:szCs w:val="14"/>
                <w:color w:val="auto"/>
              </w:rPr>
              <w:t>securities, net of deferred tax expense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600"/>
              <w:spacing w:after="0"/>
              <w:rPr>
                <w:sz w:val="20"/>
                <w:szCs w:val="20"/>
                <w:color w:val="auto"/>
              </w:rPr>
            </w:pPr>
            <w:r>
              <w:rPr>
                <w:rFonts w:ascii="Arial" w:cs="Arial" w:eastAsia="Arial" w:hAnsi="Arial"/>
                <w:sz w:val="14"/>
                <w:szCs w:val="14"/>
                <w:color w:val="auto"/>
              </w:rPr>
              <w:t>reclassification 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losses on derivative financial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4"/>
              </w:rPr>
              <w:t>instruments qualifying as cash flow hedges, net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of deferred tax benefit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(5,660)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ind w:left="600"/>
              <w:spacing w:after="0" w:line="155" w:lineRule="exact"/>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(92,825)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(2,910)</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(95,735)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equity instruments in private equity</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transaction</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w w:val="95"/>
              </w:rPr>
              <w:t>Common stock issued to dividend reinvestment plan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200"/>
              <w:spacing w:after="0"/>
              <w:rPr>
                <w:sz w:val="20"/>
                <w:szCs w:val="20"/>
                <w:color w:val="auto"/>
              </w:rPr>
            </w:pPr>
            <w:r>
              <w:rPr>
                <w:rFonts w:ascii="Arial" w:cs="Arial" w:eastAsia="Arial" w:hAnsi="Arial"/>
                <w:sz w:val="14"/>
                <w:szCs w:val="14"/>
                <w:color w:val="auto"/>
              </w:rPr>
              <w:t>employee benefit plans (209,091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Amortization of stock options and restricted stock awards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w w:val="95"/>
              </w:rPr>
              <w:t>Vesting of restricted stock (10,560 shares issued, 41,522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200"/>
              <w:spacing w:after="0"/>
              <w:rPr>
                <w:sz w:val="20"/>
                <w:szCs w:val="20"/>
                <w:color w:val="auto"/>
              </w:rPr>
            </w:pPr>
            <w:r>
              <w:rPr>
                <w:rFonts w:ascii="Arial" w:cs="Arial" w:eastAsia="Arial" w:hAnsi="Arial"/>
                <w:sz w:val="14"/>
                <w:szCs w:val="14"/>
                <w:color w:val="auto"/>
              </w:rPr>
              <w:t>shares deferred)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607</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 including dividend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equivalents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w w:val="96"/>
              </w:rPr>
              <w:t>Shares issued from deferred compensation plan (15,671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(468)</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Dividends on Series A preferred stock ($.30 per share)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Dividends on Series B preferred stock (5%)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$ 175,050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94,281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3,898</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$ 663,836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(77,590)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44,725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904,417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right"/>
        <w:ind w:right="3500"/>
        <w:spacing w:after="0" w:line="481" w:lineRule="auto"/>
        <w:rPr>
          <w:sz w:val="20"/>
          <w:szCs w:val="20"/>
          <w:color w:val="auto"/>
        </w:rPr>
      </w:pPr>
      <w:r>
        <w:rPr>
          <w:rFonts w:ascii="Arial" w:cs="Arial" w:eastAsia="Arial" w:hAnsi="Arial"/>
          <w:sz w:val="18"/>
          <w:szCs w:val="18"/>
          <w:color w:val="auto"/>
        </w:rPr>
        <w:t>Comprehensive loss for the second quarter of 2010 and 2009 was $60,133,000 and $32,735,000, respectively. 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(92,825)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(119,774)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7,747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Securities (gains) losses, net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(Gains) losses on sale of other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Losses and write downs on sales other real estate owned</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19,289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Gain from sale of subsidiary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Loss on sale of nonperforming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8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(6,888)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50,868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Mortgage loans held for sale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Purchases of securities held to maturity</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(19,617)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40,817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432,436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(398,877)</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(584,100)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decrease (increase) in loans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cash received from sale of subsidiary</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cash received from acquisition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cash received from sale of nonperforming assets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20,618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80,898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237,993</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(295,729)</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(462,921)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Net change in federal funds purchased, repurchase agreements, and other short-term</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 benefit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Redemption of preferred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(306,563)</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(329,582)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(312,004)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376,367</w:t>
            </w:r>
          </w:p>
        </w:tc>
        <w:tc>
          <w:tcPr>
            <w:tcW w:w="2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493,421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368,498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60,083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91,865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(23,850)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2009 annual report filed on Form 10-K.</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6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United records all derivative financial instruments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w:t>
      </w:r>
    </w:p>
    <w:p>
      <w:pPr>
        <w:spacing w:after="0" w:line="12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Foreclosed property is initially recorded at fair value, less cost to sell. If the fair value, less cost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Accounting Standards Updates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 xml:space="preserve">In May 2010, the FASB issued Accounting Standards Update No. 2010-19, </w:t>
      </w:r>
      <w:r>
        <w:rPr>
          <w:rFonts w:ascii="Arial" w:cs="Arial" w:eastAsia="Arial" w:hAnsi="Arial"/>
          <w:sz w:val="18"/>
          <w:szCs w:val="18"/>
          <w:i w:val="1"/>
          <w:iCs w:val="1"/>
          <w:color w:val="auto"/>
        </w:rPr>
        <w:t>Foreign Currency Issues: Multiple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Exchange Rates </w:t>
      </w:r>
      <w:r>
        <w:rPr>
          <w:rFonts w:ascii="Arial" w:cs="Arial" w:eastAsia="Arial" w:hAnsi="Arial"/>
          <w:sz w:val="18"/>
          <w:szCs w:val="18"/>
          <w:color w:val="auto"/>
        </w:rPr>
        <w:t>(“ASU No. 2010-19”). ASU No. 2010-19 codifies the SEC Staff Announcement on May 18, 2010,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SEC’s view on certain foreign currency issues related to investments in Venezuela. This guidance was effective May 18, 2010 and is not applicable to United.</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 xml:space="preserve">In July 2010, the FASB issued Accounting Standards Update No. 2010-20, </w:t>
      </w:r>
      <w:r>
        <w:rPr>
          <w:rFonts w:ascii="Arial" w:cs="Arial" w:eastAsia="Arial" w:hAnsi="Arial"/>
          <w:sz w:val="17"/>
          <w:szCs w:val="17"/>
          <w:i w:val="1"/>
          <w:iCs w:val="1"/>
          <w:color w:val="auto"/>
        </w:rPr>
        <w:t>Disclosures about the Credit Quality of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and the Allowance for Credit Losses </w:t>
      </w:r>
      <w:r>
        <w:rPr>
          <w:rFonts w:ascii="Arial" w:cs="Arial" w:eastAsia="Arial" w:hAnsi="Arial"/>
          <w:sz w:val="17"/>
          <w:szCs w:val="17"/>
          <w:color w:val="auto"/>
        </w:rPr>
        <w:t>(“ASU No. 2010-20”). ASU No. 2010-20 requires disclosures regarding loans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allowance for loan losses that are disaggregated by portfolio segment and class of financing receivable. Existing disclosures were amended to require a rollforward of the allowance for loan losses by portfolio segment, with the ending balance broken out by basis of impairment method, as well as the recorded investment in the respective loans. Nonaccrual and impaired loans by class must also be shown. ASU No. 2010-20 also requires disclosures regarding: 1) credit quality indicators by class, 2) aging of past due loans by class, 3) troubled debt restructurings (“TDRs”) by class and their effect on the allowance for loan losses, 4) defaults on TDRs by class and their effect on the allowance for loan losses, and 5) significant purchases and sales of loans disaggregated by portfolio segment. This guidance is effective for interim and annual reporting periods ending on or after December 15, 2010, for end of period type disclosures. Activity related disclosures are effective for interim and annual reporting periods beginning on or after December 15, 2010. ASU No. 2010-20 will have an impact on United’s disclosures, but not its financial position or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Mergers and Acquisitions</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On June 19, 2009, United Community Bank (“UCB” or the “Bank”) purchased substantially all the assets and assumed substantially all the liabilities of Southern Community Bank (“SCB”) from the Federal Deposit Insurance Corporation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June 19, 2009. UCB submitted a bid for the acquisition of SCB with the FDIC and the FDIC accepted the bid on June 16, 2009. The transaction resulted in a cash payment of $31 million from the FDIC to UCB. Further,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Under the loss sharing agreement, the portion of the losses expected to be indemnified by FDIC is considered an indemnification asset in accordance with ASC 805.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6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shows the components of covered assets at June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Impaired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40,469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6,260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6,260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16,905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9,954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10,137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w:t>
            </w:r>
          </w:p>
        </w:tc>
      </w:tr>
      <w:tr>
        <w:trPr>
          <w:trHeight w:val="223"/>
        </w:trPr>
        <w:tc>
          <w:tcPr>
            <w:tcW w:w="412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74,121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80,755</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Covered forclosed property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32,730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43,126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43,126</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75,856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156,611</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154"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On the acquisition date, the preliminary estimate of the contractually required payments receivable for all ASC 310-30 loans acquired was $70.8 million, the cash flows expected to be collected were $24.5 million including interest, and the estimated fair value of the loans was $23.6 million. These amounts were determined based upon the estimated remaining life of the underlying loans, which include the effects of estimated prepayments. A majority of these loans were valued based on the liquidation value of the underlying collateral, because the expected cash flows are primarily based on the liquidation of the underlying collateral and the timing and amount of the cash flows could not be reasonably estimated.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Securities</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During the second quarter of 2010, securities available for sale with a fair value of $315 million were transferred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 Securities are classified as held to maturity when management has the positive intent and ability to hold them until maturity. Securities held to maturity are carried at amortized cost.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 to maturity at June 30,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Amortized</w:t>
            </w: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Fair</w:t>
            </w:r>
          </w:p>
        </w:tc>
      </w:tr>
      <w:tr>
        <w:trPr>
          <w:trHeight w:val="230"/>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Cost</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Value</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70,284</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71,360</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26,491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229,646</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322,148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327,497</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securities classified as held to maturity at December 31, 2009 or June 30, 2009.</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June 30, 2010, December 31, 2009 and June 30, 2009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Amortized</w:t>
            </w: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Fair</w:t>
            </w:r>
          </w:p>
        </w:tc>
      </w:tr>
      <w:tr>
        <w:trPr>
          <w:trHeight w:val="230"/>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Cost</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Value</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216,759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217,695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32,998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33,985</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864,141</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37,730</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900,768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13,328</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1,127,058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1,165,776</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248,425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246,466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63,293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1,156,035</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43,007</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1,197,222</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23,066</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1,489,207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1,530,047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Treasuries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39,979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39,975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209,662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207,313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55,194</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55,503</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1,462,695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32,318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1,485,097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28,645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28,899</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1,796,175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1,816,787</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summarizes held to maturity securities in an unrealized loss position as of June 30, 2010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89"/>
              </w:rPr>
              <w:t>Less than 12 Months</w:t>
            </w:r>
          </w:p>
        </w:tc>
        <w:tc>
          <w:tcPr>
            <w:tcW w:w="1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3"/>
              </w:rPr>
              <w:t>12 Months or More</w:t>
            </w:r>
          </w:p>
        </w:tc>
        <w:tc>
          <w:tcPr>
            <w:tcW w:w="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6"/>
                <w:szCs w:val="16"/>
                <w:color w:val="auto"/>
              </w:rPr>
            </w:pPr>
          </w:p>
        </w:tc>
      </w:tr>
      <w:tr>
        <w:trPr>
          <w:trHeight w:val="230"/>
        </w:trPr>
        <w:tc>
          <w:tcPr>
            <w:tcW w:w="2860" w:type="dxa"/>
            <w:vAlign w:val="bottom"/>
          </w:tcPr>
          <w:p>
            <w:pPr>
              <w:spacing w:after="0"/>
              <w:rPr>
                <w:sz w:val="20"/>
                <w:szCs w:val="20"/>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w w:val="90"/>
              </w:rPr>
              <w:t>Fair Value</w:t>
            </w:r>
          </w:p>
        </w:tc>
        <w:tc>
          <w:tcPr>
            <w:tcW w:w="600" w:type="dxa"/>
            <w:vAlign w:val="bottom"/>
          </w:tcPr>
          <w:p>
            <w:pPr>
              <w:ind w:left="220"/>
              <w:spacing w:after="0"/>
              <w:rPr>
                <w:sz w:val="20"/>
                <w:szCs w:val="20"/>
                <w:color w:val="auto"/>
              </w:rPr>
            </w:pPr>
            <w:r>
              <w:rPr>
                <w:rFonts w:ascii="Arial" w:cs="Arial" w:eastAsia="Arial" w:hAnsi="Arial"/>
                <w:sz w:val="18"/>
                <w:szCs w:val="18"/>
                <w:color w:val="auto"/>
                <w:w w:val="94"/>
              </w:rPr>
              <w:t>Loss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580" w:type="dxa"/>
            <w:vAlign w:val="bottom"/>
          </w:tcPr>
          <w:p>
            <w:pPr>
              <w:jc w:val="right"/>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90"/>
              </w:rPr>
              <w:t>Fair Value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Loss</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1,145</w:t>
            </w:r>
          </w:p>
        </w:tc>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41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1,145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1,963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3,108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June 30, 2010, December 31, 2009 and June 30,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8"/>
                <w:szCs w:val="18"/>
                <w:color w:val="auto"/>
                <w:w w:val="92"/>
              </w:rPr>
              <w:t>Less than 12 Months</w:t>
            </w:r>
          </w:p>
        </w:tc>
        <w:tc>
          <w:tcPr>
            <w:tcW w:w="120" w:type="dxa"/>
            <w:vAlign w:val="bottom"/>
          </w:tcPr>
          <w:p>
            <w:pPr>
              <w:spacing w:after="0"/>
              <w:rPr>
                <w:sz w:val="20"/>
                <w:szCs w:val="20"/>
                <w:color w:val="auto"/>
              </w:rPr>
            </w:pPr>
          </w:p>
        </w:tc>
        <w:tc>
          <w:tcPr>
            <w:tcW w:w="2120" w:type="dxa"/>
            <w:vAlign w:val="bottom"/>
            <w:gridSpan w:val="5"/>
          </w:tcPr>
          <w:p>
            <w:pPr>
              <w:ind w:left="120"/>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6"/>
                <w:szCs w:val="16"/>
                <w:color w:val="auto"/>
              </w:rPr>
            </w:pPr>
          </w:p>
        </w:tc>
      </w:tr>
      <w:tr>
        <w:trPr>
          <w:trHeight w:val="230"/>
        </w:trPr>
        <w:tc>
          <w:tcPr>
            <w:tcW w:w="286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Loss</w:t>
            </w:r>
          </w:p>
        </w:tc>
        <w:tc>
          <w:tcPr>
            <w:tcW w:w="110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Loss</w:t>
            </w:r>
          </w:p>
        </w:tc>
        <w:tc>
          <w:tcPr>
            <w:tcW w:w="760" w:type="dxa"/>
            <w:vAlign w:val="bottom"/>
            <w:gridSpan w:val="3"/>
          </w:tcPr>
          <w:p>
            <w:pPr>
              <w:spacing w:after="0"/>
              <w:rPr>
                <w:sz w:val="20"/>
                <w:szCs w:val="20"/>
                <w:color w:val="auto"/>
              </w:rPr>
            </w:pPr>
            <w:r>
              <w:rPr>
                <w:rFonts w:ascii="Arial" w:cs="Arial" w:eastAsia="Arial" w:hAnsi="Arial"/>
                <w:sz w:val="18"/>
                <w:szCs w:val="18"/>
                <w:color w:val="auto"/>
                <w:w w:val="90"/>
              </w:rPr>
              <w:t>Fair Value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Loss</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19,499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26,040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151,838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151,838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2,173</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84,024</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22,358</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106,382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1,820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238,210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25,643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263,853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U.S. Treasuries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39,975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39,975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142,256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142,256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4,524</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4,317</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8,841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240,979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150,071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391,050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r>
      <w:tr>
        <w:trPr>
          <w:trHeight w:val="27"/>
        </w:trPr>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428,213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154,867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583,080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13,651</w:t>
            </w: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six months ended June 30, 2010, United recorded impairment losses of $950,000, on investments in financial institutions that showed evidence of other-than-temporary impairment. During the second quarter and six months ended June 30, 2009, United recognized an impairment loss of $744,000 on an equity investment in a financial institution that failed during the quarter.</w:t>
      </w:r>
    </w:p>
    <w:p>
      <w:pPr>
        <w:spacing w:after="0" w:line="126"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June 30, 2010, there were 21 available for sale securities totaling $45.8 million in that were in an unrealized loss position. There were 3 held to maturity securities totaling $3.1 million in that were in an unrealized loss position at June 30, 2010. United does not intend to sell nor believes it will be required to sell securities in an unrealized loss position prior to the recovery of its amortized cost basis. Unrealized losses at June 30, 2010 and 2009 were primarily attributable to changes in interest rates.</w:t>
      </w:r>
    </w:p>
    <w:p>
      <w:pPr>
        <w:spacing w:after="0" w:line="12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month and six month periods ended June 30, 2010 and 2009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15,017</w:t>
            </w:r>
          </w:p>
        </w:tc>
      </w:tr>
      <w:tr>
        <w:trPr>
          <w:trHeight w:val="20"/>
        </w:trPr>
        <w:tc>
          <w:tcPr>
            <w:tcW w:w="4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Gross gains on sales</w:t>
            </w:r>
          </w:p>
        </w:tc>
        <w:tc>
          <w:tcPr>
            <w:tcW w:w="720" w:type="dxa"/>
            <w:vAlign w:val="bottom"/>
          </w:tcPr>
          <w:p>
            <w:pPr>
              <w:jc w:val="right"/>
              <w:ind w:right="5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Impairment losses</w:t>
            </w:r>
          </w:p>
        </w:tc>
        <w:tc>
          <w:tcPr>
            <w:tcW w:w="72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r>
      <w:tr>
        <w:trPr>
          <w:trHeight w:val="223"/>
        </w:trPr>
        <w:tc>
          <w:tcPr>
            <w:tcW w:w="4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on sales of securities</w:t>
            </w: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r>
      <w:tr>
        <w:trPr>
          <w:trHeight w:val="20"/>
        </w:trPr>
        <w:tc>
          <w:tcPr>
            <w:tcW w:w="4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720" w:type="dxa"/>
            <w:vAlign w:val="bottom"/>
          </w:tcPr>
          <w:p>
            <w:pPr>
              <w:jc w:val="right"/>
              <w:ind w:right="5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0"/>
        </w:trPr>
        <w:tc>
          <w:tcPr>
            <w:tcW w:w="4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Securities with a carrying value of $1.4 billion, $1.5 billion, and $1.7 billion were pledged to secure public deposits, FHLB advances and other secured borrowings at June 30, 2010, December 31, 2009 and June 30, 2009.</w:t>
      </w:r>
    </w:p>
    <w:p>
      <w:pPr>
        <w:sectPr>
          <w:pgSz w:w="11900" w:h="16838" w:orient="portrait"/>
          <w:cols w:equalWidth="0" w:num="1">
            <w:col w:w="10219"/>
          </w:cols>
          <w:pgMar w:left="240" w:top="419" w:right="1440" w:bottom="1104"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4"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June 30, 2010,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20"/>
                <w:szCs w:val="20"/>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Held to Maturity</w:t>
            </w:r>
          </w:p>
        </w:tc>
      </w:tr>
      <w:tr>
        <w:trPr>
          <w:trHeight w:val="210"/>
        </w:trPr>
        <w:tc>
          <w:tcPr>
            <w:tcW w:w="4100" w:type="dxa"/>
            <w:vAlign w:val="bottom"/>
          </w:tcPr>
          <w:p>
            <w:pPr>
              <w:spacing w:after="0"/>
              <w:rPr>
                <w:sz w:val="18"/>
                <w:szCs w:val="18"/>
                <w:color w:val="auto"/>
              </w:rPr>
            </w:pP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Fair Value</w:t>
            </w:r>
          </w:p>
        </w:tc>
        <w:tc>
          <w:tcPr>
            <w:tcW w:w="340" w:type="dxa"/>
            <w:vAlign w:val="bottom"/>
          </w:tcPr>
          <w:p>
            <w:pPr>
              <w:spacing w:after="0"/>
              <w:rPr>
                <w:sz w:val="18"/>
                <w:szCs w:val="18"/>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Fair Value</w:t>
            </w:r>
          </w:p>
        </w:tc>
        <w:tc>
          <w:tcPr>
            <w:tcW w:w="80" w:type="dxa"/>
            <w:vAlign w:val="bottom"/>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7,424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194,393</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195,233</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217,695</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4,484</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17,543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10,209</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10,575</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50,669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51,357</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20,003</w:t>
            </w:r>
          </w:p>
        </w:tc>
      </w:tr>
      <w:tr>
        <w:trPr>
          <w:trHeight w:val="223"/>
        </w:trPr>
        <w:tc>
          <w:tcPr>
            <w:tcW w:w="4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33,985</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70,284</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w:t>
            </w:r>
          </w:p>
        </w:tc>
        <w:tc>
          <w:tcPr>
            <w:tcW w:w="80" w:type="dxa"/>
            <w:vAlign w:val="bottom"/>
          </w:tcPr>
          <w:p>
            <w:pPr>
              <w:spacing w:after="0"/>
              <w:rPr>
                <w:sz w:val="19"/>
                <w:szCs w:val="19"/>
                <w:color w:val="auto"/>
              </w:rPr>
            </w:pPr>
          </w:p>
        </w:tc>
      </w:tr>
      <w:tr>
        <w:trPr>
          <w:trHeight w:val="223"/>
        </w:trPr>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7,715</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16,677</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16,836</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9,569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9,655</w:t>
            </w:r>
          </w:p>
        </w:tc>
      </w:tr>
      <w:tr>
        <w:trPr>
          <w:trHeight w:val="223"/>
        </w:trPr>
        <w:tc>
          <w:tcPr>
            <w:tcW w:w="4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80" w:type="dxa"/>
            <w:vAlign w:val="bottom"/>
          </w:tcPr>
          <w:p>
            <w:pPr>
              <w:spacing w:after="0"/>
              <w:rPr>
                <w:sz w:val="19"/>
                <w:szCs w:val="19"/>
                <w:color w:val="auto"/>
              </w:rPr>
            </w:pPr>
          </w:p>
        </w:tc>
      </w:tr>
      <w:tr>
        <w:trPr>
          <w:trHeight w:val="223"/>
        </w:trPr>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securities other than mortgage-backed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19,420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19,623</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34,692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204,652</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205,858</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67,346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68,193</w:t>
            </w: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29,184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29,658</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864,141</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900,768</w:t>
            </w:r>
          </w:p>
        </w:tc>
        <w:tc>
          <w:tcPr>
            <w:tcW w:w="3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225,618</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229,646</w:t>
            </w:r>
          </w:p>
        </w:tc>
      </w:tr>
      <w:tr>
        <w:trPr>
          <w:trHeight w:val="223"/>
        </w:trPr>
        <w:tc>
          <w:tcPr>
            <w:tcW w:w="4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1,165,776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327,497</w:t>
            </w:r>
          </w:p>
        </w:tc>
      </w:tr>
      <w:tr>
        <w:trPr>
          <w:trHeight w:val="20"/>
        </w:trPr>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02"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Major classifications of loans as of June 30, 2010, December 31, 2009 and June 30, 2009,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1,780,142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1,779,398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1,796,560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342,140</w:t>
            </w: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362,566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378,779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441,097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390,520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399,564</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2,563,379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2,532,484</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2,574,903</w:t>
            </w: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819,930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1,050,065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1,315,353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1,355,582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1,427,198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1,469,754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134,139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141,729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153,077</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4,873,030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5,513,087</w:t>
            </w: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174,111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145,678</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4,698,919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4,995,874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5,367,409</w:t>
            </w: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At June 30, 2010, United had $163 million of loans classified as impaired. Of that amount, $12.5 million had specific reserves of $1.1 million allocated and the remaining $150 million did not have specific reserves allocated because they had either been written down to net realizable value ($100 million in charge-offs) or had sufficient collateral so that no allowance was required. At December 31, 2009, United had $198 million of loans classified as impaired. Of that amount, $16.1 million had specific reserves of $3 million allocated and the remaining $182 million did not have specific reserves allocated because they had either been written down to net realizable value ($115 million in charge-offs) or had sufficient collateral so that no allowance was required. At June 30, 2009, United had $224 million of loans classified as impaired. Of that amount, $113 million had specific reserves allocated of $24.9 million and $110 million did not have specific reserves allocated. The average recorded investment in impaired loans for the quarters ended June 30, 2010 and 2009 was $171 million and $248 million, respectively. There was no interest revenue recognized on loans while they were impaired for the three or six months ended June 30, 2010 or 2009.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143,990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122,271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61,500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136,500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9,791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5,989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12,727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6,854</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4,977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6,318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6,185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41,781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85,971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82,612</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11,392</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6,700</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1,907</w:t>
            </w: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60,938</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122,625</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105,069</w:t>
            </w:r>
          </w:p>
        </w:tc>
        <w:tc>
          <w:tcPr>
            <w:tcW w:w="8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1,870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2,205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Pr>
          <w:p>
            <w:pPr>
              <w:spacing w:after="0"/>
              <w:rPr>
                <w:sz w:val="20"/>
                <w:szCs w:val="20"/>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61,323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58,312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117,991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101,593</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145,678</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At June 30, 2010, December 31, 2009 and June 30, 2009, loans with a carrying value of $1.5 billion, $1.5 billion and $1.6 billion were pledged as collateral to secure FHLB advances and other contingent funding sources.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Goodwill</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A summary of the changes in goodwill for the three and six months ended June 30, 2010 and 2009 is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210,590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235,590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305,590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235,590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235,590</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United performs its annual goodwill impairment assessment during the fourth quarter of each year, or more often if events warrant an interim assessment. During the second quarter of 2010 and 2009, no events occurred that would lead management to believe that goodwill impairment might exist. During the first quarter of 2009, United updated its 2008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2009 consolidated statement of income.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three and six months ended June 30,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2010 and 2009 </w:t>
      </w:r>
      <w:r>
        <w:rPr>
          <w:rFonts w:ascii="Arial" w:cs="Arial" w:eastAsia="Arial" w:hAnsi="Arial"/>
          <w:sz w:val="18"/>
          <w:szCs w:val="18"/>
          <w:i w:val="1"/>
          <w:iCs w:val="1"/>
          <w:color w:val="auto"/>
        </w:rPr>
        <w:t>(in thousands, except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(62,109)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(124,887)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94,524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48,560</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48,560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There is no dilution from dilutive securities for the three and six months ended June 30, 2010 and 2009, due to the anti-dilutive effect of the net loss for those periods.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interest rate derivatives.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June 30, 2010, December 31, 2009 and June 30,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Derivatives designated as hedging instruments under ASC 815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June 30,</w:t>
            </w:r>
          </w:p>
        </w:tc>
        <w:tc>
          <w:tcPr>
            <w:tcW w:w="14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8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26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2010, December 31, 2009 and June 30, 2009, United did not have any derivatives in a net liability position.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89"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June 30, 2010, United had no active derivatives designated as cash flow hedges of interest rate risk.</w:t>
      </w:r>
    </w:p>
    <w:p>
      <w:pPr>
        <w:spacing w:after="0" w:line="127"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The effective portion of changes in the fair value of derivatives designated and qualifying as cash flow hedges is recorded in accumulated other comprehensive income and is subsequently reclassified into earnings in the period that the hedged forecasted transaction affects earnings. During 2010 and 2009, such derivatives were used to hedge the variable cash flows associated with existing prime-based, variable-rate loans. The ineffective portion of the change in fair value of the derivatives is recognized directly in earnings. During the three and six months ended June 30, 2010 $120,000 and $642,000, respectively, in hedge ineffectiveness was recognized in other fee revenue, respectively, and during the three and six months ended June 30, 2009 no hedge ineffectiveness was recognized on derivative financial instruments designated as cash flow hedges.</w:t>
      </w:r>
    </w:p>
    <w:p>
      <w:pPr>
        <w:spacing w:after="0" w:line="14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revenue as interest payments are received on United’s prime-based, variable-rate loans. During the next twelve months, United estimates that an additional $12.6 million will be reclassified as an increase to interest revenue.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June 30, 2010, United had three interest rate swaps with an aggregate notional amount of $195.0 million that were designated as fair value hedges of interest rate risk.</w:t>
      </w:r>
    </w:p>
    <w:p>
      <w:pPr>
        <w:spacing w:after="0" w:line="151"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six months ended June 30, 2010, United recognized net gains of $119,000 and $207,000, respectively, related to ineffectiveness of the fair value hedging relationships. During the three and six months ended June 30, 2009, United recognized net losses of $382,000 and $282,000, respectively, related to ineffectiveness of the fair value hedging relationships. United also recognized a net reduction of interest expense of $1.38 million and $1.32 million for the three months ended June 30, 2010 and 2009, respectively, related to United’s fair value hedges, which includes net settlements on the derivatives. For the six months ended June 30, 2010 and 2009, United recognized a net reduction of interest expense of $2.77 million and $3.16 million, related to United’s fair value hedges.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Income for the three and six months ended June 30, 2010 and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b w:val="1"/>
          <w:bCs w:val="1"/>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5"/>
              </w:rPr>
              <w:t>Amount of Gain (Loss) Recognized in</w:t>
            </w: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260" w:type="dxa"/>
            <w:vAlign w:val="bottom"/>
          </w:tcPr>
          <w:p>
            <w:pPr>
              <w:spacing w:after="0"/>
              <w:rPr>
                <w:sz w:val="20"/>
                <w:szCs w:val="20"/>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Income on Derivative</w:t>
            </w:r>
          </w:p>
        </w:tc>
        <w:tc>
          <w:tcPr>
            <w:tcW w:w="260" w:type="dxa"/>
            <w:vAlign w:val="bottom"/>
          </w:tcPr>
          <w:p>
            <w:pPr>
              <w:spacing w:after="0"/>
              <w:rPr>
                <w:sz w:val="20"/>
                <w:szCs w:val="20"/>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Income on Hedged Item</w:t>
            </w: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on Derivative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3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(1,397)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r>
      <w:tr>
        <w:trPr>
          <w:trHeight w:val="43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r>
    </w:tbl>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b w:val="1"/>
          <w:bCs w:val="1"/>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Amount of Gain (Loss)</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Recognized in Other</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Comprehensive Income on</w:t>
            </w:r>
          </w:p>
        </w:tc>
        <w:tc>
          <w:tcPr>
            <w:tcW w:w="426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90"/>
              </w:rPr>
              <w:t>Gain (Loss) Reclassified from Accumulated Other</w:t>
            </w:r>
          </w:p>
        </w:tc>
      </w:tr>
      <w:tr>
        <w:trPr>
          <w:trHeight w:val="234"/>
        </w:trPr>
        <w:tc>
          <w:tcPr>
            <w:tcW w:w="2500" w:type="dxa"/>
            <w:vAlign w:val="bottom"/>
          </w:tcPr>
          <w:p>
            <w:pPr>
              <w:spacing w:after="0"/>
              <w:rPr>
                <w:sz w:val="20"/>
                <w:szCs w:val="20"/>
                <w:color w:val="auto"/>
              </w:rPr>
            </w:pPr>
          </w:p>
        </w:tc>
        <w:tc>
          <w:tcPr>
            <w:tcW w:w="25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Derivative (Effective Portion)</w:t>
            </w:r>
          </w:p>
        </w:tc>
        <w:tc>
          <w:tcPr>
            <w:tcW w:w="4260" w:type="dxa"/>
            <w:vAlign w:val="bottom"/>
            <w:gridSpan w:val="8"/>
          </w:tcPr>
          <w:p>
            <w:pPr>
              <w:spacing w:after="0"/>
              <w:rPr>
                <w:sz w:val="20"/>
                <w:szCs w:val="20"/>
                <w:color w:val="auto"/>
              </w:rPr>
            </w:pPr>
            <w:r>
              <w:rPr>
                <w:rFonts w:ascii="Arial" w:cs="Arial" w:eastAsia="Arial" w:hAnsi="Arial"/>
                <w:sz w:val="18"/>
                <w:szCs w:val="18"/>
                <w:b w:val="1"/>
                <w:bCs w:val="1"/>
                <w:color w:val="auto"/>
                <w:w w:val="90"/>
              </w:rPr>
              <w:t>Comprehensive Income into Income (Effective Portion)</w:t>
            </w:r>
          </w:p>
        </w:tc>
      </w:tr>
      <w:tr>
        <w:trPr>
          <w:trHeight w:val="210"/>
        </w:trPr>
        <w:tc>
          <w:tcPr>
            <w:tcW w:w="2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5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Location</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June 30,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w:t>
            </w:r>
          </w:p>
        </w:tc>
        <w:tc>
          <w:tcPr>
            <w:tcW w:w="3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(8,334)</w:t>
            </w:r>
          </w:p>
        </w:tc>
        <w:tc>
          <w:tcPr>
            <w:tcW w:w="15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5,042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10,188</w:t>
            </w: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3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(5,216)</w:t>
            </w:r>
          </w:p>
        </w:tc>
        <w:tc>
          <w:tcPr>
            <w:tcW w:w="15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11,577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21,178</w:t>
            </w: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the counterparty could terminate the derivative positions and United would be required to settle its obligations under the agreements.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I leverage ratio of 5.0%, a minimum Tier I risk-based capital ratio of 6.0%, and a minimum total risk-based capital ratio of 10%, it could be declared in default on its derivative obligations. In addition, United has agreements with its derivative counterparties that require United’s debt to maintain an investment grade credit rating from each of the major credit rating agencies. If United’s credit rating is reduced below investment grade, then a termination event is deemed to have occurred and the non-affected counterparty shall have the right, but not the obligation, to terminate all affected transactions under the agreement.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2010, approximately 1,172,000 additional awards could be granted under the plan. Through June 30, 2010, only incentive stock options, nonqualified stock options and restricted stock awards and units had been granted under the plan.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stock option activity for the first six months of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Term (Years)</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r>
      <w:tr>
        <w:trPr>
          <w:trHeight w:val="210"/>
        </w:trPr>
        <w:tc>
          <w:tcPr>
            <w:tcW w:w="3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3,663,453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18.30</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5.12</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(40,105)</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(177,127)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13.17</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Outstanding at June 30, 2010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3,457,221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18.57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2,778,835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weighted average fair value of stock options granted in the second quarter of 2010 and 2009 was $3.34 and $2.88,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the fair value of stock options are presented in the table below.</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90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Risk-free rate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3.35%</w:t>
            </w:r>
          </w:p>
        </w:tc>
      </w:tr>
    </w:tbl>
    <w:p>
      <w:pPr>
        <w:spacing w:after="0" w:line="147"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2010 and 2009 expected volatility was determined using United’s historical monthly volatility for the seventy five months ended December 31, 2009. Seventy five months was chosen to correspond to the expected life of 6.25 years. Compensation expense for stock options was $1.1 million and $1.4 million for the six months ended June 30, 2010 and 2009, respectively. Deferred tax benefits of $430,000 and $498,000, respectively, were included in the determination of income tax benefit for the six-month periods ended June 30, 2010 and 2009.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the six months ended June 30, 2009 was $840. No options were exercised during the first six months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activity in restricted stock awards for the first six months of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Weighted-</w:t>
            </w:r>
          </w:p>
        </w:tc>
      </w:tr>
      <w:tr>
        <w:trPr>
          <w:trHeight w:val="216"/>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Average Grant-</w:t>
            </w: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Date Fair Value</w:t>
            </w:r>
          </w:p>
        </w:tc>
      </w:tr>
      <w:tr>
        <w:trPr>
          <w:trHeight w:val="210"/>
        </w:trPr>
        <w:tc>
          <w:tcPr>
            <w:tcW w:w="6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167,559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(51,902)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14.85</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Cancelled</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116,082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w:t>
            </w:r>
          </w:p>
        </w:tc>
      </w:tr>
      <w:tr>
        <w:trPr>
          <w:trHeight w:val="20"/>
        </w:trPr>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2010 and 2009, compensation expense of $325,000 and $433,000, respectively, was recognized related to restricted stock awards. The total intrinsic value of the restricted stock was $459,000 at June 30, 2010.</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As of June 30, 2010, there was $3.5 million of unrecognized compensation cost related to non-vested stock options and restricted stock awards granted under the plan. That cost is expected to be recognized over a weighted-average period of 1.9 years. The aggregate grant date fair value of options and restricted stock awards that vested during the six months ended June 30, 2010, was $3.5 million.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Common Stock Issued / Common Stock Issuable</w:t>
      </w:r>
    </w:p>
    <w:p>
      <w:pPr>
        <w:spacing w:after="0" w:line="189"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2010 and 2009, United issued 209,091 and 167,873 shares, respectively, and increased capital by $939,000 and $974,000, respectively, through these programs.</w:t>
      </w:r>
    </w:p>
    <w:p>
      <w:pPr>
        <w:spacing w:after="0" w:line="13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June 30, 2010 and 2009, 284,771 and 182,041 shares, respectively, were issuable under the deferred compensation plan.</w:t>
      </w:r>
    </w:p>
    <w:p>
      <w:pPr>
        <w:spacing w:after="0" w:line="16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Late in the third quarter of 2009, United completed a sale of 44,505,000 shares of its common stock at a price of $5.00 per share. The net proceeds of $211 million, after deducting the underwriters’ fees and expenses will be used for general corporate purposes. As a result of the stock sale, and pursuant to the terms of the warrant issued to the U.S. Treasury in connection with United’s participation in the U.S. Treasury’s Capital Purchase Program (“CPP”), the number of shares issuable upon exercise of the warrant issued to the U.S. Treasury in connection with the CPP was reduced by 50%, or 1,099,542 shares. The warrant has an exercise price of $12.28 and expires on the tenth anniversary of the date of issuance.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Stock Dividend</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During the first and second quarters of 2009, United declared quarterly stock dividends at a rate of 1 new share for every 130 shares owned. The stock dividends have been reflected in the financial statements as an issuance of stock with no proceeds rather than a stock split and therefore prior period numbers of shares outstanding have not been adjusted. For the six months ended June 30, 2009, the amount of $30,000 shown in the equity statement as a reduction of capital related to the stock dividend is the amount of cash paid to shareholders for fractional shares. No stock dividends were declared or paid during the first six months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June 30, 2010, December 31, 2009 and June 30, 2009,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June 30, 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217,695</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33,985</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33,985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884,514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900,768</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12,278</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1,111,116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1,169,644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December 31, 2009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226,466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246,466</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63,293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63,293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1,180,330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1,197,222</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21,066</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1,501,847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1,545,557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tcPr>
          <w:p>
            <w:pPr>
              <w:spacing w:after="0"/>
              <w:rPr>
                <w:sz w:val="20"/>
                <w:szCs w:val="20"/>
                <w:color w:val="auto"/>
              </w:rPr>
            </w:pPr>
            <w:r>
              <w:rPr>
                <w:rFonts w:ascii="Arial" w:cs="Arial" w:eastAsia="Arial" w:hAnsi="Arial"/>
                <w:sz w:val="18"/>
                <w:szCs w:val="18"/>
                <w:b w:val="1"/>
                <w:bCs w:val="1"/>
                <w:color w:val="auto"/>
              </w:rPr>
              <w:t>June 30, 2009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Treasuries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39,975</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U.S. Government agencies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207,313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207,313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55,503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55,503</w:t>
            </w:r>
          </w:p>
        </w:tc>
        <w:tc>
          <w:tcPr>
            <w:tcW w:w="0" w:type="dxa"/>
            <w:vAlign w:val="bottom"/>
          </w:tcPr>
          <w:p>
            <w:pPr>
              <w:spacing w:after="0"/>
              <w:rPr>
                <w:sz w:val="1"/>
                <w:szCs w:val="1"/>
                <w:color w:val="auto"/>
              </w:rPr>
            </w:pPr>
          </w:p>
        </w:tc>
      </w:tr>
      <w:tr>
        <w:trPr>
          <w:trHeight w:val="216"/>
        </w:trPr>
        <w:tc>
          <w:tcPr>
            <w:tcW w:w="4120" w:type="dxa"/>
            <w:vAlign w:val="bottom"/>
          </w:tcPr>
          <w:p>
            <w:pPr>
              <w:ind w:left="40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1,485,097</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1,485,097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28,899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30,815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1,847,602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1,851,578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3,976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included in earnings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540" w:right="2280"/>
        <w:spacing w:after="0" w:line="261" w:lineRule="auto"/>
        <w:rPr>
          <w:sz w:val="20"/>
          <w:szCs w:val="20"/>
          <w:color w:val="auto"/>
        </w:rPr>
      </w:pPr>
      <w:r>
        <w:rPr>
          <w:rFonts w:ascii="Arial" w:cs="Arial" w:eastAsia="Arial" w:hAnsi="Arial"/>
          <w:sz w:val="18"/>
          <w:szCs w:val="18"/>
          <w:color w:val="auto"/>
        </w:rPr>
        <w:t>Purchases, sales, issuances, settlements, maturities, paydowns, net Transfers between valuation levels,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-147955</wp:posOffset>
            </wp:positionV>
            <wp:extent cx="59258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June 30, 2010</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Securities</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6"/>
          <w:szCs w:val="16"/>
          <w:u w:val="single" w:color="auto"/>
          <w:color w:val="auto"/>
        </w:rPr>
        <w:t>Available for Sale</w:t>
      </w:r>
    </w:p>
    <w:p>
      <w:pPr>
        <w:spacing w:after="0" w:line="32" w:lineRule="exact"/>
        <w:rPr>
          <w:sz w:val="20"/>
          <w:szCs w:val="20"/>
          <w:color w:val="auto"/>
        </w:rPr>
      </w:pPr>
    </w:p>
    <w:p>
      <w:pPr>
        <w:ind w:left="780" w:hanging="77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38,892</w:t>
      </w:r>
    </w:p>
    <w:p>
      <w:pPr>
        <w:spacing w:after="0" w:line="2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(18)</w:t>
      </w:r>
    </w:p>
    <w:p>
      <w:pPr>
        <w:spacing w:after="0" w:line="32"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(950)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38,511</w:t>
      </w:r>
    </w:p>
    <w:p>
      <w:pPr>
        <w:spacing w:after="0" w:line="21"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(20,608)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18" w:lineRule="exact"/>
        <w:rPr>
          <w:sz w:val="20"/>
          <w:szCs w:val="20"/>
          <w:color w:val="auto"/>
        </w:rPr>
      </w:pPr>
    </w:p>
    <w:p>
      <w:pPr>
        <w:ind w:left="780" w:hanging="77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14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14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7580" w:space="720"/>
            <w:col w:w="1919"/>
          </w:cols>
          <w:pgMar w:left="240" w:top="419" w:right="1440" w:bottom="1440" w:gutter="0" w:footer="0" w:header="0"/>
          <w:type w:val="continuous"/>
        </w:sectPr>
      </w:pPr>
    </w:p>
    <w:p>
      <w:pPr>
        <w:spacing w:after="0" w:line="1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June 30, 2010, December 31, 2009 and June 30, 2009,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June 30, 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Loans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140,807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140,807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211,493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211,493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120" w:type="dxa"/>
            <w:vAlign w:val="bottom"/>
            <w:tcBorders>
              <w:bottom w:val="single" w:sz="8" w:color="auto"/>
            </w:tcBorders>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Loans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153,038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153,038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81,213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234,251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June 30, 2009</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120" w:type="dxa"/>
            <w:vAlign w:val="bottom"/>
            <w:tcBorders>
              <w:bottom w:val="single" w:sz="8" w:color="auto"/>
            </w:tcBorders>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Loans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174,005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174,005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86,730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86,730</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235,590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235,590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496,325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496,325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w w:val="97"/>
              </w:rPr>
              <w:t>Assets and Liabilities Not Measured at Fair Value</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4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June 30, 2010, December 31, 2009 and June 30, 2009 the fair value of interest rate contracts used for balance sheet management was an asset of approximately $1.2 million, $10.7 million and $30.8 million, respectively.</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53"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8"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9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June 30, 2010, December 31, 2009 June 30,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300" w:type="dxa"/>
            <w:vAlign w:val="bottom"/>
            <w:gridSpan w:val="4"/>
          </w:tcPr>
          <w:p>
            <w:pPr>
              <w:ind w:left="460"/>
              <w:spacing w:after="0"/>
              <w:rPr>
                <w:sz w:val="20"/>
                <w:szCs w:val="20"/>
                <w:color w:val="auto"/>
              </w:rPr>
            </w:pPr>
            <w:r>
              <w:rPr>
                <w:rFonts w:ascii="Arial" w:cs="Arial" w:eastAsia="Arial" w:hAnsi="Arial"/>
                <w:sz w:val="18"/>
                <w:szCs w:val="18"/>
                <w:b w:val="1"/>
                <w:bCs w:val="1"/>
                <w:color w:val="auto"/>
              </w:rPr>
              <w:t>June 30, 2010</w:t>
            </w:r>
          </w:p>
        </w:tc>
        <w:tc>
          <w:tcPr>
            <w:tcW w:w="23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 2009</w:t>
            </w:r>
          </w:p>
        </w:tc>
        <w:tc>
          <w:tcPr>
            <w:tcW w:w="20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June 30, 2009</w:t>
            </w:r>
          </w:p>
        </w:tc>
      </w:tr>
      <w:tr>
        <w:trPr>
          <w:trHeight w:val="191"/>
        </w:trPr>
        <w:tc>
          <w:tcPr>
            <w:tcW w:w="264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9"/>
              </w:rPr>
              <w:t>Carrying</w:t>
            </w:r>
          </w:p>
        </w:tc>
        <w:tc>
          <w:tcPr>
            <w:tcW w:w="8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Carrying</w:t>
            </w: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Carrying</w:t>
            </w: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64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Fair Value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$4,698,919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$4,407,376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$4,995,874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$4,529,755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$5,367,409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$5,369,542</w:t>
            </w:r>
          </w:p>
        </w:tc>
      </w:tr>
      <w:tr>
        <w:trPr>
          <w:trHeight w:val="216"/>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held to maturity</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322,148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327,497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6,329,512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6,350,449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6,627,834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6,660,196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6,848,760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6,893,851</w:t>
            </w:r>
          </w:p>
        </w:tc>
      </w:tr>
      <w:tr>
        <w:trPr>
          <w:trHeight w:val="202"/>
        </w:trPr>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Federal Home Loan Bank</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40" w:type="dxa"/>
            <w:vAlign w:val="bottom"/>
          </w:tcPr>
          <w:p>
            <w:pPr>
              <w:ind w:left="400"/>
              <w:spacing w:after="0"/>
              <w:rPr>
                <w:sz w:val="20"/>
                <w:szCs w:val="20"/>
                <w:color w:val="auto"/>
              </w:rPr>
            </w:pPr>
            <w:r>
              <w:rPr>
                <w:rFonts w:ascii="Arial" w:cs="Arial" w:eastAsia="Arial" w:hAnsi="Arial"/>
                <w:sz w:val="18"/>
                <w:szCs w:val="18"/>
                <w:color w:val="auto"/>
              </w:rPr>
              <w:t>advances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104,138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110,964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114,501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119,945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283,292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290,908</w:t>
            </w:r>
          </w:p>
        </w:tc>
      </w:tr>
      <w:tr>
        <w:trPr>
          <w:trHeight w:val="216"/>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150,106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122,949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150,066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111,561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150,026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87,907</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Reclassifications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2009 amounts have been reclassified to conform to the 2010 presentation.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Transaction with Fletcher International</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carrying value. The non-performing assets sale transaction closed on April 30, 2010. The consideration for the sale consisted of $20.6 million in cash and a loan for $82.4 million. As part of the agreement, Fletcher received a warrant to acquire 7,058,824 shares of United’s common stock at a price of $4.25 per share.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$5.25 per share (12,380,952 shares). If Fletcher has not purchased all of the Series C Convertible Preferred Stock by May 26, 2011, it must pay United 5% of the commitment amount not purchased by such date, and it must pay United an additional 5% of the commitment amount not purchased by May 26, 2012. In addition, Fletcher will receive an additional warrant to purchase $35 million in common stock at $6.02 per share (5,813,953 shares) when it purchases the last $35 million of Series C Convertible Preferred Stock. The net shares to be delivered upon cashless exercise will be less than what would have been issuable if the warrant had been exercised for cash.</w:t>
      </w:r>
    </w:p>
    <w:p>
      <w:pPr>
        <w:spacing w:after="0" w:line="12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 per share amounts).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Fair Value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Fair</w:t>
            </w:r>
          </w:p>
        </w:tc>
      </w:tr>
      <w:tr>
        <w:trPr>
          <w:trHeight w:val="234"/>
        </w:trPr>
        <w:tc>
          <w:tcPr>
            <w:tcW w:w="4940" w:type="dxa"/>
            <w:vAlign w:val="bottom"/>
          </w:tcPr>
          <w:p>
            <w:pPr>
              <w:spacing w:after="0"/>
              <w:rPr>
                <w:sz w:val="20"/>
                <w:szCs w:val="20"/>
                <w:color w:val="auto"/>
              </w:rPr>
            </w:pPr>
          </w:p>
        </w:tc>
        <w:tc>
          <w:tcPr>
            <w:tcW w:w="1960" w:type="dxa"/>
            <w:vAlign w:val="bottom"/>
          </w:tcPr>
          <w:p>
            <w:pPr>
              <w:ind w:left="220"/>
              <w:spacing w:after="0"/>
              <w:rPr>
                <w:sz w:val="20"/>
                <w:szCs w:val="20"/>
                <w:color w:val="auto"/>
              </w:rPr>
            </w:pPr>
            <w:r>
              <w:rPr>
                <w:rFonts w:ascii="Arial" w:cs="Arial" w:eastAsia="Arial" w:hAnsi="Arial"/>
                <w:sz w:val="18"/>
                <w:szCs w:val="18"/>
                <w:b w:val="1"/>
                <w:bCs w:val="1"/>
                <w:color w:val="auto"/>
              </w:rPr>
              <w:t>Valuation Approach</w:t>
            </w:r>
          </w:p>
        </w:tc>
        <w:tc>
          <w:tcPr>
            <w:tcW w:w="24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Heirarchy</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Value</w:t>
            </w:r>
          </w:p>
        </w:tc>
      </w:tr>
      <w:tr>
        <w:trPr>
          <w:trHeight w:val="191"/>
        </w:trPr>
        <w:tc>
          <w:tcPr>
            <w:tcW w:w="49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Warrants Issued / Assets Transferred to Fletcher at Fair</w:t>
            </w:r>
          </w:p>
        </w:tc>
        <w:tc>
          <w:tcPr>
            <w:tcW w:w="19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4940" w:type="dxa"/>
            <w:vAlign w:val="bottom"/>
          </w:tcPr>
          <w:p>
            <w:pPr>
              <w:ind w:left="200"/>
              <w:spacing w:after="0" w:line="201" w:lineRule="exact"/>
              <w:rPr>
                <w:sz w:val="20"/>
                <w:szCs w:val="20"/>
                <w:color w:val="auto"/>
              </w:rPr>
            </w:pPr>
            <w:r>
              <w:rPr>
                <w:rFonts w:ascii="Arial" w:cs="Arial" w:eastAsia="Arial" w:hAnsi="Arial"/>
                <w:sz w:val="18"/>
                <w:szCs w:val="18"/>
                <w:color w:val="auto"/>
                <w:w w:val="95"/>
              </w:rPr>
              <w:t>Warrant to purchase $30 million in common stock at $4.25 per</w:t>
            </w: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Black-Scholes</w:t>
            </w:r>
          </w:p>
        </w:tc>
        <w:tc>
          <w:tcPr>
            <w:tcW w:w="240" w:type="dxa"/>
            <w:vAlign w:val="bottom"/>
          </w:tcPr>
          <w:p>
            <w:pPr>
              <w:spacing w:after="0"/>
              <w:rPr>
                <w:sz w:val="17"/>
                <w:szCs w:val="17"/>
                <w:color w:val="auto"/>
              </w:rPr>
            </w:pPr>
          </w:p>
        </w:tc>
        <w:tc>
          <w:tcPr>
            <w:tcW w:w="1380" w:type="dxa"/>
            <w:vAlign w:val="bottom"/>
            <w:gridSpan w:val="3"/>
          </w:tcPr>
          <w:p>
            <w:pPr>
              <w:jc w:val="center"/>
              <w:ind w:right="400"/>
              <w:spacing w:after="0" w:line="201" w:lineRule="exact"/>
              <w:rPr>
                <w:sz w:val="20"/>
                <w:szCs w:val="20"/>
                <w:color w:val="auto"/>
              </w:rPr>
            </w:pPr>
            <w:r>
              <w:rPr>
                <w:rFonts w:ascii="Arial" w:cs="Arial" w:eastAsia="Arial" w:hAnsi="Arial"/>
                <w:sz w:val="18"/>
                <w:szCs w:val="18"/>
                <w:color w:val="auto"/>
                <w:w w:val="92"/>
              </w:rPr>
              <w:t>Level 3</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940" w:type="dxa"/>
            <w:vAlign w:val="bottom"/>
          </w:tcPr>
          <w:p>
            <w:pPr>
              <w:ind w:left="400"/>
              <w:spacing w:after="0"/>
              <w:rPr>
                <w:sz w:val="20"/>
                <w:szCs w:val="20"/>
                <w:color w:val="auto"/>
              </w:rPr>
            </w:pPr>
            <w:r>
              <w:rPr>
                <w:rFonts w:ascii="Arial" w:cs="Arial" w:eastAsia="Arial" w:hAnsi="Arial"/>
                <w:sz w:val="18"/>
                <w:szCs w:val="18"/>
                <w:color w:val="auto"/>
              </w:rPr>
              <w:t>share</w:t>
            </w:r>
          </w:p>
        </w:tc>
        <w:tc>
          <w:tcPr>
            <w:tcW w:w="1960" w:type="dxa"/>
            <w:vAlign w:val="bottom"/>
          </w:tcPr>
          <w:p>
            <w:pPr>
              <w:spacing w:after="0"/>
              <w:rPr>
                <w:sz w:val="20"/>
                <w:szCs w:val="20"/>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17,577</w:t>
            </w: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to purchase convertible preferred stock and warrant</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Monte-Carlo Simulation</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2"/>
              </w:rPr>
              <w:t>Level 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22,236</w:t>
            </w:r>
          </w:p>
        </w:tc>
      </w:tr>
      <w:tr>
        <w:trPr>
          <w:trHeight w:val="205"/>
        </w:trPr>
        <w:tc>
          <w:tcPr>
            <w:tcW w:w="4940" w:type="dxa"/>
            <w:vAlign w:val="bottom"/>
          </w:tcPr>
          <w:p>
            <w:pPr>
              <w:ind w:left="400"/>
              <w:spacing w:after="0" w:line="205" w:lineRule="exact"/>
              <w:rPr>
                <w:sz w:val="20"/>
                <w:szCs w:val="20"/>
                <w:color w:val="auto"/>
              </w:rPr>
            </w:pPr>
            <w:r>
              <w:rPr>
                <w:rFonts w:ascii="Arial" w:cs="Arial" w:eastAsia="Arial" w:hAnsi="Arial"/>
                <w:sz w:val="18"/>
                <w:szCs w:val="18"/>
                <w:b w:val="1"/>
                <w:bCs w:val="1"/>
                <w:color w:val="auto"/>
                <w:w w:val="99"/>
              </w:rPr>
              <w:t>Fair value of equity instruments recognized in capital</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4940" w:type="dxa"/>
            <w:vAlign w:val="bottom"/>
          </w:tcPr>
          <w:p>
            <w:pPr>
              <w:ind w:left="600"/>
              <w:spacing w:after="0"/>
              <w:rPr>
                <w:sz w:val="20"/>
                <w:szCs w:val="20"/>
                <w:color w:val="auto"/>
              </w:rPr>
            </w:pPr>
            <w:r>
              <w:rPr>
                <w:rFonts w:ascii="Arial" w:cs="Arial" w:eastAsia="Arial" w:hAnsi="Arial"/>
                <w:sz w:val="18"/>
                <w:szCs w:val="18"/>
                <w:b w:val="1"/>
                <w:bCs w:val="1"/>
                <w:color w:val="auto"/>
              </w:rPr>
              <w:t>surplus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39,813</w:t>
            </w:r>
          </w:p>
        </w:tc>
      </w:tr>
      <w:tr>
        <w:trPr>
          <w:trHeight w:val="202"/>
        </w:trPr>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Foreclosed properties transferred under Asset Purchase</w:t>
            </w: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Appraised Value</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Level 2</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33,434</w:t>
            </w:r>
          </w:p>
        </w:tc>
      </w:tr>
      <w:tr>
        <w:trPr>
          <w:trHeight w:val="202"/>
        </w:trPr>
        <w:tc>
          <w:tcPr>
            <w:tcW w:w="4940" w:type="dxa"/>
            <w:vAlign w:val="bottom"/>
          </w:tcPr>
          <w:p>
            <w:pPr>
              <w:ind w:left="200"/>
              <w:spacing w:after="0" w:line="201" w:lineRule="exact"/>
              <w:rPr>
                <w:sz w:val="20"/>
                <w:szCs w:val="20"/>
                <w:color w:val="auto"/>
              </w:rPr>
            </w:pPr>
            <w:r>
              <w:rPr>
                <w:rFonts w:ascii="Arial" w:cs="Arial" w:eastAsia="Arial" w:hAnsi="Arial"/>
                <w:sz w:val="18"/>
                <w:szCs w:val="18"/>
                <w:color w:val="auto"/>
              </w:rPr>
              <w:t>Nonperforming loans transferred under Asset Purchase</w:t>
            </w: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1"/>
              </w:rPr>
              <w:t>Collateral Appraised Value</w:t>
            </w:r>
          </w:p>
        </w:tc>
        <w:tc>
          <w:tcPr>
            <w:tcW w:w="240" w:type="dxa"/>
            <w:vAlign w:val="bottom"/>
          </w:tcPr>
          <w:p>
            <w:pPr>
              <w:spacing w:after="0"/>
              <w:rPr>
                <w:sz w:val="17"/>
                <w:szCs w:val="17"/>
                <w:color w:val="auto"/>
              </w:rPr>
            </w:pPr>
          </w:p>
        </w:tc>
        <w:tc>
          <w:tcPr>
            <w:tcW w:w="1380" w:type="dxa"/>
            <w:vAlign w:val="bottom"/>
            <w:gridSpan w:val="3"/>
          </w:tcPr>
          <w:p>
            <w:pPr>
              <w:jc w:val="center"/>
              <w:ind w:right="400"/>
              <w:spacing w:after="0" w:line="201" w:lineRule="exact"/>
              <w:rPr>
                <w:sz w:val="20"/>
                <w:szCs w:val="20"/>
                <w:color w:val="auto"/>
              </w:rPr>
            </w:pPr>
            <w:r>
              <w:rPr>
                <w:rFonts w:ascii="Arial" w:cs="Arial" w:eastAsia="Arial" w:hAnsi="Arial"/>
                <w:sz w:val="18"/>
                <w:szCs w:val="18"/>
                <w:color w:val="auto"/>
                <w:w w:val="92"/>
              </w:rPr>
              <w:t>Level 2</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69,655</w:t>
            </w:r>
          </w:p>
        </w:tc>
      </w:tr>
      <w:tr>
        <w:trPr>
          <w:trHeight w:val="27"/>
        </w:trPr>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103,089</w:t>
            </w:r>
          </w:p>
        </w:tc>
      </w:tr>
      <w:tr>
        <w:trPr>
          <w:trHeight w:val="223"/>
        </w:trPr>
        <w:tc>
          <w:tcPr>
            <w:tcW w:w="4940" w:type="dxa"/>
            <w:vAlign w:val="bottom"/>
          </w:tcPr>
          <w:p>
            <w:pPr>
              <w:ind w:left="600"/>
              <w:spacing w:after="0"/>
              <w:rPr>
                <w:sz w:val="20"/>
                <w:szCs w:val="20"/>
                <w:color w:val="auto"/>
              </w:rPr>
            </w:pPr>
            <w:r>
              <w:rPr>
                <w:rFonts w:ascii="Arial" w:cs="Arial" w:eastAsia="Arial" w:hAnsi="Arial"/>
                <w:sz w:val="18"/>
                <w:szCs w:val="18"/>
                <w:color w:val="auto"/>
                <w:w w:val="97"/>
              </w:rPr>
              <w:t>Total value of assets and equity instruments transferred</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8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4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Notes Receivable Received in Exchange at Fair</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1960" w:type="dxa"/>
            <w:vAlign w:val="bottom"/>
          </w:tcPr>
          <w:p>
            <w:pP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20,618</w:t>
            </w: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Notes receivable (par value $82,471, net of $4,531 discount)</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2"/>
              </w:rPr>
              <w:t>Level 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77,940</w:t>
            </w:r>
          </w:p>
        </w:tc>
      </w:tr>
      <w:tr>
        <w:trPr>
          <w:trHeight w:val="223"/>
        </w:trPr>
        <w:tc>
          <w:tcPr>
            <w:tcW w:w="494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8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Fair value of assets and equity instruments transferred in excess</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cash and notes received</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44,344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Transaction fees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1,005</w:t>
            </w:r>
          </w:p>
        </w:tc>
      </w:tr>
      <w:tr>
        <w:trPr>
          <w:trHeight w:val="27"/>
        </w:trPr>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9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45,349</w:t>
            </w:r>
          </w:p>
        </w:tc>
      </w:tr>
      <w:tr>
        <w:trPr>
          <w:trHeight w:val="20"/>
        </w:trPr>
        <w:tc>
          <w:tcPr>
            <w:tcW w:w="4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114"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14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Discontinued Operations</w:t>
      </w:r>
    </w:p>
    <w:p>
      <w:pPr>
        <w:spacing w:after="0" w:line="202"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Income for all periods presented. The net results of operations from Brintech are reported on a separate line on the Consolidated Statement of Income titled “(Loss) income from discontinued operations, net of income taxes.” The gain from the sale, net of income taxes and selling costs, is presented on a separate line titled “Gain from sale of subsidiary, net of income taxes and selling costs.”</w:t>
      </w:r>
    </w:p>
    <w:p>
      <w:pPr>
        <w:sectPr>
          <w:pgSz w:w="11900" w:h="16838" w:orient="portrait"/>
          <w:cols w:equalWidth="0" w:num="1">
            <w:col w:w="10219"/>
          </w:cols>
          <w:pgMar w:left="240" w:top="419" w:right="1440" w:bottom="501"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01"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4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contained in this Form 10-Q and set forth in our Annual Report on Form 10-K for the year ended December 31, 2009, as well as the following:</w:t>
      </w:r>
    </w:p>
    <w:p>
      <w:pPr>
        <w:spacing w:after="0" w:line="161" w:lineRule="exact"/>
        <w:rPr>
          <w:sz w:val="20"/>
          <w:szCs w:val="20"/>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become profitable;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raise capital consistent with our capital plan;</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maintain liquidity or access other sources of funding;</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success of the local economies in which we operate;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accounting and reporting policies of United;</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adverse effects on future earnings resulting from non-cash charges for goodwill impairment;</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fully realize our deferred tax asset balances;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United States Department of Treasury may change the terms of our Series B Preferred Stock;</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risks with respect to future expansion and acquisitions;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spacing w:after="0" w:line="143"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board resolutions, informal memorandums of understanding or formal enforcement actions imposed by regulators that occur, or any such proceedings or enforcement actions that is more severe than we anticipate.</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All written or oral forward-looking statements attributable to us or any person acting on our behalf made after the date of this prospectus supplement are expressly qualified in their entirety by the risk factors and cautionary statements contained in this Form 10-Q and set forth in our Annual Report on Form 10-K for the year ended December 31, 2009.</w:t>
      </w:r>
    </w:p>
    <w:p>
      <w:pPr>
        <w:sectPr>
          <w:pgSz w:w="11900" w:h="16838" w:orient="portrait"/>
          <w:cols w:equalWidth="0" w:num="1">
            <w:col w:w="10219"/>
          </w:cols>
          <w:pgMar w:left="240" w:top="419" w:right="1440" w:bottom="13" w:gutter="0" w:footer="0" w:header="0"/>
        </w:sectPr>
      </w:pPr>
    </w:p>
    <w:bookmarkStart w:id="24" w:name="page25"/>
    <w:bookmarkEnd w:id="24"/>
    <w:p>
      <w:pPr>
        <w:ind w:left="37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 Inc. (“United”) and its subsidiaries and should be read in conjunction with the consolidated financial statements and accompanying notes.</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June 30, 2010, United had total consolidated assets of $7.7 billion, total loans of $4.9 billion, excluding the loans acquired from Southern Community Bank (“SCB”) that are covered by loss sharing agreements and therefore have a different risk profile, total deposits of $6.3 billion and stockholders’ equity of $904 million.</w:t>
      </w:r>
    </w:p>
    <w:p>
      <w:pPr>
        <w:spacing w:after="0" w:line="14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Georgia MSA”), the Gainesville, Georgia MSA, coastal Georgia, western North Carolina, and east Tennessee. On March 31, 2010, United sold Brintech, Inc., (“Brintech”) a consulting services firm for the financial services industry, resulting in a pre-tax gain of $2.1 million, net of selling costs. The income statements for all periods presented reflect Brintech as a discontinued operation with revenue, expenses and income taxes related to Brintech removed from revenue, expenses, income taxes and loss from continuing operations. The balance sheet and cash flow statement have not been adjusted to reflect Brintech as a discontinued operation as Brintech’s assets and contribution to cash flows were not material.</w:t>
      </w:r>
    </w:p>
    <w:p>
      <w:pPr>
        <w:spacing w:after="0" w:line="15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Operating loss from continuing operations and operating loss from continuing operations per diluted share are non-GAAP performance measures. United’s management believes that operating performance is useful in analyzing United’s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29.</w:t>
      </w:r>
    </w:p>
    <w:p>
      <w:pPr>
        <w:spacing w:after="0" w:line="14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United reported a net operating loss from continuing operations of $59.5 million for the second quarter of 2010. This compared to a net operating loss from continuing operations of $23.1 million for the second quarter of 2009. The increase in the net operating loss from continuing operations was primarily due to an after-tax loss of $30.0 million related to a transaction with Fletcher International to dispose of nonperforming assets in the second quarter of 2010. The net operating loss from continuing operations in the second quarter of 2009 excluded a non-recurring bargain purchase gain of $7.1 million, net of tax, for the acquisition of SCB. Diluted operating loss from continuing operations per common share was $.66 for the second quarter of 2010, compared to a diluted operating loss from continuing operations per common share of $.53 for the second quarter of 2009. The loss on sale of nonperforming assets to Fletcher added approximately $.32 to the diluted operating loss from continuing operations for the second quarter of 2010. The gain on acquisition of SCB, which has been excluded from operating earnings, represented $.15 of earnings per share for the second quarter of 2009, reducing the diluted loss from continuing operations per share to $.38. The second quarter of 2010 loss reflects the continuing recessionary economic environment and elevated credit and foreclosed property losses primarily resulting from the weak residential construction and housing market.</w:t>
      </w:r>
    </w:p>
    <w:p>
      <w:pPr>
        <w:spacing w:after="0" w:line="12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For the six months ended June 30, 2010, United reported a net operating loss from continuing operations of $94.0 million, which includes the $30.0 million after-tax loss from the Fletcher transaction. This compared to a net operating loss from continuing operations of $55.3 million for the six months ended June 30, 2009. Net loss for the six months ended June 30, 2010, which includes discontinued operations, totaled $92.8 million. For the same period of 2009, the net loss of $120 million included the $7.1 million gain on acquisition, net of tax, a $70 million charge for goodwill impairment and a $1.8 million charge for a reduction in workforce, net of tax. Diluted operating loss from continuing operations per common share was $1.05 for the six months ended June 30, 2010, compared with diluted operating loss from continuing operations per common share of $1.24 for the same period in 2009. The loss on sale of nonperforming assets in 2010 represented $.32 of loss per share. The diluted loss per share, which includes discontinued operations was $1.04 for the first six months of 2010. The gain on acquisition, goodwill impairment and severance costs represented $.15 of earnings per share, $1.45 of loss per share and $.04 of loss per share, respectively, for the six months ended June 30, 2009, bringing the diluted loss per share to $2.57.</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United’s approach to managing through the challenging economic cycle has been to aggressively deal with its credit problems and dispose of troubled assets quickly, taking losses as necessary. As a result, United’s provision for loan losses was $61.5 million for the three months ended June 30, 2010, compared to $60 million for the same period in 2009. Net charge-offs for the second quarter of 2010 were $61.3 million, compared to $58.3 million for the second quarter of 2009. For the six months ended June 30, 2010, United’s provision for loan losses was $136 million, compared to $125 million for the same period in 2009. Net charge-offs for the first six months of 2010 were $118 million, compared to $102 million for the first six months of 2009. As of June 30, 2010, United’s allowance for loan losses of $174.1 million was 3.57% of loans, compared to $146 million, or 2.64% of total loans at June 30, 2009. Nonperforming assets of $348 million, which excludes assets of SCB that are covered by loss sharing agreements with the FDIC, decreased to 4.55% of total assets at June 30, 2010, compared to 4.81% as of December 31, 2009, and 4.63% as of June 30, 2009. This decrease was the result of the sale of $103 million in non-performing assets to Fletcher International.</w:t>
      </w:r>
    </w:p>
    <w:p>
      <w:pPr>
        <w:spacing w:after="0" w:line="14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Taxable equivalent net interest revenue was $61.6 million for the second quarter of 2010, compared to $60.9 million for the same period of 2009. The increase in net interest revenue was the result of the 32 basis point increase in the net interest margin, which increased from 3.28% for the second quarter of 2009 to 3.60% for the second quarter of 2010. For the six months ended June 30, 2010, taxable equivalent net interest revenue was $123 million, compared to $118 million for the same period of 2009. Net interest margin increased from 3.18% for the six months ended June 30, 2009 to 3.55% for the same period in 2010. The margin improvement resulted from management’s ongoing efforts to manage loan and deposit pricing. The increase in the net interest margin more than offset the effect on net interest revenue of the $586 million decrease in average loan balances, due primarily to the run-off of the residential construction portfolio.</w:t>
      </w:r>
    </w:p>
    <w:p>
      <w:pPr>
        <w:sectPr>
          <w:pgSz w:w="11900" w:h="16838" w:orient="portrait"/>
          <w:cols w:equalWidth="0" w:num="1">
            <w:col w:w="10219"/>
          </w:cols>
          <w:pgMar w:left="240" w:top="419" w:right="1440" w:bottom="0" w:gutter="0" w:footer="0" w:header="0"/>
        </w:sectPr>
      </w:pPr>
    </w:p>
    <w:bookmarkStart w:id="26" w:name="page27"/>
    <w:bookmarkEnd w:id="26"/>
    <w:p>
      <w:pPr>
        <w:ind w:left="37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Operating fee revenue, increased $274,000, or 2%, and $117,000, or 1%, from the second quarter and first six months of 2009, respectively. The increase was primarily attributable to securities losses in 2009 and higher service charges and fees that were offset by lower mortgage fees, as refinancing activity continued to slow from the record levels of 2009. Included in the net securities gains for 2010, was a $950,000 impairment loss on a bank trust preferred securities investment, recognized in the first quarter that was more than offset by securities gains. Included in the net securities losses for 2009, was a $744,000 impairment loss on an equity investment in a failed financial institution, which was recognized in the second quarter.</w:t>
      </w:r>
    </w:p>
    <w:p>
      <w:pPr>
        <w:spacing w:after="0" w:line="138"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For the second quarter of 2010, operating expenses of $58.3 million, excluding the $45.3 million loss from the sale of nonperforming assets, were up $4.6 million from the second quarter of 2009. Although United’s expense savings initiatives have been successful in lowering controllable expenses, foreclosed property costs were up $8.8 million from the second quarter of 2009. Other expense was up $3.1 million from the second quarter of 2009 mostly due to a $2.4 million recovery of a disputed charge related to United’s bank owned life insurance policies that had been expensed in a prior period. For the first six months of 2010, operating expenses of $113 million, excluding the $45.3 million loss from the sale of nonperforming assets, were up $7.6 million from the same period of 2009. Foreclosed property expense, which was up $15.3 million, was primarily responsible for the increase from 2009. The increase in foreclosed property expense was partially offset by a $5.7 million decrease in salaries and benefits expense reflecting the 10% staff reduction that began at the end of the first quarter of 2009. Operating expenses for 2009 exclude a $70 million goodwill impairment charge and $2.9 million in severance costs in the first quarter.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fair value measurements, intangible assets and income taxes. In particular, United’s accounting policies related to allowance for loan losses, fair value measurements,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Mergers and Acquisitions</w:t>
      </w:r>
    </w:p>
    <w:p>
      <w:pPr>
        <w:spacing w:after="0" w:line="189"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 xml:space="preserve">On June 19, 2009, the Bank acquired the banking operations of SCB from the FDIC. The Bank acquired $378 million of assets and assumed $367 million of liabilities. The Bank and the FDIC entered loss sharing agreements regarding future losses incurred on loans and foreclosed loan collateral existing at June 19, 2009. Under the terms of the loss sharing agreements, the FDIC will absorb 80% of losses and share in 80% of loss recoveries on the first $109 million of losses, and absorb 95% of losses and share in 95% of loss recoveries on losses exceeding $109 million. The term for loss sharing on 1 to 4 family loans is ten years, while the term for loss sharing on all other loans is five years. The SCB acquisition was accounted for under the purchase method of accounting in accordance with the Financial Accounting Standards Board’s Accounting Standards Codification, Topic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(“ASC 805”). United recorded a gain totaling $11.4 million in the second quarter of 2009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which is a component of fee revenue in the consolidated statement of income. The amount of the gain is equal to the amount by which the fair value of assets purchased exceeded the fair value of liabilities assumed. See Note 3 of the Notes to the unaudited consolidated financial statements for additional information regarding the acquisition.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results of operations of SCB are included in the consolidated statement of income from the acquisition date of June 19, 2009.</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GAAP Reconciliation and Explanation</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This Form 10-Q contains non-GAAP financial measures determined by methods other than in accordance with GAAP. Such non-GAAP financial measures include, among others the following: operating revenue, operating expense, operating (loss) income from continuing operations, operating (loss) income, operating earnings (loss) from continuing operations per share, operating earnings (loss) per share, operating earnings (loss)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29.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20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Effective March 31, 2010, United sold its investment in Brintech. As a result, the operations of Brintech are being accounted for as a discontinued operation. All revenue, including the gain from the sale, expenses and income taxes relating to Brintech have been deconsolidated from the consolidated statement of income and are presented on one line titled “(Loss) income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current banking environment, particularly within the Southeast and United’s footprint, has left many financial institutions with a surplus of foreclosed real estate and nonperforming loans, particularly residential construction. Disposing of these nonperforming assets has become increasingly challenging in this environment as those involved in the business of buying, developing and selling real estate — the typical purchasers of foreclosed properties — have themselves been negatively impacted by the housing market and therefore lack the ability to purchase surplus real estate. The build-up of residential construction inventory and lack of buyers, especially in the non-Atlanta markets, has created an imbalance between supply and demand that has sent prices spiraling downward. As a result, most dispositions of problem assets have occurred only by pricing properties at substantial discounts and incurring significant losses which results in a reduction of capital.</w:t>
      </w:r>
    </w:p>
    <w:p>
      <w:pPr>
        <w:spacing w:after="0" w:line="15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challenge in this environment is to find ways to sell a large quantity of non-performing assets without significantly reducing capital. The transaction with Fletcher International Inc. (“Fletcher Inc.”) and Fletcher International Ltd (“Fletcher Ltd”, together with Fletcher Inc. and their affiliates, “Fletcher”) accomplishes that objective by combining the sale of nonperforming assets with the issuance of equity instruments. Although the transaction with Fletcher is described in more detail below, in essence, Fletcher agreed to acquire certain of United’s more illiquid nonperforming assets and received equity instruments that include a warrant to purchase common stock and the right to purchase convertible preferred stock with an additional warrant to purchase common stock. All of the assets and equity instruments transferred in the transaction were transferred at fair value, which resulted in the recognition of a loss in the consolidated financial statements. The transaction had a slight positive impact on total capital, since the equity instruments exchanged in the transaction increased shareholders’ equity which more than offset the after-tax loss on the transaction.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85"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On April 1, 2010, the Bank entered into an asset purchase and sale agreement (the “Asset Purchase Agreement”) with Fletcher Inc. and five affiliated limited liability companies (“LLCs”) formed by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 The loans accrue interest at a fixed rate of 3.5% and mature in five years. Principal and interest payments will be made quarterly based on a 30-year amortization schedule. Fletcher Inc. also contributed cash and securities to the LLCs equal to 17.5% of the purchase price to pre-fund the estimated carrying costs of the assets for approximately three years. These funds are held in escrow as additional collateral on the loans and cannot be removed by Fletcher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Also on April 1, 2010, United and Fletcher Ltd.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 The Convertible Preferred Stock will bear interest at an annual rate equal to the lesser of 8% or LIBOR + 4%. If all conditions precedent to Fletcher Ltd.’s obligations to purchase the Convertible Preferred Stock have been satisfied and Fletcher Ltd. has not purchased all of the Convertible Preferred Stock by May 26, 2011, it must pay United 5% of the commitment amount not purchased by that date, and it must also pay United an additional 5% of any commitment amount not purchased by May 26, 2012.</w:t>
      </w:r>
    </w:p>
    <w:p>
      <w:pPr>
        <w:spacing w:after="0" w:line="12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Convertible Preferred Stock is redeemable by Fletcher Ltd. at any time into common stock or non-voting Common Stock Equivalent Junior Preferred Stock (“Junior Preferred Stock”) of United, at an equivalent price of $5.25 per share of common stock (equal to 12,380,952 shares of common stock), subject to certain adjustments. After May 26, 2015, if the closing stock price for United’s common stock is above $12.04, United has the right to require conversion and it is United’s intent to convert all of the then outstanding Convertible Preferred Stock into an equivalent amount of common stock or Junior Preferred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Securities Purchase Agreement provides that United shall not effect any conversion or redemption of the Convertible Preferred Stock, and Fletcher Ltd. shall not have the right to convert or redeem any portion of the Convertible Preferred Stock, into common stock to the extent such conversion or redemption would result in aggregate issuances to Fletcher Ltd. in excess of 9.75% of the number of shares of common stock that would be outstanding after giving effect to such conversion or redemption. In the event that United cannot effect a conversion or redemption of the Convertible Preferred Stock into common stock due to this limit, the conversion or redemption shall be effected into an equal number of shares of Junior Preferred Stock.</w:t>
      </w:r>
    </w:p>
    <w:p>
      <w:pPr>
        <w:spacing w:after="0" w:line="138"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$4.25 per common share (cash exercise equal to 7,058,824 shares of common stock). The $35 million warrant price is equivalent to $6.02 per common share (cash exercise equal to 5,813,953 shares of common stock). The warrants may only be exercised by net share settlement (cashless exercise) and are exercisable for nine years from April 1, 2010, subject to limited extension upon certain events specified in the warrant agreement. The net shares to be issued to Fletcher Ltd. upon exercise of the warrants will be less than the total shares that would have been issuable (noted above) if the warrants had been exercised for cash payments.</w:t>
      </w:r>
    </w:p>
    <w:p>
      <w:pPr>
        <w:spacing w:after="0" w:line="12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issuance of the securities described above and the increase in United’s authorized common stock in connection with such issuances required shareholder approval pursuant to the listing requirements of the Nasdaq Global Select Market, which was received at United’s annual meeting of shareholders on May 26, 2010.</w:t>
      </w:r>
    </w:p>
    <w:p>
      <w:pPr>
        <w:spacing w:after="0" w:line="14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Also, as part of the transaction, United and Fletcher entered into a servicing agreement whereby United will act as servicer of the nonperforming assets for Fletcher in exchange for a servicing fee of 20 basis points. The LLCs will pay all direct costs associated with the nonperforming loans and foreclosed properties. Because the servicing arrangement is considered a normal servicing arrangement and the fee is appropriate for the services provided, United did not recognize a servicing asset or liability related to the servicing agreement. Also as part of the servicing agreement, Fletcher maintains decision making authority with regard to the nonperforming loans and foreclosed properties except for minor, routine matters.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85"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The transaction with Fletcher encompasses the sale of nonperforming assets under the Asset Purchase Agreement and the issuance of equity instruments under the Securities Purchase Agreement. 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143"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151"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 per share amounts).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w w:val="97"/>
              </w:rPr>
              <w:t>Fair Value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w:t>
            </w:r>
          </w:p>
        </w:tc>
      </w:tr>
      <w:tr>
        <w:trPr>
          <w:trHeight w:val="234"/>
        </w:trPr>
        <w:tc>
          <w:tcPr>
            <w:tcW w:w="4860" w:type="dxa"/>
            <w:vAlign w:val="bottom"/>
          </w:tcPr>
          <w:p>
            <w:pPr>
              <w:spacing w:after="0"/>
              <w:rPr>
                <w:sz w:val="20"/>
                <w:szCs w:val="20"/>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Valuation Approach</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Heirarchy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Value</w:t>
            </w:r>
          </w:p>
        </w:tc>
      </w:tr>
      <w:tr>
        <w:trPr>
          <w:trHeight w:val="191"/>
        </w:trPr>
        <w:tc>
          <w:tcPr>
            <w:tcW w:w="48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Warrants Issued / Assets Transferred to Fletcher at Fair</w:t>
            </w:r>
          </w:p>
        </w:tc>
        <w:tc>
          <w:tcPr>
            <w:tcW w:w="17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4"/>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2"/>
        </w:trPr>
        <w:tc>
          <w:tcPr>
            <w:tcW w:w="4860" w:type="dxa"/>
            <w:vAlign w:val="bottom"/>
          </w:tcPr>
          <w:p>
            <w:pPr>
              <w:ind w:left="200"/>
              <w:spacing w:after="0" w:line="201" w:lineRule="exact"/>
              <w:rPr>
                <w:sz w:val="20"/>
                <w:szCs w:val="20"/>
                <w:color w:val="auto"/>
              </w:rPr>
            </w:pPr>
            <w:r>
              <w:rPr>
                <w:rFonts w:ascii="Arial" w:cs="Arial" w:eastAsia="Arial" w:hAnsi="Arial"/>
                <w:sz w:val="18"/>
                <w:szCs w:val="18"/>
                <w:color w:val="auto"/>
                <w:w w:val="99"/>
              </w:rPr>
              <w:t>Warrant to purchase $30 million in common stock at $4.25</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86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2160" w:type="dxa"/>
            <w:vAlign w:val="bottom"/>
            <w:gridSpan w:val="2"/>
          </w:tcPr>
          <w:p>
            <w:pPr>
              <w:spacing w:after="0"/>
              <w:rPr>
                <w:sz w:val="20"/>
                <w:szCs w:val="20"/>
                <w:color w:val="auto"/>
              </w:rPr>
            </w:pPr>
            <w:r>
              <w:rPr>
                <w:rFonts w:ascii="Arial" w:cs="Arial" w:eastAsia="Arial" w:hAnsi="Arial"/>
                <w:sz w:val="18"/>
                <w:szCs w:val="18"/>
                <w:color w:val="auto"/>
              </w:rPr>
              <w:t>Black-Scholes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92"/>
              </w:rPr>
              <w:t>Level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17,577</w:t>
            </w:r>
            <w:r>
              <w:rPr>
                <w:rFonts w:ascii="Arial" w:cs="Arial" w:eastAsia="Arial" w:hAnsi="Arial"/>
                <w:sz w:val="15"/>
                <w:szCs w:val="15"/>
                <w:color w:val="auto"/>
              </w:rPr>
              <w:t>(1)</w:t>
            </w: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Option to purchase convertible preferred stock and warrant</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Monte-Carlo Simulation</w:t>
            </w:r>
          </w:p>
        </w:tc>
        <w:tc>
          <w:tcPr>
            <w:tcW w:w="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Level 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22,236</w:t>
            </w:r>
            <w:r>
              <w:rPr>
                <w:rFonts w:ascii="Arial" w:cs="Arial" w:eastAsia="Arial" w:hAnsi="Arial"/>
                <w:sz w:val="15"/>
                <w:szCs w:val="15"/>
                <w:color w:val="auto"/>
              </w:rPr>
              <w:t>(2)</w:t>
            </w:r>
          </w:p>
        </w:tc>
      </w:tr>
      <w:tr>
        <w:trPr>
          <w:trHeight w:val="205"/>
        </w:trPr>
        <w:tc>
          <w:tcPr>
            <w:tcW w:w="4860" w:type="dxa"/>
            <w:vAlign w:val="bottom"/>
          </w:tcPr>
          <w:p>
            <w:pPr>
              <w:ind w:left="400"/>
              <w:spacing w:after="0" w:line="205" w:lineRule="exact"/>
              <w:rPr>
                <w:sz w:val="20"/>
                <w:szCs w:val="20"/>
                <w:color w:val="auto"/>
              </w:rPr>
            </w:pPr>
            <w:r>
              <w:rPr>
                <w:rFonts w:ascii="Arial" w:cs="Arial" w:eastAsia="Arial" w:hAnsi="Arial"/>
                <w:sz w:val="18"/>
                <w:szCs w:val="18"/>
                <w:b w:val="1"/>
                <w:bCs w:val="1"/>
                <w:color w:val="auto"/>
                <w:w w:val="97"/>
              </w:rPr>
              <w:t>Fair value of equity instruments recognized in capital</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4860" w:type="dxa"/>
            <w:vAlign w:val="bottom"/>
          </w:tcPr>
          <w:p>
            <w:pPr>
              <w:ind w:left="600"/>
              <w:spacing w:after="0"/>
              <w:rPr>
                <w:sz w:val="20"/>
                <w:szCs w:val="20"/>
                <w:color w:val="auto"/>
              </w:rPr>
            </w:pPr>
            <w:r>
              <w:rPr>
                <w:rFonts w:ascii="Arial" w:cs="Arial" w:eastAsia="Arial" w:hAnsi="Arial"/>
                <w:sz w:val="18"/>
                <w:szCs w:val="18"/>
                <w:b w:val="1"/>
                <w:bCs w:val="1"/>
                <w:color w:val="auto"/>
              </w:rPr>
              <w:t>surplus</w:t>
            </w: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39,813</w:t>
            </w:r>
          </w:p>
        </w:tc>
      </w:tr>
      <w:tr>
        <w:trPr>
          <w:trHeight w:val="202"/>
        </w:trPr>
        <w:tc>
          <w:tcPr>
            <w:tcW w:w="4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Foreclosed properties transferred under Asset Purchase</w:t>
            </w:r>
          </w:p>
        </w:tc>
        <w:tc>
          <w:tcPr>
            <w:tcW w:w="1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Appraised Value</w:t>
            </w:r>
          </w:p>
        </w:tc>
        <w:tc>
          <w:tcPr>
            <w:tcW w:w="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Level 2</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33,434</w:t>
            </w:r>
            <w:r>
              <w:rPr>
                <w:rFonts w:ascii="Arial" w:cs="Arial" w:eastAsia="Arial" w:hAnsi="Arial"/>
                <w:sz w:val="15"/>
                <w:szCs w:val="15"/>
                <w:color w:val="auto"/>
              </w:rPr>
              <w:t>(3)</w:t>
            </w:r>
          </w:p>
        </w:tc>
      </w:tr>
      <w:tr>
        <w:trPr>
          <w:trHeight w:val="202"/>
        </w:trPr>
        <w:tc>
          <w:tcPr>
            <w:tcW w:w="4860" w:type="dxa"/>
            <w:vAlign w:val="bottom"/>
          </w:tcPr>
          <w:p>
            <w:pPr>
              <w:ind w:left="200"/>
              <w:spacing w:after="0" w:line="201" w:lineRule="exact"/>
              <w:rPr>
                <w:sz w:val="20"/>
                <w:szCs w:val="20"/>
                <w:color w:val="auto"/>
              </w:rPr>
            </w:pPr>
            <w:r>
              <w:rPr>
                <w:rFonts w:ascii="Arial" w:cs="Arial" w:eastAsia="Arial" w:hAnsi="Arial"/>
                <w:sz w:val="18"/>
                <w:szCs w:val="18"/>
                <w:color w:val="auto"/>
              </w:rPr>
              <w:t>Nonperforming loans transferred under Asset Purchase</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7"/>
        </w:trPr>
        <w:tc>
          <w:tcPr>
            <w:tcW w:w="486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2160" w:type="dxa"/>
            <w:vAlign w:val="bottom"/>
            <w:gridSpan w:val="2"/>
          </w:tcPr>
          <w:p>
            <w:pPr>
              <w:spacing w:after="0"/>
              <w:rPr>
                <w:sz w:val="20"/>
                <w:szCs w:val="20"/>
                <w:color w:val="auto"/>
              </w:rPr>
            </w:pPr>
            <w:r>
              <w:rPr>
                <w:rFonts w:ascii="Arial" w:cs="Arial" w:eastAsia="Arial" w:hAnsi="Arial"/>
                <w:sz w:val="18"/>
                <w:szCs w:val="18"/>
                <w:color w:val="auto"/>
              </w:rPr>
              <w:t>Collateral Appraised Value</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92"/>
              </w:rPr>
              <w:t>Level 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69,655</w:t>
            </w:r>
            <w:r>
              <w:rPr>
                <w:rFonts w:ascii="Arial" w:cs="Arial" w:eastAsia="Arial" w:hAnsi="Arial"/>
                <w:sz w:val="15"/>
                <w:szCs w:val="15"/>
                <w:color w:val="auto"/>
              </w:rPr>
              <w:t>(3)</w:t>
            </w:r>
          </w:p>
        </w:tc>
      </w:tr>
      <w:tr>
        <w:trPr>
          <w:trHeight w:val="216"/>
        </w:trPr>
        <w:tc>
          <w:tcPr>
            <w:tcW w:w="4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103,089</w:t>
            </w:r>
          </w:p>
        </w:tc>
        <w:tc>
          <w:tcPr>
            <w:tcW w:w="180" w:type="dxa"/>
            <w:vAlign w:val="bottom"/>
            <w:shd w:val="clear" w:color="auto" w:fill="CCEEFF"/>
          </w:tcPr>
          <w:p>
            <w:pPr>
              <w:spacing w:after="0"/>
              <w:rPr>
                <w:sz w:val="18"/>
                <w:szCs w:val="18"/>
                <w:color w:val="auto"/>
              </w:rPr>
            </w:pPr>
          </w:p>
        </w:tc>
      </w:tr>
      <w:tr>
        <w:trPr>
          <w:trHeight w:val="223"/>
        </w:trPr>
        <w:tc>
          <w:tcPr>
            <w:tcW w:w="4860" w:type="dxa"/>
            <w:vAlign w:val="bottom"/>
          </w:tcPr>
          <w:p>
            <w:pPr>
              <w:ind w:left="600"/>
              <w:spacing w:after="0"/>
              <w:rPr>
                <w:sz w:val="20"/>
                <w:szCs w:val="20"/>
                <w:color w:val="auto"/>
              </w:rPr>
            </w:pPr>
            <w:r>
              <w:rPr>
                <w:rFonts w:ascii="Arial" w:cs="Arial" w:eastAsia="Arial" w:hAnsi="Arial"/>
                <w:sz w:val="18"/>
                <w:szCs w:val="18"/>
                <w:color w:val="auto"/>
                <w:w w:val="95"/>
              </w:rPr>
              <w:t>Total value of assets and equity instruments transferred</w:t>
            </w: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18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Cash and Notes Receivable Received in Exchange at Fair</w:t>
            </w:r>
          </w:p>
        </w:tc>
        <w:tc>
          <w:tcPr>
            <w:tcW w:w="1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2160" w:type="dxa"/>
            <w:vAlign w:val="bottom"/>
            <w:gridSpan w:val="2"/>
          </w:tcPr>
          <w:p>
            <w:pPr>
              <w:spacing w:after="0"/>
              <w:rPr>
                <w:sz w:val="20"/>
                <w:szCs w:val="20"/>
                <w:color w:val="auto"/>
              </w:rPr>
            </w:pPr>
            <w:r>
              <w:rPr>
                <w:rFonts w:ascii="Arial" w:cs="Arial" w:eastAsia="Arial" w:hAnsi="Arial"/>
                <w:sz w:val="18"/>
                <w:szCs w:val="18"/>
                <w:color w:val="auto"/>
              </w:rPr>
              <w:t>NA</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20,618</w:t>
            </w: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Notes receivable (par value $82,471, net of $4,531 discount)</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Level 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77,940</w:t>
            </w:r>
            <w:r>
              <w:rPr>
                <w:rFonts w:ascii="Arial" w:cs="Arial" w:eastAsia="Arial" w:hAnsi="Arial"/>
                <w:sz w:val="15"/>
                <w:szCs w:val="15"/>
                <w:color w:val="auto"/>
              </w:rPr>
              <w:t>(4)</w:t>
            </w:r>
          </w:p>
        </w:tc>
      </w:tr>
      <w:tr>
        <w:trPr>
          <w:trHeight w:val="223"/>
        </w:trPr>
        <w:tc>
          <w:tcPr>
            <w:tcW w:w="486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8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Fair value of assets and equity instruments transferred in excess</w:t>
            </w:r>
          </w:p>
        </w:tc>
        <w:tc>
          <w:tcPr>
            <w:tcW w:w="1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cash and notes received</w:t>
            </w:r>
          </w:p>
        </w:tc>
        <w:tc>
          <w:tcPr>
            <w:tcW w:w="1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44,344</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Transaction fees</w:t>
            </w: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r>
      <w:tr>
        <w:trPr>
          <w:trHeight w:val="216"/>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45,349</w:t>
            </w:r>
          </w:p>
        </w:tc>
      </w:tr>
      <w:tr>
        <w:trPr>
          <w:trHeight w:val="439"/>
        </w:trPr>
        <w:tc>
          <w:tcPr>
            <w:tcW w:w="4860" w:type="dxa"/>
            <w:vAlign w:val="bottom"/>
          </w:tcPr>
          <w:p>
            <w:pPr>
              <w:spacing w:after="0"/>
              <w:rPr>
                <w:sz w:val="20"/>
                <w:szCs w:val="20"/>
                <w:color w:val="auto"/>
              </w:rPr>
            </w:pPr>
            <w:r>
              <w:rPr>
                <w:rFonts w:ascii="Arial" w:cs="Arial" w:eastAsia="Arial" w:hAnsi="Arial"/>
                <w:sz w:val="18"/>
                <w:szCs w:val="18"/>
                <w:color w:val="auto"/>
              </w:rPr>
              <w:t>Tax benefit</w:t>
            </w: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(15,367)</w:t>
            </w: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After tax loss</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29,982</w:t>
            </w:r>
          </w:p>
        </w:tc>
        <w:tc>
          <w:tcPr>
            <w:tcW w:w="18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jc w:val="both"/>
        <w:ind w:left="680" w:right="559" w:hanging="348"/>
        <w:spacing w:after="0" w:line="30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$17.6 million value of the $30 million warrant was determined as of April 1, 2010, the date the terms were agreed to and signed. The following modeling assumptions were used: dividend yield — 0%; risk-free interest rate — 3.89%; current stock price — $4.77; term - - 9 years; and volatility — 33%. Although most of the modeling assumptions were based on observable data, because of the subjectivity involved in estimating expected volatility, the valuation is considered Level 3.</w:t>
      </w:r>
    </w:p>
    <w:p>
      <w:pPr>
        <w:spacing w:after="0" w:line="5" w:lineRule="exact"/>
        <w:rPr>
          <w:rFonts w:ascii="Arial" w:cs="Arial" w:eastAsia="Arial" w:hAnsi="Arial"/>
          <w:sz w:val="14"/>
          <w:szCs w:val="14"/>
          <w:color w:val="auto"/>
        </w:rPr>
      </w:pPr>
    </w:p>
    <w:p>
      <w:pPr>
        <w:jc w:val="both"/>
        <w:ind w:left="680" w:right="559" w:hanging="348"/>
        <w:spacing w:after="0" w:line="297"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9" w:lineRule="exact"/>
        <w:rPr>
          <w:rFonts w:ascii="Arial" w:cs="Arial" w:eastAsia="Arial" w:hAnsi="Arial"/>
          <w:sz w:val="14"/>
          <w:szCs w:val="14"/>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32" w:lineRule="exact"/>
        <w:rPr>
          <w:rFonts w:ascii="Arial" w:cs="Arial" w:eastAsia="Arial" w:hAnsi="Arial"/>
          <w:sz w:val="15"/>
          <w:szCs w:val="15"/>
          <w:color w:val="auto"/>
        </w:rPr>
      </w:pPr>
    </w:p>
    <w:p>
      <w:pPr>
        <w:jc w:val="both"/>
        <w:ind w:left="680" w:right="559" w:hanging="348"/>
        <w:spacing w:after="0" w:line="291"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 reported a net operating loss from continuing operations of $59.5 million for the second quarter of 2010, which included an after-tax loss of $30 million resulting from the sale of nonperforming assets to Fletcher International. This compared to a net operating loss from continuing operations of $23.1 million for the same period in 2009. The 2009 net operating loss from continuing operations excluded a gain on the acquisition of SCB of $7.1 million, net of tax expense. Including the $7.1 million gain on acquisition, the net loss from continuing operations for the second quarter of 2009 was $16.0 million. For the second quarter of 2010, diluted operating loss from continuing operations per share was $.66. This compared to diluted operating loss from continuing operations per share of $.53 for the second quarter of 2009. The diluted operating loss from continuing operations per share for the second quarter of 2010 included $.32 in loss per share related to the sale of nonperforming assets. The diluted operating loss from continuing operations per share for the second quarter of 2009 excluded $.15 in earnings related to the gain on acquisition.</w:t>
      </w:r>
    </w:p>
    <w:p>
      <w:pPr>
        <w:spacing w:after="0" w:line="137"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For the first six months of 2010, United reported a net operating loss from continuing operations of $94.0 million, which included the $30.0 million after-tax loss related to the Fletcher transaction. This compared to a net operating loss from continuing operations of $55.3 million for the first six months of 2009, which excluded the $7.1 million gain on acquisition net of tax, a non-recurring, non-cash goodwill impairment charge of $70 million and non-recurring severance costs of $1.8 million. The net loss for the six months ended June 30, 2010, which includes discontinued operations was $92.8 million. Including discontinued operations, the gain on acquisition, goodwill impairment charge and severance costs, net loss was $120 million for the six months ended June 30, 2009. Diluted operating loss from continuing operations per share for the six months ended June 30, 2010 was $1.05 of which the loss on the sale of nonperforming assets to Fletcher represented $.32. This compared to diluted operating loss from continuing operations of $1.24 for the same period in 2009. The diluted operating loss per share for the first six months of 2009 excluded $.15 in earnings per share related to the gain on acquisition and $1.45 and $.04 in loss per share related to the goodwill impairment charge and severance costs, respectively. The net operating losses from continuing operations in the second quarter and first six months of 2010 reflect a higher provision for loan losses, the loss on the sale of nonperforming assets to Fletcher and foreclosed property costs related to the continuing effect of the economic recession and the weak residential construction and housing markets.</w:t>
      </w: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3"/>
                <w:szCs w:val="13"/>
                <w:color w:val="auto"/>
              </w:rPr>
            </w:pPr>
          </w:p>
        </w:tc>
        <w:tc>
          <w:tcPr>
            <w:tcW w:w="1580" w:type="dxa"/>
            <w:vAlign w:val="bottom"/>
            <w:gridSpan w:val="5"/>
          </w:tcPr>
          <w:p>
            <w:pPr>
              <w:jc w:val="right"/>
              <w:ind w:right="600"/>
              <w:spacing w:after="0" w:line="158" w:lineRule="exact"/>
              <w:rPr>
                <w:sz w:val="20"/>
                <w:szCs w:val="20"/>
                <w:color w:val="auto"/>
              </w:rPr>
            </w:pPr>
            <w:r>
              <w:rPr>
                <w:rFonts w:ascii="Arial" w:cs="Arial" w:eastAsia="Arial" w:hAnsi="Arial"/>
                <w:sz w:val="14"/>
                <w:szCs w:val="14"/>
                <w:b w:val="1"/>
                <w:bCs w:val="1"/>
                <w:color w:val="auto"/>
              </w:rPr>
              <w:t>For the Six</w:t>
            </w:r>
          </w:p>
        </w:tc>
        <w:tc>
          <w:tcPr>
            <w:tcW w:w="7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0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7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2"/>
                <w:szCs w:val="12"/>
                <w:color w:val="auto"/>
              </w:rPr>
            </w:pPr>
          </w:p>
        </w:tc>
        <w:tc>
          <w:tcPr>
            <w:tcW w:w="4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2"/>
                <w:szCs w:val="12"/>
                <w:color w:val="auto"/>
              </w:rPr>
            </w:pPr>
          </w:p>
        </w:tc>
        <w:tc>
          <w:tcPr>
            <w:tcW w:w="8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2"/>
                <w:szCs w:val="12"/>
                <w:color w:val="auto"/>
              </w:rPr>
            </w:pPr>
          </w:p>
        </w:tc>
        <w:tc>
          <w:tcPr>
            <w:tcW w:w="7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Third</w:t>
            </w:r>
          </w:p>
        </w:tc>
        <w:tc>
          <w:tcPr>
            <w:tcW w:w="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2010-2009</w:t>
            </w:r>
          </w:p>
        </w:tc>
        <w:tc>
          <w:tcPr>
            <w:tcW w:w="100" w:type="dxa"/>
            <w:vAlign w:val="bottom"/>
          </w:tcPr>
          <w:p>
            <w:pPr>
              <w:spacing w:after="0"/>
              <w:rPr>
                <w:sz w:val="12"/>
                <w:szCs w:val="12"/>
                <w:color w:val="auto"/>
              </w:rPr>
            </w:pPr>
          </w:p>
        </w:tc>
        <w:tc>
          <w:tcPr>
            <w:tcW w:w="158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Months Ended</w:t>
            </w: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2010-2009</w:t>
            </w:r>
          </w:p>
        </w:tc>
        <w:tc>
          <w:tcPr>
            <w:tcW w:w="0" w:type="dxa"/>
            <w:vAlign w:val="bottom"/>
          </w:tcPr>
          <w:p>
            <w:pPr>
              <w:spacing w:after="0"/>
              <w:rPr>
                <w:sz w:val="1"/>
                <w:szCs w:val="1"/>
                <w:color w:val="auto"/>
              </w:rPr>
            </w:pPr>
          </w:p>
        </w:tc>
      </w:tr>
      <w:tr>
        <w:trPr>
          <w:trHeight w:val="142"/>
        </w:trPr>
        <w:tc>
          <w:tcPr>
            <w:tcW w:w="2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8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2"/>
                <w:szCs w:val="12"/>
                <w:color w:val="auto"/>
              </w:rPr>
            </w:pPr>
          </w:p>
        </w:tc>
        <w:tc>
          <w:tcPr>
            <w:tcW w:w="5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2"/>
                <w:szCs w:val="12"/>
                <w:color w:val="auto"/>
              </w:rPr>
            </w:pPr>
          </w:p>
        </w:tc>
        <w:tc>
          <w:tcPr>
            <w:tcW w:w="5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87,699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89,849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97,481</w:t>
            </w: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2"/>
              </w:rPr>
              <w:t>$101,181</w:t>
            </w: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8"/>
              </w:rPr>
              <w:t>$102,737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177,548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206,299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28,570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33,552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38,177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41,855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54,642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88,005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600"/>
              <w:spacing w:after="0" w:line="155" w:lineRule="exact"/>
              <w:rPr>
                <w:sz w:val="20"/>
                <w:szCs w:val="20"/>
                <w:color w:val="auto"/>
              </w:rPr>
            </w:pPr>
            <w:r>
              <w:rPr>
                <w:rFonts w:ascii="Arial" w:cs="Arial" w:eastAsia="Arial" w:hAnsi="Arial"/>
                <w:sz w:val="14"/>
                <w:szCs w:val="14"/>
                <w:color w:val="auto"/>
              </w:rPr>
              <w:t>Net interest revenue</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61,627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61,279</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63,929</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63,004</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60,882</w:t>
            </w:r>
          </w:p>
        </w:tc>
        <w:tc>
          <w:tcPr>
            <w:tcW w:w="260" w:type="dxa"/>
            <w:vAlign w:val="bottom"/>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122,906</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118,294</w:t>
            </w:r>
          </w:p>
        </w:tc>
        <w:tc>
          <w:tcPr>
            <w:tcW w:w="22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136,500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125,000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Operating fee revenue </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11,579</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11,666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14,447</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13,389</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11,305</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23,245</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23,128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8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b w:val="1"/>
                <w:bCs w:val="1"/>
                <w:color w:val="auto"/>
              </w:rPr>
              <w:t>Total operating revenue</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11,706</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(2,055)</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w w:val="95"/>
              </w:rPr>
              <w:t>(11,624)</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5"/>
              </w:rPr>
              <w:t>(18,607)</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12,187</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9,651</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16,422</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58,308</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54,820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60,126</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51,426</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53,710</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113,128</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105,498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Loss on sale of nonperforming</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45,349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45,349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80" w:type="dxa"/>
            <w:vAlign w:val="bottom"/>
            <w:gridSpan w:val="2"/>
          </w:tcPr>
          <w:p>
            <w:pPr>
              <w:ind w:left="400"/>
              <w:spacing w:after="0" w:line="137" w:lineRule="exact"/>
              <w:rPr>
                <w:sz w:val="20"/>
                <w:szCs w:val="20"/>
                <w:color w:val="auto"/>
              </w:rPr>
            </w:pPr>
            <w:r>
              <w:rPr>
                <w:rFonts w:ascii="Arial" w:cs="Arial" w:eastAsia="Arial" w:hAnsi="Arial"/>
                <w:sz w:val="14"/>
                <w:szCs w:val="14"/>
                <w:color w:val="auto"/>
              </w:rPr>
              <w:t>Operating loss from</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continuing operations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600"/>
              <w:spacing w:after="0"/>
              <w:rPr>
                <w:sz w:val="20"/>
                <w:szCs w:val="20"/>
                <w:color w:val="auto"/>
              </w:rPr>
            </w:pPr>
            <w:r>
              <w:rPr>
                <w:rFonts w:ascii="Arial" w:cs="Arial" w:eastAsia="Arial" w:hAnsi="Arial"/>
                <w:sz w:val="14"/>
                <w:szCs w:val="14"/>
                <w:color w:val="auto"/>
              </w:rPr>
              <w:t>before taxes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(91,951)</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(56,875)</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(71,750)</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(70,033)</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(41,523)</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(148,826)</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(89,076)</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 benefit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(32,419)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(22,417)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(31,687)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(26,252)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(18,394)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(54,836)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(33,815)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80" w:type="dxa"/>
            <w:vAlign w:val="bottom"/>
            <w:gridSpan w:val="2"/>
          </w:tcPr>
          <w:p>
            <w:pPr>
              <w:ind w:left="400"/>
              <w:spacing w:after="0" w:line="133" w:lineRule="exact"/>
              <w:rPr>
                <w:sz w:val="20"/>
                <w:szCs w:val="20"/>
                <w:color w:val="auto"/>
              </w:rPr>
            </w:pPr>
            <w:r>
              <w:rPr>
                <w:rFonts w:ascii="Arial" w:cs="Arial" w:eastAsia="Arial" w:hAnsi="Arial"/>
                <w:sz w:val="14"/>
                <w:szCs w:val="14"/>
                <w:b w:val="1"/>
                <w:bCs w:val="1"/>
                <w:color w:val="auto"/>
              </w:rPr>
              <w:t>Net operating loss from</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gridSpan w:val="2"/>
          </w:tcPr>
          <w:p>
            <w:pPr>
              <w:ind w:left="600"/>
              <w:spacing w:after="0"/>
              <w:rPr>
                <w:sz w:val="20"/>
                <w:szCs w:val="20"/>
                <w:color w:val="auto"/>
              </w:rPr>
            </w:pPr>
            <w:r>
              <w:rPr>
                <w:rFonts w:ascii="Arial" w:cs="Arial" w:eastAsia="Arial" w:hAnsi="Arial"/>
                <w:sz w:val="14"/>
                <w:szCs w:val="14"/>
                <w:b w:val="1"/>
                <w:bCs w:val="1"/>
                <w:color w:val="auto"/>
                <w:w w:val="99"/>
              </w:rPr>
              <w:t>continuing operations</w:t>
            </w:r>
          </w:p>
        </w:tc>
        <w:tc>
          <w:tcPr>
            <w:tcW w:w="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5"/>
              </w:rPr>
              <w:t>(59,532)</w:t>
            </w:r>
          </w:p>
        </w:tc>
        <w:tc>
          <w:tcPr>
            <w:tcW w:w="8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9"/>
              </w:rPr>
              <w:t>(34,458)</w:t>
            </w:r>
          </w:p>
        </w:tc>
        <w:tc>
          <w:tcPr>
            <w:tcW w:w="8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5"/>
              </w:rPr>
              <w:t>(40,063)</w:t>
            </w:r>
          </w:p>
        </w:tc>
        <w:tc>
          <w:tcPr>
            <w:tcW w:w="8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5"/>
              </w:rPr>
              <w:t>(43,781)</w:t>
            </w:r>
          </w:p>
        </w:tc>
        <w:tc>
          <w:tcPr>
            <w:tcW w:w="8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5"/>
              </w:rPr>
              <w:t>(23,129)</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(93,990)</w:t>
            </w:r>
          </w:p>
        </w:tc>
        <w:tc>
          <w:tcPr>
            <w:tcW w:w="8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(55,261)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60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Gain from acquisition, net of tax</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7,062</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7,062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Noncash goodwill impairment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200"/>
              <w:spacing w:after="0"/>
              <w:rPr>
                <w:sz w:val="20"/>
                <w:szCs w:val="20"/>
                <w:color w:val="auto"/>
              </w:rPr>
            </w:pPr>
            <w:r>
              <w:rPr>
                <w:rFonts w:ascii="Arial" w:cs="Arial" w:eastAsia="Arial" w:hAnsi="Arial"/>
                <w:sz w:val="14"/>
                <w:szCs w:val="14"/>
                <w:color w:val="auto"/>
              </w:rPr>
              <w:t>charges</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(25,000)</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Severance costs, net of tax benefit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(Loss) income from discontinued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66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222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Gain from sale of subsidiary, net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 income taxes and selling</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Net loss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(59,532)</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(33,293)</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(39,835)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(68,718)</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(16,001)</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(92,825)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(119,774)</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accretion</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2,567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2,562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2,559</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5,149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5,113</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Net loss available to common</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shareholders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(62,109)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(35,865)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(42,402)</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w w:val="90"/>
              </w:rPr>
              <w:t>$ (71,280)</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w w:val="90"/>
              </w:rPr>
              <w:t>$ (18,560)</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(97,974)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(124,887)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Per common share: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w w:val="99"/>
              </w:rPr>
              <w:t>Diluted operating loss from</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80" w:type="dxa"/>
            <w:vAlign w:val="bottom"/>
            <w:gridSpan w:val="2"/>
            <w:shd w:val="clear" w:color="auto" w:fill="CCEEFF"/>
          </w:tcPr>
          <w:p>
            <w:pPr>
              <w:ind w:left="600"/>
              <w:spacing w:after="0" w:line="157" w:lineRule="exact"/>
              <w:rPr>
                <w:sz w:val="20"/>
                <w:szCs w:val="20"/>
                <w:color w:val="auto"/>
              </w:rPr>
            </w:pPr>
            <w:r>
              <w:rPr>
                <w:rFonts w:ascii="Arial" w:cs="Arial" w:eastAsia="Arial" w:hAnsi="Arial"/>
                <w:sz w:val="14"/>
                <w:szCs w:val="14"/>
                <w:color w:val="auto"/>
              </w:rPr>
              <w:t>continuing operations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(.39)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(.93)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(.53)</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(1.05)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(1.24)</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Diluted loss from</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600"/>
              <w:spacing w:after="0"/>
              <w:rPr>
                <w:sz w:val="20"/>
                <w:szCs w:val="20"/>
                <w:color w:val="auto"/>
              </w:rPr>
            </w:pPr>
            <w:r>
              <w:rPr>
                <w:rFonts w:ascii="Arial" w:cs="Arial" w:eastAsia="Arial" w:hAnsi="Arial"/>
                <w:sz w:val="14"/>
                <w:szCs w:val="14"/>
                <w:color w:val="auto"/>
              </w:rPr>
              <w:t>continuing operations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(2.58)</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Diluted loss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Stock dividends declared</w:t>
            </w:r>
          </w:p>
        </w:tc>
        <w:tc>
          <w:tcPr>
            <w:tcW w:w="8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7"/>
              </w:rPr>
              <w:t>1 for 130</w:t>
            </w:r>
          </w:p>
        </w:tc>
        <w:tc>
          <w:tcPr>
            <w:tcW w:w="80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4"/>
              </w:rPr>
              <w:t>1 for 130</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0"/>
              </w:rPr>
              <w:t>2 for 130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6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Book value</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gridSpan w:val="2"/>
          </w:tcPr>
          <w:p>
            <w:pPr>
              <w:ind w:left="400"/>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2"/>
                <w:szCs w:val="12"/>
                <w:color w:val="auto"/>
              </w:rPr>
              <w:t>(4)</w:t>
            </w: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8.85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8.85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Key performance ratios: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(35.89)%</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(22.08)%</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(45.52)%</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(27.87)%</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2"/>
                <w:szCs w:val="12"/>
                <w:color w:val="auto"/>
              </w:rPr>
              <w:t>(5)</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3.49</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3.39</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3.55</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Operating efficiency ratio</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from continuing</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xml:space="preserve">operations </w:t>
            </w:r>
            <w:r>
              <w:rPr>
                <w:rFonts w:ascii="Arial" w:cs="Arial" w:eastAsia="Arial" w:hAnsi="Arial"/>
                <w:sz w:val="12"/>
                <w:szCs w:val="12"/>
                <w:color w:val="auto"/>
              </w:rPr>
              <w:t>(1)(2)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141.60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78.74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68.35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73.68</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108.48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74.38</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 to assets</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11.94</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10.27</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11.87</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95"/>
              </w:rPr>
              <w:t xml:space="preserve">Tangible equity to assets </w:t>
            </w:r>
            <w:r>
              <w:rPr>
                <w:rFonts w:ascii="Arial" w:cs="Arial" w:eastAsia="Arial" w:hAnsi="Arial"/>
                <w:sz w:val="12"/>
                <w:szCs w:val="12"/>
                <w:color w:val="auto"/>
                <w:w w:val="95"/>
              </w:rPr>
              <w:t>(4)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7.96</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ind w:left="400"/>
              <w:spacing w:after="0" w:line="130" w:lineRule="exact"/>
              <w:rPr>
                <w:sz w:val="20"/>
                <w:szCs w:val="20"/>
                <w:color w:val="auto"/>
              </w:rPr>
            </w:pPr>
            <w:r>
              <w:rPr>
                <w:rFonts w:ascii="Arial" w:cs="Arial" w:eastAsia="Arial" w:hAnsi="Arial"/>
                <w:sz w:val="14"/>
                <w:szCs w:val="14"/>
                <w:color w:val="auto"/>
                <w:w w:val="98"/>
              </w:rPr>
              <w:t>Tangible common equity to</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600"/>
              <w:spacing w:after="0"/>
              <w:rPr>
                <w:sz w:val="20"/>
                <w:szCs w:val="20"/>
                <w:color w:val="auto"/>
              </w:rPr>
            </w:pPr>
            <w:r>
              <w:rPr>
                <w:rFonts w:ascii="Arial" w:cs="Arial" w:eastAsia="Arial" w:hAnsi="Arial"/>
                <w:sz w:val="14"/>
                <w:szCs w:val="14"/>
                <w:color w:val="auto"/>
              </w:rPr>
              <w:t xml:space="preserve">assets </w:t>
            </w: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6.91</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5.77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5.93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w w:val="98"/>
              </w:rPr>
              <w:t>Tangible common equity to</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10.03</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10.67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7.49</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ASSET QUALITY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Non-performing loans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224,335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280,802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264,092</w:t>
            </w:r>
          </w:p>
        </w:tc>
        <w:tc>
          <w:tcPr>
            <w:tcW w:w="8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$304,381</w:t>
            </w: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$287,848</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224,335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287,848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Foreclosed properties</w:t>
            </w: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123,910</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136,275</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120,770</w:t>
            </w: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110,610</w:t>
            </w:r>
          </w:p>
        </w:tc>
        <w:tc>
          <w:tcPr>
            <w:tcW w:w="80" w:type="dxa"/>
            <w:vAlign w:val="bottom"/>
          </w:tcPr>
          <w:p>
            <w:pPr>
              <w:spacing w:after="0"/>
              <w:rPr>
                <w:sz w:val="13"/>
                <w:szCs w:val="13"/>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104,754</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123,910</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104,754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non-performing</w:t>
            </w: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assets (NPAs)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6"/>
              </w:rPr>
              <w:t>348,245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417,077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384,862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0"/>
              </w:rPr>
              <w:t>414,991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6"/>
              </w:rPr>
              <w:t>392,602</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348,245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392,602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174,111</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173,934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155,602</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150,187</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145,678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174,111</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145,678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charge-offs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61,323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56,668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84,585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90,491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58,312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117,991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101,593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Allowance for loan losses to</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400"/>
              <w:spacing w:after="0"/>
              <w:rPr>
                <w:sz w:val="20"/>
                <w:szCs w:val="20"/>
                <w:color w:val="auto"/>
              </w:rPr>
            </w:pPr>
            <w:r>
              <w:rPr>
                <w:rFonts w:ascii="Arial" w:cs="Arial" w:eastAsia="Arial" w:hAnsi="Arial"/>
                <w:sz w:val="14"/>
                <w:szCs w:val="14"/>
                <w:color w:val="auto"/>
              </w:rPr>
              <w:t>loans</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2.64%</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Net charge-offs to average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6.57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4.18</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3.64</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NPAs to loans and foreclosed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400"/>
              <w:spacing w:after="0"/>
              <w:rPr>
                <w:sz w:val="20"/>
                <w:szCs w:val="20"/>
                <w:color w:val="auto"/>
              </w:rPr>
            </w:pPr>
            <w:r>
              <w:rPr>
                <w:rFonts w:ascii="Arial" w:cs="Arial" w:eastAsia="Arial" w:hAnsi="Arial"/>
                <w:sz w:val="14"/>
                <w:szCs w:val="14"/>
                <w:color w:val="auto"/>
              </w:rPr>
              <w:t>properties</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8.13</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7.30</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7.58</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6.99</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6.99</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NPAs to total assets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millions)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Loans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5,173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5,357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5,597</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5,636</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1,532</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1,518</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1,529</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1,615</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1,771</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1,525</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1,742</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7,085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7,487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7,401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7,442</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6,969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7,486</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7,704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7,946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8,287</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8,208</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8,212</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7,825</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8,291</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6,375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6,570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6,835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6,690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6,545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6,472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6,662</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945</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989</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879</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929</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 basic</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94,524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94,390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94,219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49,771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48,794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94,453</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48,560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30"/>
        </w:trPr>
        <w:tc>
          <w:tcPr>
            <w:tcW w:w="208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Common shares — diluted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80" w:type="dxa"/>
            <w:vAlign w:val="bottom"/>
            <w:gridSpan w:val="2"/>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94,524</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94,390</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94,219</w:t>
            </w: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49,771</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48,794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94,453</w:t>
            </w: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48,560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Loans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5,151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5,513</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5,513</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1,817</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1,817</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7,652</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7,837</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8,444</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8,477</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7,652</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8,477</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6,330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6,488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6,628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6,849</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6,330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6,849</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962</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1,007</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855</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904</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855</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Common shares outstanding</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94,281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94,176</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94,046</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93,901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48,933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94,281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48,933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50"/>
        </w:trPr>
        <w:tc>
          <w:tcPr>
            <w:tcW w:w="2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33" w:name="page34"/>
    <w:bookmarkEnd w:id="33"/>
    <w:p>
      <w:pPr>
        <w:ind w:left="408"/>
        <w:spacing w:after="0"/>
        <w:rPr>
          <w:sz w:val="20"/>
          <w:szCs w:val="20"/>
          <w:color w:val="auto"/>
        </w:rPr>
      </w:pPr>
      <w:r>
        <w:rPr>
          <w:rFonts w:ascii="Arial" w:cs="Arial" w:eastAsia="Arial" w:hAnsi="Arial"/>
          <w:sz w:val="12"/>
          <w:szCs w:val="12"/>
          <w:i w:val="1"/>
          <w:i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92582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25820" cy="94615"/>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p>
      <w:pPr>
        <w:spacing w:after="0" w:line="136" w:lineRule="exact"/>
        <w:rPr>
          <w:sz w:val="20"/>
          <w:szCs w:val="20"/>
          <w:color w:val="auto"/>
        </w:rPr>
      </w:pPr>
    </w:p>
    <w:p>
      <w:pPr>
        <w:ind w:left="348" w:right="559" w:hanging="348"/>
        <w:spacing w:after="0" w:line="277"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the gain from acquisition of $11.4 million, (income tax expense of $4.3 million) in the second quarter of 2009 and revenue generated by discontinued operations in all periods presented.</w:t>
      </w:r>
    </w:p>
    <w:p>
      <w:pPr>
        <w:spacing w:after="0" w:line="21" w:lineRule="exact"/>
        <w:rPr>
          <w:rFonts w:ascii="Arial" w:cs="Arial" w:eastAsia="Arial" w:hAnsi="Arial"/>
          <w:sz w:val="15"/>
          <w:szCs w:val="15"/>
          <w:color w:val="auto"/>
        </w:rPr>
      </w:pPr>
    </w:p>
    <w:p>
      <w:pPr>
        <w:jc w:val="both"/>
        <w:ind w:left="348" w:right="559" w:hanging="348"/>
        <w:spacing w:after="0" w:line="264"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goodwill impairment charges of $25 million and $70 million in the third and first quarters of 2009, respectively, severance costs of $2.9 million, (income tax benefit of $1.1 million) in the first quarter of 2009 and expenses relating to discontinued operations for all periods presented.</w:t>
      </w:r>
    </w:p>
    <w:p>
      <w:pPr>
        <w:spacing w:after="0" w:line="32" w:lineRule="exact"/>
        <w:rPr>
          <w:rFonts w:ascii="Arial" w:cs="Arial" w:eastAsia="Arial" w:hAnsi="Arial"/>
          <w:sz w:val="15"/>
          <w:szCs w:val="15"/>
          <w:color w:val="auto"/>
        </w:rPr>
      </w:pPr>
    </w:p>
    <w:p>
      <w:pPr>
        <w:ind w:left="348" w:right="559" w:hanging="348"/>
        <w:spacing w:after="0" w:line="277"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Net loss available to common shareholders, which is net of preferred stock dividends, divided by average realized common equity, which excludes accumulated other comprehensive income (loss).</w:t>
      </w:r>
    </w:p>
    <w:p>
      <w:pPr>
        <w:spacing w:after="0" w:line="21" w:lineRule="exact"/>
        <w:rPr>
          <w:rFonts w:ascii="Arial" w:cs="Arial" w:eastAsia="Arial" w:hAnsi="Arial"/>
          <w:sz w:val="15"/>
          <w:szCs w:val="15"/>
          <w:color w:val="auto"/>
        </w:rPr>
      </w:pPr>
    </w:p>
    <w:p>
      <w:pPr>
        <w:ind w:left="348" w:hanging="348"/>
        <w:spacing w:after="0"/>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5"/>
          <w:szCs w:val="15"/>
          <w:color w:val="auto"/>
        </w:rPr>
      </w:pPr>
    </w:p>
    <w:p>
      <w:pPr>
        <w:ind w:left="348" w:hanging="348"/>
        <w:spacing w:after="0"/>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Annualized.</w:t>
      </w:r>
    </w:p>
    <w:p>
      <w:pPr>
        <w:spacing w:after="0" w:line="76" w:lineRule="exact"/>
        <w:rPr>
          <w:rFonts w:ascii="Arial" w:cs="Arial" w:eastAsia="Arial" w:hAnsi="Arial"/>
          <w:sz w:val="15"/>
          <w:szCs w:val="15"/>
          <w:color w:val="auto"/>
        </w:rPr>
      </w:pPr>
    </w:p>
    <w:p>
      <w:pPr>
        <w:ind w:left="348" w:hanging="348"/>
        <w:spacing w:after="0"/>
        <w:tabs>
          <w:tab w:leader="none" w:pos="348" w:val="left"/>
        </w:tabs>
        <w:numPr>
          <w:ilvl w:val="0"/>
          <w:numId w:val="9"/>
        </w:numPr>
        <w:rPr>
          <w:rFonts w:ascii="Arial" w:cs="Arial" w:eastAsia="Arial" w:hAnsi="Arial"/>
          <w:sz w:val="15"/>
          <w:szCs w:val="15"/>
          <w:color w:val="auto"/>
        </w:rPr>
      </w:pPr>
      <w:r>
        <w:rPr>
          <w:rFonts w:ascii="Arial" w:cs="Arial" w:eastAsia="Arial" w:hAnsi="Arial"/>
          <w:sz w:val="18"/>
          <w:szCs w:val="18"/>
          <w:color w:val="auto"/>
        </w:rPr>
        <w:t>Number of new shares issued for shares currently held.</w:t>
      </w:r>
    </w:p>
    <w:p>
      <w:pPr>
        <w:spacing w:after="0" w:line="77" w:lineRule="exact"/>
        <w:rPr>
          <w:sz w:val="20"/>
          <w:szCs w:val="20"/>
          <w:color w:val="auto"/>
        </w:rPr>
      </w:pPr>
    </w:p>
    <w:p>
      <w:pPr>
        <w:ind w:left="4568" w:right="2859" w:hanging="4568"/>
        <w:spacing w:after="0" w:line="951" w:lineRule="auto"/>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Six</w:t>
            </w: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2"/>
                <w:szCs w:val="12"/>
                <w:color w:val="auto"/>
              </w:rPr>
            </w:pPr>
          </w:p>
        </w:tc>
        <w:tc>
          <w:tcPr>
            <w:tcW w:w="5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Fourth</w:t>
            </w:r>
          </w:p>
        </w:tc>
        <w:tc>
          <w:tcPr>
            <w:tcW w:w="100" w:type="dxa"/>
            <w:vAlign w:val="bottom"/>
          </w:tcPr>
          <w:p>
            <w:pPr>
              <w:spacing w:after="0"/>
              <w:rPr>
                <w:sz w:val="12"/>
                <w:szCs w:val="12"/>
                <w:color w:val="auto"/>
              </w:rPr>
            </w:pPr>
          </w:p>
        </w:tc>
        <w:tc>
          <w:tcPr>
            <w:tcW w:w="8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5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9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Quarter</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revenue reconciliation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 — taxable equivalent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87,699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89,849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97,481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101,181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102,737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177,548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206,299</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56"/>
        </w:trPr>
        <w:tc>
          <w:tcPr>
            <w:tcW w:w="294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Interest revenue (GAAP)</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87,199</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89,356</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96,880</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100,601</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102,274</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176,555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205,348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revenue reconciliation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61,627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61,279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63,929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63,004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60,882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122,906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118,294</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56"/>
        </w:trPr>
        <w:tc>
          <w:tcPr>
            <w:tcW w:w="294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Net interest revenue (GAAP)</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61,127</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60,786</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63,328</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62,424</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60,419</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121,913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117,343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Fee revenue reconciliation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Operating fee revenue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11,579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14,447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11,305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23,128</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11,390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11,390</w:t>
            </w:r>
          </w:p>
        </w:tc>
        <w:tc>
          <w:tcPr>
            <w:tcW w:w="0" w:type="dxa"/>
            <w:vAlign w:val="bottom"/>
          </w:tcPr>
          <w:p>
            <w:pPr>
              <w:spacing w:after="0"/>
              <w:rPr>
                <w:sz w:val="1"/>
                <w:szCs w:val="1"/>
                <w:color w:val="auto"/>
              </w:rPr>
            </w:pPr>
          </w:p>
        </w:tc>
      </w:tr>
      <w:tr>
        <w:trPr>
          <w:trHeight w:val="156"/>
        </w:trPr>
        <w:tc>
          <w:tcPr>
            <w:tcW w:w="294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Fee revenue (GAAP)</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11,579</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11,666</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14,447</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13,389</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22,695</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23,245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revenue reconciliation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Total operating revenue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11,706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(11,624)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(18,607)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12,187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16,422</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11,390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11,390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(12,225)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(19,187)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23,114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26,861</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103,657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54,820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60,126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51,426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53,710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158,477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105,498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56"/>
        </w:trPr>
        <w:tc>
          <w:tcPr>
            <w:tcW w:w="294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Operating expense (GAAP)</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103,657</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54,820</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60,126</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76,426</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53,710</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158,477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178,396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Loss from continuing operations before</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taxes reconciliation</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gridSpan w:val="2"/>
          </w:tcPr>
          <w:p>
            <w:pPr>
              <w:spacing w:after="0" w:line="130" w:lineRule="exact"/>
              <w:rPr>
                <w:sz w:val="20"/>
                <w:szCs w:val="20"/>
                <w:color w:val="auto"/>
              </w:rPr>
            </w:pPr>
            <w:r>
              <w:rPr>
                <w:rFonts w:ascii="Arial" w:cs="Arial" w:eastAsia="Arial" w:hAnsi="Arial"/>
                <w:sz w:val="14"/>
                <w:szCs w:val="14"/>
                <w:color w:val="auto"/>
              </w:rPr>
              <w:t>Operating loss from continuing operations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tcPr>
          <w:p>
            <w:pPr>
              <w:ind w:left="200"/>
              <w:spacing w:after="0"/>
              <w:rPr>
                <w:sz w:val="20"/>
                <w:szCs w:val="20"/>
                <w:color w:val="auto"/>
              </w:rPr>
            </w:pPr>
            <w:r>
              <w:rPr>
                <w:rFonts w:ascii="Arial" w:cs="Arial" w:eastAsia="Arial" w:hAnsi="Arial"/>
                <w:sz w:val="14"/>
                <w:szCs w:val="14"/>
                <w:color w:val="auto"/>
              </w:rPr>
              <w:t>before taxes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(91,951)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(56,875)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(71,750)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(70,033)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(41,523)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(148,826)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(89,076)</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11,390</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11,390</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56"/>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Loss from continuing operations before</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taxes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(92,451)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(57,368)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(72,351)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(30,596)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(149,819)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(151,535)</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tax benefit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 benefit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(32,419)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(22,417)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(31,687)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(26,252)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(18,394)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(54,836)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(33,815)</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(601)</w:t>
            </w: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(580)</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from acquisition, tax expense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Severance costs, tax benefit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 benefit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(32,919)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(22,910)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(32,288)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(26,832)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(14,529)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(55,829)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(31,539)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loss from continuing operations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9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common share 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Diluted operating loss from continuing</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6"/>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Diluted loss from continuing operations per</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common share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Book value per common share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Tangible book value per common share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Book value per common share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9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Operating efficiency ratio from continuing</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141.60%</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68.35%</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73.68%</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108.48%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33.22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156"/>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Efficiency ratio from continuing operations</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(GAAP)</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141.60%</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75.22%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101.57%</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63.72%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108.48%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equity to assets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Tangible common equity to assets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equity to assets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to assets (GAAP)</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Actual tangible common equity to risk-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9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 assets 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Tangible common equity to risk-weighted</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10.67%</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w:t>
            </w:r>
          </w:p>
        </w:tc>
        <w:tc>
          <w:tcPr>
            <w:tcW w:w="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Effect of trust preferred</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ind w:left="200"/>
              <w:spacing w:after="0"/>
              <w:rPr>
                <w:sz w:val="20"/>
                <w:szCs w:val="20"/>
                <w:color w:val="auto"/>
              </w:rPr>
            </w:pPr>
            <w:r>
              <w:rPr>
                <w:rFonts w:ascii="Arial" w:cs="Arial" w:eastAsia="Arial" w:hAnsi="Arial"/>
                <w:sz w:val="14"/>
                <w:szCs w:val="14"/>
                <w:color w:val="auto"/>
              </w:rPr>
              <w:t>Tier I capital ratio (Regulatory)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11.07%</w:t>
            </w:r>
          </w:p>
        </w:tc>
        <w:tc>
          <w:tcPr>
            <w:tcW w:w="120" w:type="dxa"/>
            <w:vAlign w:val="bottom"/>
          </w:tcPr>
          <w:p>
            <w:pPr>
              <w:spacing w:after="0"/>
              <w:rPr>
                <w:sz w:val="13"/>
                <w:szCs w:val="13"/>
                <w:color w:val="auto"/>
              </w:rPr>
            </w:pP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11.72%</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12.41%</w:t>
            </w: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13.15%</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10.44%</w:t>
            </w: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11.07%</w:t>
            </w:r>
          </w:p>
        </w:tc>
        <w:tc>
          <w:tcPr>
            <w:tcW w:w="8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346" w:gutter="0" w:footer="0" w:header="0"/>
        </w:sectPr>
      </w:pPr>
    </w:p>
    <w:bookmarkStart w:id="35" w:name="page36"/>
    <w:bookmarkEnd w:id="35"/>
    <w:p>
      <w:pPr>
        <w:ind w:left="370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June 30, 2010 was $61.6 million, up $745,000, or 1%, from the second quarter of 2009. The increase in net interest revenue for the second quarter of 2010 compared to the second quarter of 2009 was due to improvement in the net interest margin, resulting from management’s focus on improving earnings performance. United intensified its focus on loan pricing to ensure that it was being adequately compensated for the credit risk it was taking. Most of the improvement in loan pricing was due to United’s ability to negotiate floors (minimum interest rates) into its floating rate loans. This loan spread improvement, combined with the effect of eased competition on deposit pricing, led to a steady improving trend in the net interest margin from the fourth quarter of 2008 to the second quarter of 2010. In addition, the transaction with Fletcher International removed approximately $70 million of nonperforming loans from United’s portfolio. The improved net interest margin more than offset the reduction in net interest revenue caused by the $588 million decrease in average interest-earning assets primarily due to the reduction in loan balances.</w:t>
      </w:r>
    </w:p>
    <w:p>
      <w:pPr>
        <w:spacing w:after="0" w:line="12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Average loans decreased $586 million, or 10%, from the second quarter last year. The decrease in the loan portfolio was a result of the slowdown in the housing market, particularly in the Atlanta, Georgia MSA, north Georgia and coastal Georgia where period-end loans decreased $232 million, $170 million and $99 million, respectively, from June 30, 2009. Weak lending conditions have also affected United’s other markets. Loan charge-offs, foreclosure activity and management’s efforts to rebalance the loan portfolio by reducing the concentration of residential construction loans have all contributed to declining loan balances. While loan balances have declined, United continues to make new loans. During the second quarter of 2010, United made $101 million in new loans, primarily commercial and small business loans in the Atlanta, Georgia MSA and north Georgia.</w:t>
      </w:r>
    </w:p>
    <w:p>
      <w:pPr>
        <w:spacing w:after="0" w:line="127"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Average interest-earning assets for the second quarter 2010 decreased $588 million, or 8%, from the same period in 2009. Decreases of $586 million in average loans and $239 million in the investment securities portfolio were partially offset by a $238 million increase in federal funds sold and other interest-earning assets. Loan demand has been weak due to the poor economy and management’s efforts to reduce United’s exposure to residential construction loans. The increase in federal funds sold and other interest-earning assets was due to purchases of short-term commercial paper and bank certificates of deposit in an effort to temporarily invest excess liquidity. Average interest-bearing liabilities decreased $567 million, or 9%, from the second quarter of 2009 due to the rolling off of higher-cost certificates of deposit as funding needs decreased. The average yield on interest earning assets for the three months ended June 30, 2010, was 5.13%, down 40 basis points from 5.53% for the same period of 2009, reflecting the effect of lower short-term interest rates on United’s prime-based loans as well as increased levels of non-performing loans.</w:t>
      </w:r>
    </w:p>
    <w:p>
      <w:pPr>
        <w:spacing w:after="0" w:line="15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average cost of interest-bearing liabilities for the second quarter of 2010 was 1.75% compared to 2.56% for the same period of 2009, reflecting the effect of falling rates on United’s floating rate liabilities and United’s ability to reduce deposit pricing. Also contributing to the overall lower rate on interest-bearing liabilities was a shift in the mix of deposits away from more expensive time deposits toward lower-rate transaction deposits. United’s shrinking balance sheet also permitted the reduction of more expensive wholesale borrowings.</w:t>
      </w:r>
    </w:p>
    <w:p>
      <w:pPr>
        <w:spacing w:after="0" w:line="14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pacing w:after="0" w:line="124"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For the three months ended June 30, 2010 and 2009, the net interest spread was 3.38% and 2.97%, respectively, while the net interest margin was 3.60% and 3.28%, respectively. The improved net interest margin for the quarter reflects management’s focus on improving earnings performance. The margin had been on a downward trend leading up to the first quarter of 2009 as a result of a rise in non-performing assets and higher than normal deposit pricing resulting from competition for deposits. The intense competition occurred due to liquidity pressures affecting the banking industry as a whole in the second half of 2008. Although deposit pricing competition began to ease late in the fourth quarter of 2008, its effects continued to be felt in the second quarter of 2009. At the same time, United intensified its focus on loan pricing to ensure that it was being adequately compensated for the credit risk it was taking. The combined effect of the easing of deposit pricing competition and widening credit spreads in United’s loan portfolio led to the 32 basis point increase in the net interest margin from the second quarter of 2009 to the second quarter of 2010.</w:t>
      </w:r>
    </w:p>
    <w:p>
      <w:pPr>
        <w:spacing w:after="0" w:line="151"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For the first six months of 2010, net interest revenue was $123 million, an increase of $4.6 million, or 4% from the first six months of 2009. Average earning assets decreased $517 million, or 7%, during the first six months of 2010 compared the same period a year earlier. The yield on earning assets decreased 42 basis points from 5.55% for the six months ended June 30, 2009, to 5.13% for the six months ended June 30, 2010, primarily as the result of lower interest rates on loans and investments, as well as the continued effects of interest reversals on nonperforming loans. The cost of interest-bearing liabilities over the same period decreased 88 basis points. This resulted in the net interest margin increasing 37 basis points from the six months ended June 30, 2009 to the six months ended June 30, 2010. Factors in the year over year increase were the same as those for the increase from the second quarter of 2009 to the second quarter of 2010.</w:t>
      </w:r>
    </w:p>
    <w:p>
      <w:pPr>
        <w:sectPr>
          <w:pgSz w:w="11900" w:h="16838" w:orient="portrait"/>
          <w:cols w:equalWidth="0" w:num="1">
            <w:col w:w="10219"/>
          </w:cols>
          <w:pgMar w:left="240" w:top="419" w:right="1440" w:bottom="568"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68"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2010 and 2009.</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2010</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2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$5,010,937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70,640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$5,597,259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1,503,162</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15,534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1,742,620</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20,176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311,475</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1,043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73,437</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6,854,494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87,699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7,442,178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102,737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100,931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101,830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181,064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761,803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636,377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7,704,294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8,212,140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$1,325,099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$1,258,134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746,039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521,989</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2,269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186,628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1,605,308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7,887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1,894,071</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15,342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1,110,010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1,325,757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11,513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642,954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3,729</w:t>
            </w:r>
          </w:p>
        </w:tc>
        <w:tc>
          <w:tcPr>
            <w:tcW w:w="3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686,070</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5,209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5,616,038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5,864,456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37,297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104,637</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1,056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4.05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220,376</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107,948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309,962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150,097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2,667</w:t>
            </w:r>
          </w:p>
        </w:tc>
        <w:tc>
          <w:tcPr>
            <w:tcW w:w="3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151,019</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2,760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681,357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5,978,720</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26,072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6,545,813</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41,855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758,558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680,081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107,036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6,792,209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7,332,930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912,085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879,210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7,704,294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8,212,140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61,627</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3.38%</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$43.6 million in 2010 and $14.7 million in 2009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2010 and 2009.</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Six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2010</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2009</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$5,091,445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142,859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$5,635,942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163,316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1,495,447</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31,426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1,712,778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40,609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352,683</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107,788</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1,346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6,969,057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177,548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7,485,961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206,299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(190,662)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(138,297)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102,728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103,113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7,824,630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8,291,767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$1,343,297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$1,307,865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734,817</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3,586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499,780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4,506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1,648,739</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1,918,349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32,559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1,132,767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12,872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1,359,286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24,338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689,717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8,266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735,844</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11,220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5,732,892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5,996,711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79,051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103,355</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2,094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185,639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1,148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150,088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5,329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151,009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5,529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594,390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6,097,485</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54,642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6,591,101</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88,005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738,876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665,170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112,382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6,895,966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7,368,653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928,664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923,114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7,824,630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8,291,767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122,906</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118,294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3.32%</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$43.4 million in 2010 and $12.7 million in 2009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10"/>
          </w:tcPr>
          <w:p>
            <w:pPr>
              <w:jc w:val="center"/>
              <w:ind w:right="440"/>
              <w:spacing w:after="0"/>
              <w:rPr>
                <w:sz w:val="20"/>
                <w:szCs w:val="20"/>
                <w:color w:val="auto"/>
              </w:rPr>
            </w:pPr>
            <w:r>
              <w:rPr>
                <w:rFonts w:ascii="Arial" w:cs="Arial" w:eastAsia="Arial" w:hAnsi="Arial"/>
                <w:sz w:val="18"/>
                <w:szCs w:val="18"/>
                <w:b w:val="1"/>
                <w:bCs w:val="1"/>
                <w:color w:val="auto"/>
                <w:w w:val="91"/>
              </w:rPr>
              <w:t>Three Months Ended June 30, 2010</w:t>
            </w:r>
          </w:p>
        </w:tc>
        <w:tc>
          <w:tcPr>
            <w:tcW w:w="140" w:type="dxa"/>
            <w:vAlign w:val="bottom"/>
          </w:tcPr>
          <w:p>
            <w:pPr>
              <w:spacing w:after="0"/>
              <w:rPr>
                <w:sz w:val="18"/>
                <w:szCs w:val="18"/>
                <w:color w:val="auto"/>
              </w:rPr>
            </w:pPr>
          </w:p>
        </w:tc>
        <w:tc>
          <w:tcPr>
            <w:tcW w:w="28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 2010</w:t>
            </w: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Compared to 2009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Compared to 2009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88"/>
              </w:rPr>
              <w:t>Increase (decrease)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360" w:type="dxa"/>
            <w:vAlign w:val="bottom"/>
          </w:tcPr>
          <w:p>
            <w:pPr>
              <w:spacing w:after="0"/>
              <w:rPr>
                <w:sz w:val="18"/>
                <w:szCs w:val="18"/>
                <w:color w:val="auto"/>
              </w:rPr>
            </w:pPr>
          </w:p>
        </w:tc>
        <w:tc>
          <w:tcPr>
            <w:tcW w:w="10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8"/>
              </w:rPr>
              <w:t>Volume</w:t>
            </w:r>
          </w:p>
        </w:tc>
        <w:tc>
          <w:tcPr>
            <w:tcW w:w="140" w:type="dxa"/>
            <w:vAlign w:val="bottom"/>
          </w:tcPr>
          <w:p>
            <w:pPr>
              <w:spacing w:after="0"/>
              <w:rPr>
                <w:sz w:val="18"/>
                <w:szCs w:val="18"/>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(8,332)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(10,927)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w w:val="95"/>
              </w:rPr>
              <w:t>(15,401)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(20,457)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Tax-exempt securities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interest-earning assets</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2,912</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(1,986)</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r>
      <w:tr>
        <w:trPr>
          <w:trHeight w:val="223"/>
        </w:trPr>
        <w:tc>
          <w:tcPr>
            <w:tcW w:w="2900" w:type="dxa"/>
            <w:vAlign w:val="bottom"/>
          </w:tcPr>
          <w:p>
            <w:pPr>
              <w:ind w:left="200"/>
              <w:spacing w:after="0"/>
              <w:rPr>
                <w:sz w:val="20"/>
                <w:szCs w:val="20"/>
                <w:color w:val="auto"/>
              </w:rPr>
            </w:pPr>
            <w:r>
              <w:rPr>
                <w:rFonts w:ascii="Arial" w:cs="Arial" w:eastAsia="Arial" w:hAnsi="Arial"/>
                <w:sz w:val="18"/>
                <w:szCs w:val="18"/>
                <w:b w:val="1"/>
                <w:bCs w:val="1"/>
                <w:color w:val="auto"/>
              </w:rPr>
              <w:t>Total interest-earning assets</w:t>
            </w: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(10,035)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(15,038)</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(17,330)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(11,421)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(28,751)</w:t>
            </w:r>
          </w:p>
        </w:tc>
        <w:tc>
          <w:tcPr>
            <w:tcW w:w="80" w:type="dxa"/>
            <w:vAlign w:val="bottom"/>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(2,744)</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(2,581)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(4,100)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(11,681)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(15,781)</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Time deposits greater than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(1,663)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(3,748)</w:t>
            </w: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c>
          <w:tcPr>
            <w:tcW w:w="14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(3,592)</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(7,874)</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(11,466)</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(2,954)</w:t>
            </w: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(12,779)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(15,922)</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(27,223)</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(33,783)</w:t>
            </w:r>
          </w:p>
        </w:tc>
        <w:tc>
          <w:tcPr>
            <w:tcW w:w="80" w:type="dxa"/>
            <w:vAlign w:val="bottom"/>
          </w:tcPr>
          <w:p>
            <w:pPr>
              <w:spacing w:after="0"/>
              <w:rPr>
                <w:sz w:val="20"/>
                <w:szCs w:val="20"/>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0"/>
                <w:szCs w:val="20"/>
                <w:color w:val="auto"/>
              </w:rPr>
            </w:pPr>
          </w:p>
        </w:tc>
      </w:tr>
      <w:tr>
        <w:trPr>
          <w:trHeight w:val="198"/>
        </w:trPr>
        <w:tc>
          <w:tcPr>
            <w:tcW w:w="29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(11,046)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(15,783)</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(9,054)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(24,309)</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(33,363)</w:t>
            </w:r>
          </w:p>
        </w:tc>
      </w:tr>
      <w:tr>
        <w:trPr>
          <w:trHeight w:val="421"/>
        </w:trPr>
        <w:tc>
          <w:tcPr>
            <w:tcW w:w="2900" w:type="dxa"/>
            <w:vAlign w:val="bottom"/>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90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(5,298)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(8,276)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12,888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4,612</w:t>
            </w:r>
          </w:p>
        </w:tc>
      </w:tr>
      <w:tr>
        <w:trPr>
          <w:trHeight w:val="20"/>
        </w:trPr>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$61.5 million and $136.5 million for the second quarter and the first six months of 2010, respectively, compared with $60.0 million and $125 million, respectively, for the same periods in 2009. The amount of provision recorded in the second quarter was the amount required such that the total allowance for loan losses reflects, in the estimation of management, the amount of inherent losses in the loan portfolio. The increases in the provision and the allowance for loan losses compared to a year ago were due to continued elevated levels of substandard loans and increased charge-offs, deterioration in the collateral values leading to an expectation of higher charge-offs upon default, further weakening of the residential construction and housing markets, and the recessionary economic environment. For the three and six months ended June 30, 2010, net loan charge-offs as an annualized percentage of average outstanding loans were 4.98% and 4.75%, respectively, compared to 4.18% and 3.64%, respectively, for the same periods in 2009.</w:t>
      </w:r>
    </w:p>
    <w:p>
      <w:pPr>
        <w:spacing w:after="0" w:line="156"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As the residential construction and housing markets have struggled, it has been difficult for many builders and developers to obtain cash flow from selling lots and houses needed to service debt. This deterioration of the residential construction and housing market was the primary factor that resulted in higher credit losses and increases in non-performing assets over the last two years. Although a majority of the losses have been within the residential construction and development portion of the portfolio, credit quality deterioration has migrated to other loan categories as unemployment levels have remained high throughout United’s markets. Additional discussion on credit quality and the allowance for loan losses is included in the Asset Quality and Risk Elements section of this report on page 38.</w:t>
      </w:r>
    </w:p>
    <w:p>
      <w:pPr>
        <w:sectPr>
          <w:pgSz w:w="11900" w:h="16838" w:orient="portrait"/>
          <w:cols w:equalWidth="0" w:num="1">
            <w:col w:w="10219"/>
          </w:cols>
          <w:pgMar w:left="240" w:top="419" w:right="1440" w:bottom="1054"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4"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Fee revenue for the three and six months ended June 30, 2010 was $11.6 million and $23.2 million, respectively. Fee revenue for the three and six months ended June 30, 2009 was $22.7 million and $34.5 million, respectively. In 2009, fee revenue included an $11.4 million gain on the acquisition of SCB in the second quarter. Excluding the gain on acquisition in 2009, operating fee revenue increased $274,000, or 2%, and $117,000, or 1%, respectively, from the second quarter and first six months of 2009.</w:t>
      </w:r>
    </w:p>
    <w:p>
      <w:pPr>
        <w:spacing w:after="0" w:line="11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the components of fee revenue for the second quarters of 2010 and 2009, and the first six months of 2010 and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0"/>
              </w:rPr>
              <w:t>Three Months Ended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Six Months Ended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1,601</w:t>
            </w: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2,825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3,080</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5,476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Brokerage fees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Securities (losses) gains, net</w:t>
            </w: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900" w:type="dxa"/>
            <w:vAlign w:val="bottom"/>
          </w:tcPr>
          <w:p>
            <w:pPr>
              <w:ind w:left="200"/>
              <w:spacing w:after="0"/>
              <w:rPr>
                <w:sz w:val="20"/>
                <w:szCs w:val="20"/>
                <w:color w:val="auto"/>
              </w:rPr>
            </w:pPr>
            <w:r>
              <w:rPr>
                <w:rFonts w:ascii="Arial" w:cs="Arial" w:eastAsia="Arial" w:hAnsi="Arial"/>
                <w:sz w:val="18"/>
                <w:szCs w:val="18"/>
                <w:color w:val="auto"/>
              </w:rPr>
              <w:t>Operating fee revenue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11,305</w:t>
            </w:r>
          </w:p>
        </w:tc>
        <w:tc>
          <w:tcPr>
            <w:tcW w:w="3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23,245</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23,128</w:t>
            </w: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11,390</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11,390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0"/>
              <w:spacing w:after="0"/>
              <w:rPr>
                <w:sz w:val="20"/>
                <w:szCs w:val="20"/>
                <w:color w:val="auto"/>
              </w:rPr>
            </w:pPr>
            <w:r>
              <w:rPr>
                <w:rFonts w:ascii="Arial" w:cs="Arial" w:eastAsia="Arial" w:hAnsi="Arial"/>
                <w:sz w:val="18"/>
                <w:szCs w:val="18"/>
                <w:color w:val="auto"/>
              </w:rPr>
              <w:t>Total fee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22,695</w:t>
            </w: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34,518</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Service charges and fees of $8.0 million were up $436,000, or 6%, from the second quarter of 2009. For the first six months of 2010, service charges and fees of $15.4 million were up $849,000, or 6%, from the same period in 2009. This increase was primarily due to an increase in new accounts and ATM and debit card usage fees.</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Mortgage loans and related fees for the second quarter and first six months of 2010, were down $1.2 million, or 43%, and $2.4 million, or 44%, respectively, from the same periods in 2009. In 2009, refinancing activity reached record levels due to historically low mortgage interest rates. In the second quarter of 2010, United closed 475 loans totaling $70 million compared with 1,008 loans totaling $168 million in the second quarter of 2009. Year-to-date mortgage production in 2010 amounted to 887 loans totaling $135 million, compared to 2,004 loans totaling $342 million for the same period in 2009.</w:t>
      </w:r>
    </w:p>
    <w:p>
      <w:pPr>
        <w:spacing w:after="0" w:line="13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United incurred net securities gains of $61,000 for the six months ended June 30, 2010, which included $950,000 in impairment charges on trust preferred securities of a bank whose financial condition had deteriorated. The impairment charge was more than offset by gains from securities sales. The securities losses of $711,000 and $408,000, respectively, for the second quarter and first six months of 2009 include a charge of $743,000 for the impairment of an equity investment in a financial institution that failed during the second quarter of 2009.</w:t>
      </w:r>
    </w:p>
    <w:p>
      <w:pPr>
        <w:spacing w:after="0" w:line="16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gain from acquisition recorded in the second quarter of 2009 resulted from the SCB acquisition which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 million and liabilities with an estimated fair value of $367 million. The difference between the assets received and liabilities assumed of $11.4 million resulted in a gain from the acquisition.</w:t>
      </w:r>
    </w:p>
    <w:p>
      <w:pPr>
        <w:spacing w:after="0" w:line="11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For the three and six months ended June 30, 2010, other fee revenue increased $262,000, or 23%, and $1.2 million, or 54%, respectively, from the same periods in 2009. This increase is partially due to the ineffectiveness of United’s cash flow and fair value hedges. In the second quarter of 2010, United recognized $239,000 in income from hedge ineffectiveness compared with $36,000 in losses in the second quarter of 2009. For the first six months of 2010, United recognized $849,000 in income from hedge ineffectiveness compared with $172,000 for the same period of 2009. Bank owned life insurance (“BOLI”) earnings also contributed to the year-to-date increase in other fee revenue. In the second half of 2008 and through the first quarter of 2009, United’s BOLI assets were held in money market funds that yielded nominal earnings on the cash surrender value due to a dispute with the carrier that was settled in the second quarter of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 presents the components of operating expenses for the three and six months ended June 30, 2010 and 2009. The table is presented to reflect Brintech as a discontinued operation, and accordingly, operating expenses associated with Brintech have been excluded from the table for all periods presented.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Six Months Ended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3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23,590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26,305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3,511</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3,571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6,784</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7,217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3,818</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1,352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1,125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2,169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3,195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4,121</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6,476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5,737</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25,353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10,056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FDIC assessments and other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regulatory charges</w:t>
            </w: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3,566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6,810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7,192</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9,492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1,122</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8,097</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4,942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58,308</w:t>
            </w: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53,710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113,128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105,498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Loss on sale of nonperforming</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45,349</w:t>
            </w:r>
          </w:p>
        </w:tc>
        <w:tc>
          <w:tcPr>
            <w:tcW w:w="1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45,349</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expenses, excluding</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non-recurring items</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103,657</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53,710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158,477</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105,498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2,898</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103,657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53,710</w:t>
            </w:r>
          </w:p>
        </w:tc>
        <w:tc>
          <w:tcPr>
            <w:tcW w:w="3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158,477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178,396</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Operating expenses before the loss on sale of nonperforming assets and non-recurring items for the second quarter of 2010 were $58.3 million, up $4.6 million, or 9%, from the second quarter of 2009. The $45.3 million loss on the sale of nonperforming assets to Fletcher is primarily responsible for the increase in operating expenses excluding non-recurring items. Although the loss from the bulk sale of nonperforming assets resulted from an isolated event, because disposition of nonperforming assets is considered an operating activity, it is not excluded from operating expenses as a non-recurring item but has been separated to make trend comparisons more meaningful. For the six months ended June 30, 2010, total operating expenses before the loss on sale of nonperforming assets and non-recurring items were $113 million, compared to $105 million for the same period in 2009, which excluded a $70 million charge for goodwill impairment and $2.9 million in severance costs relating to a reduction in force. Including the loss on sale of nonperforming assets and those non-recurring charges, operating expenses for the second quarter of 2010 and 2009 were $104 million and $53.7 million, respectively, and for the first six months of 2010 and 2009 were $158 million and $178 million, respectively.</w:t>
      </w:r>
    </w:p>
    <w:p>
      <w:pPr>
        <w:spacing w:after="0" w:line="15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Salaries and employee benefits for the second quarter 2010 totaled $23.6 million, down $2.7 million, or 10%, from the same period of 2009. For the first six months of 2010, salaries and employee benefits of $48.0 million were down $5.7 million, or 11%, from the first six months of 2009. The decrease is related to the reduction in force at the end of the first quarter of 2009. Headcount totaled 1,821 at June 30, 2010, down from 1,956 at December 31, 2008, reflecting the reduction in force initiated at the end of the first quarter of 2009. This reduction in workforce was partially offset by the addition of 39 employees resulting from the acquisition of SCB in the second quarter of 2009.</w:t>
      </w:r>
    </w:p>
    <w:p>
      <w:pPr>
        <w:spacing w:after="0" w:line="15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Communications and equipment expense of $3.5 million and $6.8 million, respectively, for the three and six months ended June 30, 2010, was down $60,000, or 2% and $433,000 or 6%, respectively, compared to the same periods in 2009. The decrease was primarily due to a reduction in depreciation and maintenance charges.</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Advertising and public relations expense of $1.4 million and $2.4 million, respectively, for the three and six months ended June 30, 2010, was up $227,000, or 20%, and $226,000, or 10%, respectively, compared to the same periods in 2009. The increase was primarily related to advertising campaigns and promotions aimed at increasing core transaction deposits through United’s “Strong Bank, Strong Service” marketing initiative which has been very successful in adding $224 million in core transaction deposits in the past twelve months.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Postage, printing and supplies expense for the second quarter of 2010 totaled $765,000, down $523,000, or 41%, from the same period of 2009. For the first six months of 2010, postage, printing and supplies expense of $2.0 million was down $473,000, or 19%, from the first six months of 2009. United continued its efforts to encourage customers to accept electronic statements and controlled courier expense through the use of remote capture technology.</w:t>
      </w:r>
    </w:p>
    <w:p>
      <w:pPr>
        <w:spacing w:after="0" w:line="160"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Professional fees for the second quarter of 2010 of $2.2 million were down $1.0 million, or 32%, from the same period in 2009. Year-to-date professional fees of $4.1 million were down $2.4 million, or 36%, over the same period in 2009. During the first quarter of 2009, United was engaged in a project to improve operational efficiency and to reduce operating expenses. Consulting services related to that project were performed by Brintech, a wholly-owned subsidiary at the time. Since the table above is presented with Brintech as a discontinued operation, the fees charged by Brintech for those services are no longer eliminated in this table and the Consolidated Statement of Income, and are therefore reflected in the balance of professional fees for the second quarter and first six months of 2009. Lower legal fees in 2010 for credit-related work also contributed to the decrease in professional fees.</w:t>
      </w:r>
    </w:p>
    <w:p>
      <w:pPr>
        <w:spacing w:after="0" w:line="15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Foreclosed property expense of $14.5 million for the second quarter of 2010 was up $8.8 million from the second quarter of 2009. For the six months ended June 30, 2010, foreclosed property expense totaled $25.4 million, compared to $10.1 million for the same period in 2009. Foreclosed property expenses have remained elevated throughout the weak economic cycle. This expense category includes legal fees, property taxes, marketing costs, utility services, maintenance and repair charges, as well as realized losses and write downs associated with foreclosed properties. Realized losses and write downs totaled $11.2 million and $19.3 million for the three and six months ended June 30, 2010, respectively, compared to $2.6 million and $4.2 million for the same period of 2009.</w:t>
      </w:r>
    </w:p>
    <w:p>
      <w:pPr>
        <w:spacing w:after="0" w:line="14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FDIC assessments and other regulatory charges of $3.6 million, and $7.2 million, respectively, for the second quarter and first six months of 2010, decreased $3.3 million and $2.3 million, respectively, from the second quarter and first six months of 2009. The decrease was attributable to the one-time special assessment from the FDIC charged to all depository institutions in 2009.</w:t>
      </w:r>
    </w:p>
    <w:p>
      <w:pPr>
        <w:spacing w:after="0" w:line="12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Other expense of $4.2 million for the second quarter of 2010 increased $3.1 million from the second quarter of 2009. Year-to-date, other expenses of $8.1 million increased $3.2 million from the first six months of 2009. The increase was the result of an accrual reversal in the second quarter of 2009 for $2.4 million related to a disputed charge from the transfer of BOLI investments. The disputed charge was settled in United’s favor during the second quarter of 2009, and reduced other expenses for the period.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Income tax benefit for the second quarter 2010 was $32.9 million as compared with income tax benefit of $14.5 million for the second quarter of 2009, representing an effective tax rate of 35.6% and 47.5%, respectively. For the first six months of 2010, income tax benefit was $55.8 million as compared with income tax benefit of $31.5 million for the same period in 2009, representing an effective tax rate of 37.3% and 20.8%,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 as discussed below.</w:t>
      </w:r>
    </w:p>
    <w:p>
      <w:pPr>
        <w:spacing w:after="0" w:line="15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effective tax rate for the second quarter and first six months of 2010 reflects the tax treatment of the loss on the sale of nonperforming assets to Fletcher and an increase in the valuation allowance on deferred tax assets related to state tax credits with short carryforward periods that are expected to expire unused. An effective tax rate of 40% is expected for the remainder of the year.</w:t>
      </w:r>
    </w:p>
    <w:p>
      <w:pPr>
        <w:spacing w:after="0" w:line="146"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effective tax rate for the second quarter of 2009 reflects a decision by management to reinstate certain BOLI policies which United had surrendered in the third quarter of 2008. United notified the carrier of its intent to surrender the policies in the fourth quarter of 2008 due to a dispute with the carrier. The policies required a six month waiting period before the surrender became effective. Prior to the expiration of the six month waiting period, United and the carrier were able to reach an acceptable settlement of the dispute and the surrender transaction was terminated. The tax charge recorded in 2008 was reversed during the second quarter of 2009. The effective tax rate for the second quarter of 2009, absent the BOLI credit, would have been 38%.</w:t>
      </w:r>
    </w:p>
    <w:p>
      <w:pPr>
        <w:spacing w:after="0" w:line="124"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effective tax rate for the first six months of 2009 also reflects the tax treatment of the $70 million goodwill impairment charge. Since the majority of United’s goodwill originated from acquisitions that were treated as tax-free exchanges, no goodwill was recognized for tax reporting purposes and therefore no tax deduction is allowed for the impairment charge. Likewise, no tax benefit is recognized in the financial statements relating to the $70 million charge. The year-to-date 2009 effective tax rate also reflects a valuation allowance established for deferred tax assets.</w:t>
      </w:r>
    </w:p>
    <w:p>
      <w:pPr>
        <w:spacing w:after="0" w:line="146"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Management determined that it is more likely than not that approximately $5.2 million at June 30, 2010 and $2.3 million at June 30, 2009, net of Federal benefit, in state low income housing tax credits will expire unused due to their very short three to five year carry forward period. There were no unusual tax items in the second quarter or six months ended June 30, 2010, and the effective tax rate of 40% is the expected effective tax rate for the remainder of the year.</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 xml:space="preserve">At June 30, 2010, United had net deferred tax assets of $127 million, including a valuation allowance of $5.2 million related to state tax credits that are expected to expire unused.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June 30, 2010, United’s management believes that it is more likely than not that, with the exception of those state tax credits that are expected to expire unused due to a relatively short carryforward period of only three to five years, it will be able to realize its deferred tax benefits through its ability to carry losses forward to future profitable years. Despite recent losses and the challenging economic environment, United has a history of strong earnings, is well-capitalized, continues to grow its core customer deposit base while maintaining very high customer satisfaction scores, and has cautiously optimistic expectations regarding future taxable income. The deferred tax assets are analyzed quarterly for changes affecting realizability, and there can be no guarantee that a valuation allowance will not be necessary in future periods.</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Additional information regarding income taxes can be found in Note 14 to the consolidated financial statements filed with United’s 2009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Total assets at June 30, 2010 and 2009 were $7.7 billion and $8.5 billion, respectively. Average total assets for the second quarter of 2010 were $7.7 billion, down from $8.2 billion in the second quarter of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88"/>
              </w:rPr>
              <w:t>June 30,</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1,780,142</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1,779,398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1,796,560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342,140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362,566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378,779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441,097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390,520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399,564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2,563,379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2,532,484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2,574,903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819,930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1,050,065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1,315,353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1,355,582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1,427,198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1,469,754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134,139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153,077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4,873,030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5,151,476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5,513,087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40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Atlanta MSA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1,373,631</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1,435,223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1,604,501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343,351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389,766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413,065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North Georgia</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1,807,704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1,883,880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1,977,991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737,639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771,709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794,251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Coastal Georgia</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355,719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405,689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455,143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254,986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265,209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268,136</w:t>
            </w:r>
          </w:p>
        </w:tc>
        <w:tc>
          <w:tcPr>
            <w:tcW w:w="0" w:type="dxa"/>
            <w:vAlign w:val="bottom"/>
          </w:tcPr>
          <w:p>
            <w:pPr>
              <w:spacing w:after="0"/>
              <w:rPr>
                <w:sz w:val="1"/>
                <w:szCs w:val="1"/>
                <w:color w:val="auto"/>
              </w:rPr>
            </w:pPr>
          </w:p>
        </w:tc>
      </w:tr>
      <w:tr>
        <w:trPr>
          <w:trHeight w:val="223"/>
        </w:trPr>
        <w:tc>
          <w:tcPr>
            <w:tcW w:w="540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4,873,030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5,513,087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and Tennessee. At June 30, 2010, total loans, excluding loans acquired from SCB that are covered by loss sharing agreements with the FDIC, were $4.9 billion, a decrease of $640 million, or 12%, from June 30, 2009. The rate of loan growth began to decline in the first quarter of 2007 and the balances have continued to decline through 2008, 2009 and into 2010.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To date, the decline in the housing market has been most severe in the Atlanta, Georgia MSA although there has been migration of deterioration into United’s other markets, particularly north Georgia. The resulting recession that began in the housing market led to high rates of unemployment that resulted in stress in the other segments of United’s loan portfolio.</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6"/>
          <w:szCs w:val="16"/>
          <w:i w:val="1"/>
          <w:iCs w:val="1"/>
          <w:color w:val="auto"/>
        </w:rPr>
        <w:t>Loan Review and Non-performing Assets</w:t>
      </w:r>
      <w:r>
        <w:rPr>
          <w:rFonts w:ascii="Arial" w:cs="Arial" w:eastAsia="Arial" w:hAnsi="Arial"/>
          <w:sz w:val="16"/>
          <w:szCs w:val="16"/>
          <w:color w:val="auto"/>
        </w:rPr>
        <w:t xml:space="preserve"> in United’s Annual Report on Form 10-K.</w:t>
      </w:r>
    </w:p>
    <w:p>
      <w:pPr>
        <w:spacing w:after="0" w:line="11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United classifies performing loans as substandard loans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 by 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69,657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78,436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75,304</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51,696</w:t>
            </w: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50,888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36,316</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33,976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34,491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11,814</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262,351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209,410</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178,833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117,787</w:t>
            </w:r>
          </w:p>
        </w:tc>
        <w:tc>
          <w:tcPr>
            <w:tcW w:w="80" w:type="dxa"/>
            <w:vAlign w:val="bottom"/>
          </w:tcPr>
          <w:p>
            <w:pPr>
              <w:spacing w:after="0"/>
              <w:rPr>
                <w:sz w:val="19"/>
                <w:szCs w:val="19"/>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153,799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196,909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207,711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148,094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79,484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80,812</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79,579</w:t>
            </w: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83,504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71,959</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489,452</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473,247</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341,306</w:t>
            </w:r>
          </w:p>
        </w:tc>
        <w:tc>
          <w:tcPr>
            <w:tcW w:w="8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At June 30, 2010, performing substandard loans totaled $474 million and decreased $26.4 million from the prior quarter-end, and increased $133 million from a year ago. Residential construction loans, particularly in Atlanta, have represented the largest proportion of both performing substandard and nonperforming loans. However, the balance of performing substandard residential construction loans has been declining since the third quarter of 2009, as problems in that portfolio segment are being resolved. The year-over-year increase in substandard residential mortgages is primarily related to rising unemployment rates. The year-over-year increase in substandard commercial loans reflects the recessionary economic environment. The amount of downgrades to the substandard category declined in the second quarter of 2010 leading to a decrease in performing substandard loans from March 31, 2010.</w:t>
      </w:r>
    </w:p>
    <w:p>
      <w:pPr>
        <w:spacing w:after="0" w:line="15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United classifies loans as non-accrual substandard loans (or “non-performing loans”) when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2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Reviews of substandard performing and non-performing loans, past due loans and larger credits, are conducted on a regular basis with management during the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and to ensure the independence of the loan review process.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six months ended June 30, 2010 and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173,934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143,990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155,602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122,271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61,500</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136,500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9,791</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12,727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6,854</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3,671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6,318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6,185</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41,781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85,971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82,612</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6,752</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11,392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6,700</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w:t>
            </w: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62,965</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122,625</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105,069</w:t>
            </w:r>
          </w:p>
        </w:tc>
        <w:tc>
          <w:tcPr>
            <w:tcW w:w="16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60" w:type="dxa"/>
            <w:vAlign w:val="bottom"/>
          </w:tcPr>
          <w:p>
            <w:pPr>
              <w:spacing w:after="0"/>
              <w:rPr>
                <w:sz w:val="20"/>
                <w:szCs w:val="20"/>
                <w:color w:val="auto"/>
              </w:rPr>
            </w:pPr>
          </w:p>
        </w:tc>
      </w:tr>
      <w:tr>
        <w:trPr>
          <w:trHeight w:val="216"/>
        </w:trPr>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61,323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58,312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117,991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101,593</w:t>
            </w:r>
          </w:p>
        </w:tc>
      </w:tr>
      <w:tr>
        <w:trPr>
          <w:trHeight w:val="223"/>
        </w:trPr>
        <w:tc>
          <w:tcPr>
            <w:tcW w:w="416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145,678</w:t>
            </w:r>
          </w:p>
        </w:tc>
        <w:tc>
          <w:tcPr>
            <w:tcW w:w="1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At period-end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4,873,030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5,513,087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4,873,030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5,513,087</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4,934,224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5,583,962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5,012,415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5,629,256</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Allowance as a percentage of non-performing loans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bl>
    <w:p>
      <w:pPr>
        <w:spacing w:after="0" w:line="107"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Excluding impaired loans with no allocated reserve, the coverage ratio was 234% and 82% at June 30, 2010 and 2009.</w:t>
      </w:r>
    </w:p>
    <w:p>
      <w:pPr>
        <w:spacing w:after="0" w:line="18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increases in the provision and the allowance for loan losses compared to a year ago were due to increasing trends in substandard loans, deterioration in the collateral values leading to an expectation of higher charge-offs upon default, further weakening of the residential construction and housing markets, and the recessionary economic environment.</w:t>
      </w:r>
    </w:p>
    <w:p>
      <w:pPr>
        <w:spacing w:after="0" w:line="126"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Management believes that the allowance for loan losses at June 30, 2010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9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224,335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287,848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123,910</w:t>
            </w: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120,770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104,754</w:t>
            </w:r>
          </w:p>
        </w:tc>
      </w:tr>
      <w:tr>
        <w:trPr>
          <w:trHeight w:val="223"/>
        </w:trPr>
        <w:tc>
          <w:tcPr>
            <w:tcW w:w="5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348,245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392,602</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40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r>
    </w:tbl>
    <w:p>
      <w:pPr>
        <w:spacing w:after="0" w:line="93"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18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June 30, 2010, non-performing loans were $224 million, compared to $264 million at December 31, 2009 and $289 million at June 30, 2009. The ratio of non-performing loans to total loans decreased from December 31, 2009 and June 30, 2009 due the sale of approximately $70 million nonperforming loans to Fletcher. Non-performing assets, which include non-performing loans and foreclosed real estate, totaled $348 million at June 30, 2009, compared with $385 million at December 31, 2009 and $393 million at June 30, 2009. The sale of approximately $68 million of foreclosed properties in the second quarter of 2010, including $33 million to Fletcher, was offset by the addition of approximately $67 million of new foreclosed properties. United’s position throughout the recession has been to actively and aggressively work to dispose of problem assets quickly.</w:t>
      </w:r>
    </w:p>
    <w:p>
      <w:pPr>
        <w:spacing w:after="0" w:line="14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 xml:space="preserve">June 30, 2010 </w:t>
            </w:r>
            <w:r>
              <w:rPr>
                <w:rFonts w:ascii="Arial" w:cs="Arial" w:eastAsia="Arial" w:hAnsi="Arial"/>
                <w:sz w:val="12"/>
                <w:szCs w:val="12"/>
                <w:color w:val="auto"/>
              </w:rPr>
              <w:t>(1)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 xml:space="preserve">December 31, 2009 </w:t>
            </w:r>
            <w:r>
              <w:rPr>
                <w:rFonts w:ascii="Arial" w:cs="Arial" w:eastAsia="Arial" w:hAnsi="Arial"/>
                <w:sz w:val="12"/>
                <w:szCs w:val="12"/>
                <w:color w:val="auto"/>
              </w:rPr>
              <w:t>(1)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 xml:space="preserve">June 30, 2009 </w:t>
            </w:r>
            <w:r>
              <w:rPr>
                <w:rFonts w:ascii="Arial" w:cs="Arial" w:eastAsia="Arial" w:hAnsi="Arial"/>
                <w:sz w:val="12"/>
                <w:szCs w:val="12"/>
                <w:color w:val="auto"/>
              </w:rPr>
              <w:t>(1)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6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NPAs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NPAs</w:t>
            </w: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Loans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BY CATEGORY</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line="130" w:lineRule="exact"/>
              <w:rPr>
                <w:sz w:val="20"/>
                <w:szCs w:val="20"/>
                <w:color w:val="auto"/>
              </w:rPr>
            </w:pPr>
            <w:r>
              <w:rPr>
                <w:rFonts w:ascii="Arial" w:cs="Arial" w:eastAsia="Arial" w:hAnsi="Arial"/>
                <w:sz w:val="14"/>
                <w:szCs w:val="14"/>
                <w:color w:val="auto"/>
              </w:rPr>
              <w:t>Commercial (sec. by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200"/>
              <w:spacing w:after="0"/>
              <w:rPr>
                <w:sz w:val="20"/>
                <w:szCs w:val="20"/>
                <w:color w:val="auto"/>
              </w:rPr>
            </w:pPr>
            <w:r>
              <w:rPr>
                <w:rFonts w:ascii="Arial" w:cs="Arial" w:eastAsia="Arial" w:hAnsi="Arial"/>
                <w:sz w:val="14"/>
                <w:szCs w:val="14"/>
                <w:color w:val="auto"/>
              </w:rPr>
              <w:t>RE)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56,013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13,297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69,310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37,040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15,842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52,882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37,755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5,395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43,150</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17,872</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11,339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29,211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19,976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9,761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29,737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15,717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5,847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7,245</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7,245</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3,946</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3,946</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11,378</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11,378</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81,130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24,636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105,766</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60,962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25,603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86,565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64,850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11,242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76,092</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88,375</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74,444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162,819</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142,332</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76,519</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218,851</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176,400</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81,648</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258,048</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53,175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24,830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78,005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58,767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77,415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44,256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11,864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56,120</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Consumer / installment</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1,655</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1,655</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2,342</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224,335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123,910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348,245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264,092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120,770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384,862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287,848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104,754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392,602</w:t>
            </w: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BY MARKET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74,031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30,605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104,636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106,536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41,125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147,661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148,155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50,450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198,605</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10,730</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13,480</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5,074</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2,614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7,688</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9,745</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3,511</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13,256</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102,198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60,597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162,795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87,598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53,072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140,670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72,174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37,454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109,628</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Western North Carolina</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22,776</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11,473</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34,249</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29,610</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5,096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34,706</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21,814</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7,245</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29,059</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8,341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24,889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26,871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17,150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44,021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30,311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3,904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34,215</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East Tennessee</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6,259</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1,937</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8,196</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8,403</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1,713</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10,116</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5,649</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2,190</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7,839</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224,335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123,910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348,245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264,092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120,770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384,862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287,848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104,754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392,602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Non-performing assets in the residential construction category were $163 million at June 30, 2010, compared with $258 million at June 30, 2009, a decrease of $95.2 million, or 37%. While residential construction non-performing assets have begun to decrease, other categories of non-performing assets have experienced significant increases. Commercial non-performing assets of $106 million at June 30, 2010 increased $29.7 million over the prior year and residential mortgage non-performing assets of $78.0 million increased $21.9 million from June 30, 2009. As described previously, the majority of the increase in non-performing assets had been in the Atlanta, Georgia MSA, however Atlanta non-performing assets have been declining, down $94.0 million from June 30, 2009. At the same time, credit problems have migrated beyond Atlanta and are having a greater impact in United’s other markets. United’s north Georgia and western North Carolina markets have seen significant increases. Non-performing assets in the north Georgia market at June 30, 2010 were $163 million, compared to $110 million at the end of the second quarter of 2009. United’s western North Carolina market’s non-performing assets increased $5.2 million from June 30, 2009.</w:t>
      </w:r>
    </w:p>
    <w:p>
      <w:pPr>
        <w:spacing w:after="0" w:line="15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At June 30, 2010 and December 31, 2009, United had $77.9 million and $60.4 million, respectively, in loans with terms that have been modified in a troubled debt restructuring (“TDR”). Included therein were $11.0 million and $7.0 million of TDRs that were not performing in accordance with their modified terms and were included in non-performing loans. The remaining TDRs with an aggregate balance of $66.9 million and $53.4 million, respectively, were performing according to their modified terms and are therefore not considered to be non-performing assets. There were no TDRs reported as of June 30, 2009.</w:t>
      </w:r>
    </w:p>
    <w:p>
      <w:pPr>
        <w:spacing w:after="0" w:line="11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At June 30, 2010, December 31, 2009, and June 30, 2009, there were $163 million, $198 million and $224 million, respectively, of loans classified as impaired. Included in impaired loans at June 30, 2010, December 31, 2009 and June 30, 2009, was $150 million, $182 million and $110 million, respectively, that did not require specific reserves or had previously been charged down to net realizable value. The remaining balance of impaired loans at June 30, 2010, December 31, 2009 and June 30, 2009, of $12.5 million, $16.1 million and $113 million, respectively had specific reserves that totaled $1.1 million, $3.0 million and $24.9 million. The average recorded investment in impaired loans for the quarters ended June 30, 2010 and 2009 was $171 million and $248 million, respectively. There was no interest revenue recognized on loans while they were impaired for the first six months of 2010 or 2009.</w:t>
      </w:r>
    </w:p>
    <w:p>
      <w:pPr>
        <w:spacing w:after="0" w:line="15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the loss sharing agreement with the FDIC, related to the acquisition of SCB, are not included in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 xml:space="preserve">Second Quarter 2010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30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 xml:space="preserve">Second Quarter 2009 </w:t>
            </w:r>
            <w:r>
              <w:rPr>
                <w:rFonts w:ascii="Arial" w:cs="Arial" w:eastAsia="Arial" w:hAnsi="Arial"/>
                <w:sz w:val="15"/>
                <w:szCs w:val="15"/>
                <w:color w:val="auto"/>
              </w:rPr>
              <w:t>(1)</w:t>
            </w:r>
          </w:p>
        </w:tc>
      </w:tr>
      <w:tr>
        <w:trPr>
          <w:trHeight w:val="191"/>
        </w:trPr>
        <w:tc>
          <w:tcPr>
            <w:tcW w:w="2660" w:type="dxa"/>
            <w:vAlign w:val="bottom"/>
          </w:tcPr>
          <w:p>
            <w:pPr>
              <w:spacing w:after="0"/>
              <w:rPr>
                <w:sz w:val="16"/>
                <w:szCs w:val="16"/>
                <w:color w:val="auto"/>
              </w:rPr>
            </w:pPr>
          </w:p>
        </w:tc>
        <w:tc>
          <w:tcPr>
            <w:tcW w:w="122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74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4"/>
              </w:rPr>
              <w:t>Loans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NPAs</w:t>
            </w:r>
          </w:p>
        </w:tc>
        <w:tc>
          <w:tcPr>
            <w:tcW w:w="16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Loans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NPAs</w:t>
            </w:r>
          </w:p>
        </w:tc>
      </w:tr>
      <w:tr>
        <w:trPr>
          <w:trHeight w:val="210"/>
        </w:trPr>
        <w:tc>
          <w:tcPr>
            <w:tcW w:w="2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280,802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136,275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$ 417,077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259,155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75,383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$ 334,538</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155,007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155,007</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169,351</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169,351</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(12,189)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Loan charge-offs</w:t>
            </w:r>
          </w:p>
        </w:tc>
        <w:tc>
          <w:tcPr>
            <w:tcW w:w="16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(62,693)</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(62,693)</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(60,644)</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(60,644)</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(66,994)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66,994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Capitalized costs</w:t>
            </w:r>
          </w:p>
        </w:tc>
        <w:tc>
          <w:tcPr>
            <w:tcW w:w="1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1,324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(69,598)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(68,472)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(138,070)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(33,752)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Write downs</w:t>
            </w:r>
          </w:p>
        </w:tc>
        <w:tc>
          <w:tcPr>
            <w:tcW w:w="1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(6,094)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(6,094)</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(2,738)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(2,738)</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r>
      <w:tr>
        <w:trPr>
          <w:trHeight w:val="223"/>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224,335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123,910</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$ 348,245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287,848</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104,754</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$ 392,602</w:t>
            </w:r>
          </w:p>
        </w:tc>
        <w:tc>
          <w:tcPr>
            <w:tcW w:w="8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 xml:space="preserve">First Six Months 2010 </w:t>
            </w:r>
            <w:r>
              <w:rPr>
                <w:rFonts w:ascii="Arial" w:cs="Arial" w:eastAsia="Arial" w:hAnsi="Arial"/>
                <w:sz w:val="15"/>
                <w:szCs w:val="15"/>
                <w:color w:val="auto"/>
              </w:rPr>
              <w:t>(1)</w:t>
            </w:r>
          </w:p>
        </w:tc>
        <w:tc>
          <w:tcPr>
            <w:tcW w:w="160" w:type="dxa"/>
            <w:vAlign w:val="bottom"/>
          </w:tcPr>
          <w:p>
            <w:pPr>
              <w:spacing w:after="0"/>
              <w:rPr>
                <w:sz w:val="24"/>
                <w:szCs w:val="24"/>
                <w:color w:val="auto"/>
              </w:rPr>
            </w:pPr>
          </w:p>
        </w:tc>
        <w:tc>
          <w:tcPr>
            <w:tcW w:w="30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 xml:space="preserve">First Six Months 2009 </w:t>
            </w:r>
            <w:r>
              <w:rPr>
                <w:rFonts w:ascii="Arial" w:cs="Arial" w:eastAsia="Arial" w:hAnsi="Arial"/>
                <w:sz w:val="15"/>
                <w:szCs w:val="15"/>
                <w:color w:val="auto"/>
              </w:rPr>
              <w:t>(1)</w:t>
            </w:r>
          </w:p>
        </w:tc>
      </w:tr>
      <w:tr>
        <w:trPr>
          <w:trHeight w:val="191"/>
        </w:trPr>
        <w:tc>
          <w:tcPr>
            <w:tcW w:w="2660" w:type="dxa"/>
            <w:vAlign w:val="bottom"/>
          </w:tcPr>
          <w:p>
            <w:pPr>
              <w:spacing w:after="0"/>
              <w:rPr>
                <w:sz w:val="16"/>
                <w:szCs w:val="16"/>
                <w:color w:val="auto"/>
              </w:rPr>
            </w:pPr>
          </w:p>
        </w:tc>
        <w:tc>
          <w:tcPr>
            <w:tcW w:w="122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74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4"/>
              </w:rPr>
              <w:t>Loans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NPAs</w:t>
            </w:r>
          </w:p>
        </w:tc>
        <w:tc>
          <w:tcPr>
            <w:tcW w:w="16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Loans</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NPAs</w:t>
            </w:r>
          </w:p>
        </w:tc>
      </w:tr>
      <w:tr>
        <w:trPr>
          <w:trHeight w:val="210"/>
        </w:trPr>
        <w:tc>
          <w:tcPr>
            <w:tcW w:w="2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264,092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120,770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$ 384,862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190,723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59,768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$ 250,491</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294,037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294,037</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345,110</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345,110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(40,375)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(40,375)</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Loan charge-offs</w:t>
            </w:r>
          </w:p>
        </w:tc>
        <w:tc>
          <w:tcPr>
            <w:tcW w:w="16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(121,590)</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(121,590)</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(104,451)</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(104,451)</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(116,227)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116,227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(103,159)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103,159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Capitalized costs</w:t>
            </w:r>
          </w:p>
        </w:tc>
        <w:tc>
          <w:tcPr>
            <w:tcW w:w="1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625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2,776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2,776</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(78,055)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(94,423)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(172,478)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(56,751)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(56,751)</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Write downs</w:t>
            </w:r>
          </w:p>
        </w:tc>
        <w:tc>
          <w:tcPr>
            <w:tcW w:w="1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(10,673)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(10,673)</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(4,889)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(4,889)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w:t>
            </w:r>
          </w:p>
        </w:tc>
      </w:tr>
      <w:tr>
        <w:trPr>
          <w:trHeight w:val="223"/>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224,335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123,910</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$ 348,245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287,848</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104,754</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$ 392,602</w:t>
            </w:r>
          </w:p>
        </w:tc>
        <w:tc>
          <w:tcPr>
            <w:tcW w:w="8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ectPr>
          <w:pgSz w:w="11900" w:h="16838" w:orient="portrait"/>
          <w:cols w:equalWidth="0" w:num="1">
            <w:col w:w="10219"/>
          </w:cols>
          <w:pgMar w:left="240" w:top="419" w:right="1440" w:bottom="55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5"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Foreclosed property is initially recorded at fair value, less cost to sell. If the fair value, less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OREO are accounted for in accordance with Accounting Standards Codification, Topic 360, Subtopic 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second quarter and first six months of 2010, United transferred foreclosures into OREO of $67.0 and $116 million, respectively. During the same periods, proceeds from sales of OREO were $68.5 million and $94.4 million, respectively. During the second quarter of 2010, United sold approximately $33 million in foreclosed properties to Fletcher.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June 30, 2010 decreased $329 million from a year ago. During the second quarter of 2010, United transferred securities available for sale with a fair value of $315 million to held to maturity. At June 30, 2010, United had securities held to maturity with a carrying value of $322 million and securities available for sale totaling $1.2 billion. At June 30, 2010, December 31, 2009, and June 30, 2009, the securities portfolio represented approximately 19%, 19%, and 21% of total assets, respectively.</w:t>
      </w:r>
    </w:p>
    <w:p>
      <w:pPr>
        <w:spacing w:after="0" w:line="157"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United performed its annual goodwill impairment assessment as of December 31, 2009. United engaged the services of a national third party valuation expert who employed commonly used valuation techniques including an earnings approach that considered discounted future expected cash earnings and two market approaches. The annual goodwill impairment test performed as of December 31, 2009, did not result in the recognition of any goodwill impairment.</w:t>
      </w:r>
    </w:p>
    <w:p>
      <w:pPr>
        <w:spacing w:after="0" w:line="14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Conditions in the second quarter of 2010 did not lead management to believe that further impairment existed at the time. During the first quarter of 2009, United’s stock price fell from $13.58 at December 31, 2008 to a low of $2.28 in the first quarter and ended the first quarter of 2009 at $4.16. Management believed this fall in stock price reflected uncertainty about the economic cycle. Additionally, the stock prices of the peer group used as part of the valuation analysis in the December 31, 2008 goodwill impairment assessment experienced similar declines. The ongoing economic recession resulted in lower earnings with higher credit costs and those costs have been reflected in the income statement as well as valuation adjustments to the loan balances through increases to the level of the allowance for loan losses. With the stock price trading at a significant discount to book value and tangible book value, in addition to these other factors, management believed that goodwill should be re-assessed for impairment in the first quarter of 2009. As a result of this assessment, United recognized a goodwill impairment charge to earnings in the amount of $70 million during the first quarter of 2009. No goodwill impairment was recognized in the second quarter of 2009.</w:t>
      </w:r>
    </w:p>
    <w:p>
      <w:pPr>
        <w:spacing w:after="0" w:line="156"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United will perform its annual goodwill impairment assessment in the fourth quarter of 2010 and will perform interim testing if conditions indicate that further impairment may be present. Events and conditions that could lead to further goodwill impairment include, among other things, changes in the long-term risk free interest rate or any of the risk premium assumptions used to compile the discount rate for the discounted cash flows valuation method used in Step 1, changes in stock price valuations for United or the selected peer group of banks used to determine United’s value under the guideline public companies method or further deterioration in United’s financial performance or outlook for future financial performance.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 initiated several programs in early 2009 to improve core earnings by growing customer transaction deposit accounts and lowering pricing on deposit accounts to improve its net interest margin and increase net interest revenue. The programs were very successful in increasing core transaction deposit accounts and reducing more costly time deposit balances as United’s funding needs decreased due to lower loan demand.</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Total deposits as of June 30, 2010 were $6.3 billion, a decrease of $519 million, or 8%, from June 30, 2009. Total non-interest-bearing demand deposit accounts of $780 million increased $65.3 million, or 9%, due to the success of the core deposit programs. NOW, money market and savings accounts of $2.3 billion increased $241 million, or 12%, which included $83 million of growth in public NOW accounts.</w:t>
      </w:r>
    </w:p>
    <w:p>
      <w:pPr>
        <w:spacing w:after="0" w:line="160"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Total time deposits, excluding brokered deposits, as of June 30, 2010 were $2.7 billion, down $675 million from June 30, 2009. Time deposits less than $100,000 totaled $1.6 billion, a decrease of $417 million, or 21%, from a year ago. Time deposits of $100,000 and greater totaled $1.1 billion as of June 30, 2010, a decrease of $258 million, or 19%, from June 30, 2009. During the second quarter of 2008, United made a decision to actively pursue time deposits by offering a 15 month certificate of deposit at an attractive rate, in order to increase liquidity. The program was successful in adding over $400 million of customer deposits. Most of those certificates of deposit matured in the third quarter of 2009 and United did not offer a special rate upon their maturity. Approximately half of the certificates of deposit that were part of the 15-month special renewed at standard rates in effect at the time of renewal. The other half left the bank, accounting for a large part of the decline in the balance in certificates of deposit from a year ago. United lowered its rates on non-special certificates during 2009, allowing balances to decline as United’s funding needs have declined due to weak loan demand. Brokered deposits as of June 30, 2010 were $612 million, compared to $763 million at June 30, 2009.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$104 million and $283 million as of June 30, 2010 and 2009, respectively. United anticipates continued use of this short- and long-term source of funds. FHLB advances outstanding at June 30, 2010 had fixed interest rates from 2.85% to 4.49%. Additional information regarding FHLB advances, is provided in Note 10 to the consolidated financial statements included in United’s 2009 Form 10-K.</w:t>
      </w:r>
    </w:p>
    <w:p>
      <w:pPr>
        <w:spacing w:after="0" w:line="16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At June 30, 2010, United had $104 million in Federal funds purchased, repurchase agreements, and other short-term borrowings outstanding, compared to $252 million outstanding at June 30, 2009.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4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148"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ectPr>
          <w:pgSz w:w="11900" w:h="16838" w:orient="portrait"/>
          <w:cols w:equalWidth="0" w:num="1">
            <w:col w:w="10219"/>
          </w:cols>
          <w:pgMar w:left="240" w:top="419" w:right="1440" w:bottom="703"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03"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June 30, 2010 made use of the down 200 basis points scenario problematic. At June 30, 2010 United’s simulation model indicated that a 200 basis point increase in rates would cause an approximate .4% increase in net interest revenue over the next twelve months, and a 25 basis point decrease would cause an approximate .2% decrease in net interest revenue over the next twelve months. At June 30, 2009, United’s simulation model indicated that a 200 basis point increase in rates would cause an approximate 1.2% decrease in net interest revenue over the next twelve months and a 25 basis point decrease in rates would cause an approximate .6% increase in net interest revenue over the next twelve months.</w:t>
      </w:r>
    </w:p>
    <w:p>
      <w:pPr>
        <w:spacing w:after="0" w:line="15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interest rate derivative contracts outstanding.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 of June 30, 2010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Notional</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Received /</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Floor Rate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Rate Paid</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15"/>
                <w:szCs w:val="15"/>
                <w:color w:val="auto"/>
                <w:w w:val="96"/>
              </w:rPr>
              <w:t>(3)</w:t>
            </w: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August 27, 2010 </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4.25</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23"/>
        </w:trPr>
        <w:tc>
          <w:tcPr>
            <w:tcW w:w="3980" w:type="dxa"/>
            <w:vAlign w:val="bottom"/>
          </w:tcPr>
          <w:p>
            <w:pPr>
              <w:ind w:left="400"/>
              <w:spacing w:after="0"/>
              <w:rPr>
                <w:sz w:val="20"/>
                <w:szCs w:val="20"/>
                <w:color w:val="auto"/>
              </w:rPr>
            </w:pPr>
            <w:r>
              <w:rPr>
                <w:rFonts w:ascii="Arial" w:cs="Arial" w:eastAsia="Arial" w:hAnsi="Arial"/>
                <w:sz w:val="18"/>
                <w:szCs w:val="18"/>
                <w:b w:val="1"/>
                <w:bCs w:val="1"/>
                <w:color w:val="auto"/>
              </w:rPr>
              <w:t>Total Fair Value Hedges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4.26</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1.46</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June 30, 2010, United had receive fixed, pay LIBOR swap contracts with a total notional amount of $195 million that were accounted for as fair value hedges of brokered deposits.</w:t>
      </w:r>
    </w:p>
    <w:p>
      <w:pPr>
        <w:spacing w:after="0" w:line="153"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at the time of termination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June 30, 2010, United had $26.9 million in gains from terminated derivative positions included in Other Comprehensive Income that will be amortized into earnings over their remaining original contract terms.</w:t>
      </w:r>
    </w:p>
    <w:p>
      <w:pPr>
        <w:spacing w:after="0" w:line="157"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219"/>
          </w:cols>
          <w:pgMar w:left="240" w:top="419" w:right="1440" w:bottom="0" w:gutter="0" w:footer="0" w:header="0"/>
          <w:type w:val="continuous"/>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2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$22.7 million at June 30, 2010, and typically turn over every 45 days as the closed loans are sold to investors in the secondary market.</w:t>
      </w:r>
    </w:p>
    <w:p>
      <w:pPr>
        <w:spacing w:after="0" w:line="114"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1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is limited by applicable law.</w:t>
      </w:r>
    </w:p>
    <w:p>
      <w:pPr>
        <w:spacing w:after="0" w:line="143"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June 30, 2010, United had sufficient qualifying collateral to increase FHLB advances by $867 million and Federal Reserve discount window capacity of $301 million. United’s internal policy limits brokered deposits to 25% of total assets. At June 30, 2010, United had the capacity to increase brokered deposits by $1.3 billion and still remain within this limit. In addition to these wholesale sources, United has the ability to attract retail deposits at any time by competing more aggressively on pricing.</w:t>
      </w:r>
    </w:p>
    <w:p>
      <w:pPr>
        <w:spacing w:after="0" w:line="114"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$60.7 million for the six months ended June 30, 2010. The net loss of $92.8 million for the six month period included non-cash expenses for provision for loan losses of $136 million and the loss on sale of nonperforming assets of $45.3 million. Net cash provided by investing activities of $238 million consisted primarily of purchases of securities of $418 million and purchases of premises and equipment of $3.6 million, that were offset by proceeds from sales of securities of $40.8 million, maturities and calls of investment securities of $444 million, proceeds from sales of other real estate of $80.9 million, a net decrease in loans of $72.9 million and cash received from Fletcher of $20.6 million. Net cash used in financing activities of $307 million consisted primarily of a net decrease of $296 million in deposits and a $10.0 million repayment of FHLB advances. In the opinion of management, United’s liquidity position at June 30, 2010, was sufficient to meet its expected cash flow requirements.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20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Shareholders’ equity at June 30, 2010 was $904 million, a decrease of $57.9 million from December 31, 2009.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decreased $55.0 million from December 31, 2009. During the second quarter of 2010, United recorded a $39.8 million increase to capital surplus as the result of the issuance of equity instruments to Fletcher International in conjunction with the sale of nonperforming assets. United paid $2.3 million in dividends on Series A and Series B preferred stock in the second quarter of 2010 and paid $4.5 million year-to-date. United recognizes that cash dividends are an important component of shareholder value, and therefore, intends to provide for cash dividends when earnings, capital levels and other factors permit.</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2010 and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2010</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Avg Daily</w:t>
            </w:r>
          </w:p>
        </w:tc>
        <w:tc>
          <w:tcPr>
            <w:tcW w:w="80" w:type="dxa"/>
            <w:vAlign w:val="bottom"/>
          </w:tcPr>
          <w:p>
            <w:pPr>
              <w:spacing w:after="0"/>
              <w:rPr>
                <w:sz w:val="16"/>
                <w:szCs w:val="16"/>
                <w:color w:val="auto"/>
              </w:rPr>
            </w:pPr>
          </w:p>
        </w:tc>
      </w:tr>
      <w:tr>
        <w:trPr>
          <w:trHeight w:val="234"/>
        </w:trPr>
        <w:tc>
          <w:tcPr>
            <w:tcW w:w="200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Close</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Volume</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High</w:t>
            </w:r>
          </w:p>
        </w:tc>
        <w:tc>
          <w:tcPr>
            <w:tcW w:w="62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28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Volume</w:t>
            </w:r>
          </w:p>
        </w:tc>
      </w:tr>
      <w:tr>
        <w:trPr>
          <w:trHeight w:val="210"/>
        </w:trPr>
        <w:tc>
          <w:tcPr>
            <w:tcW w:w="20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5.00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3.21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4.41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882,923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$ 13.87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  2.28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4.16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524,492</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Second quarter</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3.95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849,987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9.30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5.99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244,037</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525,369</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3.39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1,041,113</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3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United’s capital ratios, as calculated under regulatory guidelines, at June 30, 2010 and 2009.</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16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340" w:type="dxa"/>
            <w:vAlign w:val="bottom"/>
            <w:gridSpan w:val="4"/>
          </w:tcPr>
          <w:p>
            <w:pPr>
              <w:ind w:left="560"/>
              <w:spacing w:after="0"/>
              <w:rPr>
                <w:sz w:val="20"/>
                <w:szCs w:val="20"/>
                <w:color w:val="auto"/>
              </w:rPr>
            </w:pPr>
            <w:r>
              <w:rPr>
                <w:rFonts w:ascii="Arial" w:cs="Arial" w:eastAsia="Arial" w:hAnsi="Arial"/>
                <w:sz w:val="18"/>
                <w:szCs w:val="18"/>
                <w:b w:val="1"/>
                <w:bCs w:val="1"/>
                <w:color w:val="auto"/>
              </w:rPr>
              <w:t>Regulatory</w:t>
            </w:r>
          </w:p>
        </w:tc>
        <w:tc>
          <w:tcPr>
            <w:tcW w:w="27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United Community Banks, Inc.</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2340" w:type="dxa"/>
            <w:vAlign w:val="bottom"/>
            <w:gridSpan w:val="4"/>
          </w:tcPr>
          <w:p>
            <w:pPr>
              <w:ind w:left="580"/>
              <w:spacing w:after="0"/>
              <w:rPr>
                <w:sz w:val="20"/>
                <w:szCs w:val="20"/>
                <w:color w:val="auto"/>
              </w:rPr>
            </w:pPr>
            <w:r>
              <w:rPr>
                <w:rFonts w:ascii="Arial" w:cs="Arial" w:eastAsia="Arial" w:hAnsi="Arial"/>
                <w:sz w:val="18"/>
                <w:szCs w:val="18"/>
                <w:b w:val="1"/>
                <w:bCs w:val="1"/>
                <w:color w:val="auto"/>
              </w:rPr>
              <w:t>Guidelines</w:t>
            </w:r>
          </w:p>
        </w:tc>
        <w:tc>
          <w:tcPr>
            <w:tcW w:w="27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(Consolidated)</w:t>
            </w:r>
          </w:p>
        </w:tc>
        <w:tc>
          <w:tcPr>
            <w:tcW w:w="21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United Community Bank</w:t>
            </w:r>
          </w:p>
        </w:tc>
      </w:tr>
      <w:tr>
        <w:trPr>
          <w:trHeight w:val="210"/>
        </w:trPr>
        <w:tc>
          <w:tcPr>
            <w:tcW w:w="20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Well</w:t>
            </w:r>
          </w:p>
        </w:tc>
        <w:tc>
          <w:tcPr>
            <w:tcW w:w="340" w:type="dxa"/>
            <w:vAlign w:val="bottom"/>
          </w:tcPr>
          <w:p>
            <w:pPr>
              <w:spacing w:after="0"/>
              <w:rPr>
                <w:sz w:val="18"/>
                <w:szCs w:val="18"/>
                <w:color w:val="auto"/>
              </w:rPr>
            </w:pPr>
          </w:p>
        </w:tc>
        <w:tc>
          <w:tcPr>
            <w:tcW w:w="1740" w:type="dxa"/>
            <w:vAlign w:val="bottom"/>
            <w:tcBorders>
              <w:top w:val="single" w:sz="8" w:color="auto"/>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As of June 30,</w:t>
            </w:r>
          </w:p>
        </w:tc>
        <w:tc>
          <w:tcPr>
            <w:tcW w:w="660" w:type="dxa"/>
            <w:vAlign w:val="bottom"/>
            <w:tcBorders>
              <w:top w:val="single" w:sz="8" w:color="auto"/>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As of June 30,</w:t>
            </w:r>
          </w:p>
        </w:tc>
        <w:tc>
          <w:tcPr>
            <w:tcW w:w="160" w:type="dxa"/>
            <w:vAlign w:val="bottom"/>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Minimum</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Capitalized</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88"/>
              </w:rPr>
              <w:t>Risk-based ratios: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80" w:type="dxa"/>
            <w:vAlign w:val="bottom"/>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10.44%</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Leverage ratio</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r>
      <w:tr>
        <w:trPr>
          <w:trHeight w:val="202"/>
        </w:trPr>
        <w:tc>
          <w:tcPr>
            <w:tcW w:w="2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8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568,047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607,265</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$ 611,990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$ 638,943</w:t>
            </w:r>
          </w:p>
        </w:tc>
      </w:tr>
      <w:tr>
        <w:trPr>
          <w:trHeight w:val="230"/>
        </w:trPr>
        <w:tc>
          <w:tcPr>
            <w:tcW w:w="2080" w:type="dxa"/>
            <w:vAlign w:val="bottom"/>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710,765</w:t>
            </w:r>
          </w:p>
        </w:tc>
        <w:tc>
          <w:tcPr>
            <w:tcW w:w="2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762,476</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707,393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743,137</w:t>
            </w:r>
          </w:p>
        </w:tc>
      </w:tr>
    </w:tbl>
    <w:p>
      <w:pPr>
        <w:spacing w:after="0" w:line="14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capital ratios of United and the Bank currently exceed the minimum ratios as defined by federal regulators. United monitors these ratios to ensure that United and the Bank remain above the regulatory well capitalized guidelines.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June 30, 2010 from that presented in the Annual Report on Form 10-K for the year ended December 31, 2009. The interest rate sensitivity position at June 30, 2010 is included in management’s discussion and analysis on page 43 of this report.</w:t>
      </w:r>
    </w:p>
    <w:p>
      <w:pPr>
        <w:spacing w:after="0" w:line="12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June 30, 2010.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7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The Dodd-Frank Act and related regulations may adversely affect our business, financial condition, liquidity or results of operations.</w:t>
      </w:r>
    </w:p>
    <w:p>
      <w:pPr>
        <w:spacing w:after="0" w:line="139"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The Dodd-Frank Wall Street Reform and Consumer Protection Act of 2010 was enacted on July 21, 2010. The Dodd-Frank Act creates a new Consumer Financial Protection Bureau with power to promulgate and enforce consumer protection laws. Smaller depository institutions, those with $10 billion or less in assets, will be subject to the Consumer Financial Protection Bureau’s rule-writing authority, and existing depository institution regulatory agencies will retain examination and enforcement authority for such institutions. The Dodd-Frank Act also establishes a Financial Stability Oversight Council chaired by the Secretary of the Treasury with authority to identify institutions and practices that might pose a systemic risk and, among other things, includes provisions affecting (1) corporate governance and executive compensation of all companies whose securities are registered with the SEC, (2) FDIC insurance assessments, (3) interchange fees for debit cards, which would be set by the Federal Reserve under a restrictive “reasonable and proportional cost” per transaction standard, (4) minimum capital levels for bank holding companies, subject to a grandfather clause for financial institutions with less than $15 billion in assets, (5) derivative and proprietary trading by financial institutions, and (6) the resolution of large financial institutions.</w:t>
      </w:r>
    </w:p>
    <w:p>
      <w:pPr>
        <w:spacing w:after="0" w:line="13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this time, it is difficult to predict the extent to which the Dodd-Frank Act or the resulting regulations may adversely impact us. However, compliance with these new laws and regulations may increase our costs, limit our ability to pursue attractive business opportunities, cause us to modify our strategies and business operations and increase our capital requirements and constraints, any of which may have a material adverse impact on our business, financial condition, liquidity or results of operations.</w:t>
      </w:r>
    </w:p>
    <w:p>
      <w:pPr>
        <w:spacing w:after="0" w:line="11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Other than the additional risk factor mentioned above, there have been no material changes from the risk factors previously disclosed in United’s Form 10-K for the year ended December 31, 2009.</w:t>
      </w:r>
    </w:p>
    <w:p>
      <w:pPr>
        <w:spacing w:after="0" w:line="139" w:lineRule="exact"/>
        <w:rPr>
          <w:sz w:val="20"/>
          <w:szCs w:val="20"/>
          <w:color w:val="auto"/>
        </w:rPr>
      </w:pPr>
    </w:p>
    <w:p>
      <w:pPr>
        <w:ind w:left="340" w:right="3919"/>
        <w:spacing w:after="0" w:line="459" w:lineRule="auto"/>
        <w:rPr>
          <w:sz w:val="20"/>
          <w:szCs w:val="20"/>
          <w:color w:val="auto"/>
        </w:rPr>
      </w:pPr>
      <w:r>
        <w:rPr>
          <w:rFonts w:ascii="Arial" w:cs="Arial" w:eastAsia="Arial" w:hAnsi="Arial"/>
          <w:sz w:val="18"/>
          <w:szCs w:val="18"/>
          <w:b w:val="1"/>
          <w:bCs w:val="1"/>
          <w:color w:val="auto"/>
        </w:rPr>
        <w:t>Item 2. Unregistered Sales of Equity Securities and Use of Proceeds — None Item 3. Defaults upon Senior Securities — None Item 4. (Removed and Reserved)</w:t>
      </w:r>
    </w:p>
    <w:p>
      <w:pPr>
        <w:spacing w:after="0" w:line="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0" w:type="dxa"/>
            <w:vAlign w:val="bottom"/>
          </w:tcPr>
          <w:p>
            <w:pPr>
              <w:spacing w:after="0"/>
              <w:rPr>
                <w:sz w:val="17"/>
                <w:szCs w:val="17"/>
                <w:color w:val="auto"/>
              </w:rPr>
            </w:pPr>
          </w:p>
        </w:tc>
        <w:tc>
          <w:tcPr>
            <w:tcW w:w="7900" w:type="dxa"/>
            <w:vAlign w:val="bottom"/>
          </w:tcPr>
          <w:p>
            <w:pPr>
              <w:spacing w:after="0"/>
              <w:rPr>
                <w:sz w:val="17"/>
                <w:szCs w:val="17"/>
                <w:color w:val="auto"/>
              </w:rPr>
            </w:pPr>
          </w:p>
        </w:tc>
      </w:tr>
      <w:tr>
        <w:trPr>
          <w:trHeight w:val="534"/>
        </w:trPr>
        <w:tc>
          <w:tcPr>
            <w:tcW w:w="176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  Exhibits</w:t>
            </w:r>
          </w:p>
        </w:tc>
        <w:tc>
          <w:tcPr>
            <w:tcW w:w="7900" w:type="dxa"/>
            <w:vAlign w:val="bottom"/>
          </w:tcPr>
          <w:p>
            <w:pPr>
              <w:spacing w:after="0"/>
              <w:rPr>
                <w:sz w:val="24"/>
                <w:szCs w:val="24"/>
                <w:color w:val="auto"/>
              </w:rPr>
            </w:pP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4"/>
              </w:rPr>
              <w:t>Restated Articles of Incorporation of United Community Banks, Inc., (incorporated herein by reference to</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8"/>
              </w:rPr>
              <w:t>Exhibit 3.1 to United Community Banks, Inc.’s Quarterly Report on Form 10-Q for the quarter ended</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1"/>
              </w:rPr>
              <w:t>Amendment to the Restated Articles of Incorporation of United Community Banks, Inc. (incorporated herein</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5"/>
              </w:rPr>
              <w:t>by reference to Exhibit 3.3 to United Community Banks, Inc.’s Registration Statement on Form S-4, File</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No. 333-118893, filed with the Commission on September 9, 2004).</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Certificate of Designation of the Common Stock Equivalent Junior Preferred Stock, dated March 31, 2010</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4.1 to United Community Banks, Inc.’s Current Report on Form 8-K,</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filed with the Commission on April 1, 2010.)</w:t>
            </w:r>
          </w:p>
        </w:tc>
      </w:tr>
      <w:tr>
        <w:trPr>
          <w:trHeight w:val="432"/>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6"/>
              </w:rPr>
              <w:t>Certificate of Rights and Preferences of the Series C Convertible Preferred Stock, dated April 1, 2010.</w:t>
            </w:r>
          </w:p>
        </w:tc>
      </w:tr>
      <w:tr>
        <w:trPr>
          <w:trHeight w:val="432"/>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Amendment to the Restated Articles of Incorporation, dated May 27,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1"/>
              </w:rPr>
              <w:t>Amended and Restated Bylaws of United Community Banks, Inc., dated September 12, 1997 (incorporated</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herein by reference to Exhibit 3.1 to United Community Banks, Inc.’s Annual Report on Form 10-K, for the</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year ended December 31, 1997, File No. 0-21656, filed with the Commission on March 27, 1998).</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6"/>
              </w:rPr>
              <w:t>See Exhibits 3.1, 3.2 and 3.3 for provisions of the Restated Articles of Incorporation, as amended, and</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7"/>
              </w:rPr>
              <w:t>Asset Purchase Agreement, dated April 1, 2010 by and among United Community Bank and Fletcher</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0"/>
              </w:rPr>
              <w:t>International, Inc. and certain affiliates thereof who may become parties thereto as purchasers (incorporated</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4"/>
              </w:rPr>
              <w:t>by reference to Exhibit 1.1 to United Community Banks, Inc.’s Current Report on Form 8-K, filed with the</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Commission on April 1,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Securities Purchase Agreement, dated April 1, 2010 between United Community Banks, Inc. and Fletcher</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6"/>
              </w:rPr>
              <w:t>International, Ltd. (incorporated by reference to Exhibit 1.2 to United Community Banks, Inc.’s Current</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Report on Form 8-K, filed with the Commission on April 1,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Form of Warrant to be granted by United Community Banks, Inc. to Fletcher International, Ltd.</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1.3 to United Community Banks, Inc.’s Current Report on Form 8-K,</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filed with the Commission on April 1,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89"/>
              </w:rPr>
              <w:t>Amendment to Securities Purchase Agreement, dated June 11, 2010 between United Community Banks, Inc.</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2"/>
              </w:rPr>
              <w:t>and Fletcher International, Ltd. (incorporated by reference to Exhibit 1.1 to United Community Banks, Inc.’s</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Current Report on Form 8-K, filed with the Commission on June 14,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4"/>
              </w:rPr>
              <w:t>Amendment to Warrants to Purchase Shares of Common Stock of United Community Banks, Inc., dated</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4"/>
              </w:rPr>
              <w:t>June 11, 2010, between United Community Banks, Inc. and Fletcher International, Ltd. (incorporated by</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7"/>
              </w:rPr>
              <w:t>reference to Exhibit 1.2 to United Community Banks, Inc.’s Current Report on Form 8-K, filed with the</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Commission on June 14, 2010.)</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w w:val="93"/>
              </w:rPr>
              <w:t>Certification by Jimmy C. Tallent, President and Chief Executive Officer of United Community Banks, Inc.,</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418"/>
        </w:trPr>
        <w:tc>
          <w:tcPr>
            <w:tcW w:w="136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820" w:right="559" w:hanging="897"/>
        <w:spacing w:after="0" w:line="277"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August 4, 2010</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419" w:right="1440" w:bottom="1440" w:gutter="0" w:footer="0" w:header="0"/>
        </w:sectPr>
      </w:pPr>
    </w:p>
    <w:bookmarkStart w:id="57" w:name="page58"/>
    <w:bookmarkEnd w:id="57"/>
    <w:p>
      <w:pPr>
        <w:jc w:val="right"/>
        <w:ind w:right="559"/>
        <w:spacing w:after="0"/>
        <w:rPr>
          <w:sz w:val="20"/>
          <w:szCs w:val="20"/>
          <w:color w:val="auto"/>
        </w:rPr>
      </w:pPr>
      <w:r>
        <w:rPr>
          <w:rFonts w:ascii="Arial" w:cs="Arial" w:eastAsia="Arial" w:hAnsi="Arial"/>
          <w:sz w:val="18"/>
          <w:szCs w:val="18"/>
          <w:b w:val="1"/>
          <w:bCs w:val="1"/>
          <w:color w:val="auto"/>
        </w:rPr>
        <w:t>Exhibit 3.4</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CERTIFICATE OF RIGHTS AND PREFERENCES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SERIES C CONVERTIBLE PREFERRED STOCK</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UNITED COMMUNITY BANKS, INC.</w:t>
      </w:r>
    </w:p>
    <w:p>
      <w:pPr>
        <w:spacing w:after="0" w:line="18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April 1, 2010</w:t>
      </w:r>
    </w:p>
    <w:p>
      <w:pPr>
        <w:spacing w:after="0" w:line="189" w:lineRule="exact"/>
        <w:rPr>
          <w:sz w:val="20"/>
          <w:szCs w:val="20"/>
          <w:color w:val="auto"/>
        </w:rPr>
      </w:pPr>
    </w:p>
    <w:p>
      <w:pPr>
        <w:ind w:right="559" w:firstLine="373"/>
        <w:spacing w:after="0" w:line="255" w:lineRule="auto"/>
        <w:rPr>
          <w:sz w:val="20"/>
          <w:szCs w:val="20"/>
          <w:color w:val="auto"/>
        </w:rPr>
      </w:pPr>
      <w:r>
        <w:rPr>
          <w:rFonts w:ascii="Arial" w:cs="Arial" w:eastAsia="Arial" w:hAnsi="Arial"/>
          <w:sz w:val="18"/>
          <w:szCs w:val="18"/>
          <w:color w:val="auto"/>
        </w:rPr>
        <w:t>Pursuant to Section 14-2-602 of the Georgia Business Corporation Code and Article V of the Restated Articles of Incorporation, as amended, of United Community Banks, Inc., a corporation organized and existing under the laws of the State of Georgia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the following resolution was duly adopted by the Board of Directors of the Company effective as of March 26, 2010 pursuant to authority conferred upon the Board of Directors by the Restated Articles of Incorporation of the Company, as amended, which authorize the issuance of up to Ten Million (10,000,000) shares of preferred stock, par value $1.00 per share.</w:t>
      </w:r>
    </w:p>
    <w:p>
      <w:pPr>
        <w:spacing w:after="0" w:line="153" w:lineRule="exact"/>
        <w:rPr>
          <w:sz w:val="20"/>
          <w:szCs w:val="20"/>
          <w:color w:val="auto"/>
        </w:rPr>
      </w:pPr>
    </w:p>
    <w:p>
      <w:pPr>
        <w:ind w:right="719" w:firstLine="373"/>
        <w:spacing w:after="0" w:line="293" w:lineRule="auto"/>
        <w:rPr>
          <w:sz w:val="20"/>
          <w:szCs w:val="20"/>
          <w:color w:val="auto"/>
        </w:rPr>
      </w:pPr>
      <w:r>
        <w:rPr>
          <w:rFonts w:ascii="Arial" w:cs="Arial" w:eastAsia="Arial" w:hAnsi="Arial"/>
          <w:sz w:val="16"/>
          <w:szCs w:val="16"/>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138" w:lineRule="exact"/>
        <w:rPr>
          <w:sz w:val="20"/>
          <w:szCs w:val="20"/>
          <w:color w:val="auto"/>
        </w:rPr>
      </w:pPr>
    </w:p>
    <w:p>
      <w:pPr>
        <w:ind w:right="1059" w:firstLine="365"/>
        <w:spacing w:after="0" w:line="277" w:lineRule="auto"/>
        <w:tabs>
          <w:tab w:leader="none" w:pos="55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number of shares constituting the Series C Convertible Preferred Stock shall be Sixty-Five Thousand (65,000), all of which are issuable solely under the Agreement.</w:t>
      </w:r>
    </w:p>
    <w:p>
      <w:pPr>
        <w:spacing w:after="0" w:line="129" w:lineRule="exact"/>
        <w:rPr>
          <w:rFonts w:ascii="Arial" w:cs="Arial" w:eastAsia="Arial" w:hAnsi="Arial"/>
          <w:sz w:val="18"/>
          <w:szCs w:val="18"/>
          <w:color w:val="auto"/>
        </w:rPr>
      </w:pPr>
    </w:p>
    <w:p>
      <w:pPr>
        <w:ind w:right="1239" w:firstLine="365"/>
        <w:spacing w:after="0" w:line="277" w:lineRule="auto"/>
        <w:tabs>
          <w:tab w:leader="none" w:pos="55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when used herein the following terms shall have the meaning indicated.</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6(f)(iii)(C)</w:t>
      </w:r>
      <w:r>
        <w:rPr>
          <w:rFonts w:ascii="Arial" w:cs="Arial" w:eastAsia="Arial" w:hAnsi="Arial"/>
          <w:sz w:val="18"/>
          <w:szCs w:val="18"/>
          <w:color w:val="auto"/>
        </w:rPr>
        <w:t>.</w:t>
      </w:r>
    </w:p>
    <w:p>
      <w:pPr>
        <w:spacing w:after="0" w:line="185" w:lineRule="exact"/>
        <w:rPr>
          <w:sz w:val="20"/>
          <w:szCs w:val="20"/>
          <w:color w:val="auto"/>
        </w:rPr>
      </w:pPr>
    </w:p>
    <w:p>
      <w:pPr>
        <w:ind w:right="559" w:firstLine="37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Company, as amended.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8" w:name="page59"/>
    <w:bookmarkEnd w:id="58"/>
    <w:p>
      <w:pPr>
        <w:ind w:right="59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154" w:lineRule="exact"/>
        <w:rPr>
          <w:sz w:val="20"/>
          <w:szCs w:val="20"/>
          <w:color w:val="auto"/>
        </w:rPr>
      </w:pPr>
    </w:p>
    <w:p>
      <w:pPr>
        <w:ind w:right="699" w:firstLine="37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Rights and Preference</w:t>
      </w:r>
      <w:r>
        <w:rPr>
          <w:rFonts w:ascii="Arial" w:cs="Arial" w:eastAsia="Arial" w:hAnsi="Arial"/>
          <w:sz w:val="16"/>
          <w:szCs w:val="16"/>
          <w:color w:val="auto"/>
        </w:rPr>
        <w:t>s” means this Certificate of Rights and Preferences of the Series C Preferred Stock.</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w:t>
      </w:r>
      <w:r>
        <w:rPr>
          <w:rFonts w:ascii="Arial" w:cs="Arial" w:eastAsia="Arial" w:hAnsi="Arial"/>
          <w:sz w:val="18"/>
          <w:szCs w:val="18"/>
          <w:color w:val="auto"/>
        </w:rPr>
        <w:t>.</w:t>
      </w:r>
    </w:p>
    <w:p>
      <w:pPr>
        <w:spacing w:after="0" w:line="185" w:lineRule="exact"/>
        <w:rPr>
          <w:sz w:val="20"/>
          <w:szCs w:val="20"/>
          <w:color w:val="auto"/>
        </w:rPr>
      </w:pPr>
    </w:p>
    <w:p>
      <w:pPr>
        <w:ind w:right="719" w:firstLine="37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 Junior Preferred Stock</w:t>
      </w:r>
      <w:r>
        <w:rPr>
          <w:rFonts w:ascii="Arial" w:cs="Arial" w:eastAsia="Arial" w:hAnsi="Arial"/>
          <w:sz w:val="18"/>
          <w:szCs w:val="18"/>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48" w:lineRule="exact"/>
        <w:rPr>
          <w:sz w:val="20"/>
          <w:szCs w:val="20"/>
          <w:color w:val="auto"/>
        </w:rPr>
      </w:pPr>
    </w:p>
    <w:p>
      <w:pPr>
        <w:ind w:right="659" w:firstLine="37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60" w:lineRule="exact"/>
        <w:rPr>
          <w:sz w:val="20"/>
          <w:szCs w:val="20"/>
          <w:color w:val="auto"/>
        </w:rPr>
      </w:pPr>
    </w:p>
    <w:p>
      <w:pPr>
        <w:ind w:right="97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United Community Banks, Inc., a Georgia corporation (or any Acquiring Person from and after the consummation of a Change of Control).</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Six Dollars and Two Cents ($6.02), subject to adjustment as set forth herein.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Market Price</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9" w:name="page60"/>
    <w:bookmarkEnd w:id="5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85" w:lineRule="exact"/>
        <w:rPr>
          <w:sz w:val="20"/>
          <w:szCs w:val="20"/>
          <w:color w:val="auto"/>
        </w:rPr>
      </w:pPr>
    </w:p>
    <w:p>
      <w:pPr>
        <w:ind w:right="619" w:firstLine="37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Rate</w:t>
      </w:r>
      <w:r>
        <w:rPr>
          <w:rFonts w:ascii="Arial" w:cs="Arial" w:eastAsia="Arial" w:hAnsi="Arial"/>
          <w:sz w:val="16"/>
          <w:szCs w:val="16"/>
          <w:color w:val="auto"/>
        </w:rPr>
        <w:t xml:space="preserve">” means (i) prior to receipt of the Stockholder Consent, a rate equal to One Thousand Dollars ($1,000) per share multiplied by the lesser of (a) 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(ii) after receipt of the Stockholder Consent, a rate equal to One Thousand Dollars ($1,000) per share multiplied by the lesser of (a) eight percent (8%) per annum and (b) the sum of the three (3)-month London Interbank Offer Rate (LIBOR) determined as of the first day of the Dividend Period (or if the first day of the Dividend Period is not a Business Day, then the first Business Day after the first day of the Dividend Period) plus four percent (4%) per annum, subject to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Fletcher</w:t>
      </w:r>
      <w:r>
        <w:rPr>
          <w:rFonts w:ascii="Arial" w:cs="Arial" w:eastAsia="Arial" w:hAnsi="Arial"/>
          <w:sz w:val="18"/>
          <w:szCs w:val="18"/>
          <w:color w:val="auto"/>
        </w:rPr>
        <w:t>” means Fletcher International, Ltd. a company domiciled in Bermuda, together with its successors.</w:t>
      </w:r>
    </w:p>
    <w:p>
      <w:pPr>
        <w:spacing w:after="0" w:line="185" w:lineRule="exact"/>
        <w:rPr>
          <w:sz w:val="20"/>
          <w:szCs w:val="20"/>
          <w:color w:val="auto"/>
        </w:rPr>
      </w:pPr>
    </w:p>
    <w:p>
      <w:pPr>
        <w:ind w:right="699" w:firstLine="37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Period</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right="8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with respect to any shares of Series C Preferred Stock the original date of issuance of such shares of Series C Preferred Stock.</w:t>
      </w:r>
    </w:p>
    <w:p>
      <w:pPr>
        <w:spacing w:after="0" w:line="130" w:lineRule="exact"/>
        <w:rPr>
          <w:sz w:val="20"/>
          <w:szCs w:val="20"/>
          <w:color w:val="auto"/>
        </w:rPr>
      </w:pPr>
    </w:p>
    <w:p>
      <w:pPr>
        <w:ind w:right="599" w:firstLine="37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means Capital Stock that, with respect to dividends and distributions upon Liquidation, ranks junior to the Series C Preferred Stock, including but not limited to Common Stock, Common Stock Equivalent Junior Preferred Stock and 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138" w:lineRule="exact"/>
        <w:rPr>
          <w:sz w:val="20"/>
          <w:szCs w:val="20"/>
          <w:color w:val="auto"/>
        </w:rPr>
      </w:pPr>
    </w:p>
    <w:p>
      <w:pPr>
        <w:ind w:right="719" w:firstLine="37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means the voluntary or involuntary liquidation, dissolution or winding up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3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0" w:name="page61"/>
    <w:bookmarkEnd w:id="6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8" w:lineRule="exact"/>
        <w:rPr>
          <w:sz w:val="20"/>
          <w:szCs w:val="20"/>
          <w:color w:val="auto"/>
        </w:rPr>
      </w:pPr>
    </w:p>
    <w:p>
      <w:pPr>
        <w:ind w:right="69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Series C Preferred Stock</w:t>
      </w:r>
      <w:r>
        <w:rPr>
          <w:rFonts w:ascii="Arial" w:cs="Arial" w:eastAsia="Arial" w:hAnsi="Arial"/>
          <w:sz w:val="18"/>
          <w:szCs w:val="18"/>
          <w:color w:val="auto"/>
        </w:rPr>
        <w:t>” means more than fifty percent (50%) of the then outstanding shares of Series C Preferred Stock.</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right="77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Cash Dividend</w:t>
      </w:r>
      <w:r>
        <w:rPr>
          <w:rFonts w:ascii="Arial" w:cs="Arial" w:eastAsia="Arial" w:hAnsi="Arial"/>
          <w:sz w:val="18"/>
          <w:szCs w:val="18"/>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141" w:lineRule="exact"/>
        <w:rPr>
          <w:sz w:val="20"/>
          <w:szCs w:val="20"/>
          <w:color w:val="auto"/>
        </w:rPr>
      </w:pPr>
    </w:p>
    <w:p>
      <w:pPr>
        <w:ind w:right="599" w:firstLine="3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as to any Acquiring Person, any Person that (i) controls the Acquiring Person directly or indirectly through one or more intermediaries, (ii) 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153" w:lineRule="exact"/>
        <w:rPr>
          <w:sz w:val="20"/>
          <w:szCs w:val="20"/>
          <w:color w:val="auto"/>
        </w:rPr>
      </w:pPr>
    </w:p>
    <w:p>
      <w:pPr>
        <w:ind w:right="133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xml:space="preserve">” means any class or series of Capital Stock that, with respect to dividends or distributions upon Liquidation,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 Preferred Stock.</w:t>
      </w:r>
    </w:p>
    <w:p>
      <w:pPr>
        <w:spacing w:after="0" w:line="143" w:lineRule="exact"/>
        <w:rPr>
          <w:sz w:val="20"/>
          <w:szCs w:val="20"/>
          <w:color w:val="auto"/>
        </w:rPr>
      </w:pPr>
    </w:p>
    <w:p>
      <w:pPr>
        <w:ind w:right="73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141" w:lineRule="exact"/>
        <w:rPr>
          <w:sz w:val="20"/>
          <w:szCs w:val="20"/>
          <w:color w:val="auto"/>
        </w:rPr>
      </w:pPr>
    </w:p>
    <w:p>
      <w:pPr>
        <w:ind w:right="147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Company’s preferred stock authorized pursuant to the provisions of the Articles of Incorporation.</w:t>
      </w:r>
    </w:p>
    <w:p>
      <w:pPr>
        <w:spacing w:after="0" w:line="130" w:lineRule="exact"/>
        <w:rPr>
          <w:sz w:val="20"/>
          <w:szCs w:val="20"/>
          <w:color w:val="auto"/>
        </w:rPr>
      </w:pPr>
    </w:p>
    <w:p>
      <w:pPr>
        <w:ind w:right="559" w:firstLine="37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Prevailing Market Price</w:t>
      </w:r>
      <w:r>
        <w:rPr>
          <w:rFonts w:ascii="Arial" w:cs="Arial" w:eastAsia="Arial" w:hAnsi="Arial"/>
          <w:sz w:val="18"/>
          <w:szCs w:val="18"/>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Arial" w:cs="Arial" w:eastAsia="Arial" w:hAnsi="Arial"/>
          <w:sz w:val="18"/>
          <w:szCs w:val="18"/>
          <w:u w:val="single" w:color="auto"/>
          <w:color w:val="auto"/>
        </w:rPr>
        <w:t>Section 6(f)</w:t>
      </w:r>
      <w:r>
        <w:rPr>
          <w:rFonts w:ascii="Arial" w:cs="Arial" w:eastAsia="Arial" w:hAnsi="Arial"/>
          <w:sz w:val="18"/>
          <w:szCs w:val="18"/>
          <w:color w:val="auto"/>
        </w:rPr>
        <w:t>, the common stock of such Acquiring Person or such Parent) for the twenty-five (25) Business Days ending on and including the third (3</w:t>
      </w:r>
      <w:r>
        <w:rPr>
          <w:rFonts w:ascii="Arial" w:cs="Arial" w:eastAsia="Arial" w:hAnsi="Arial"/>
          <w:sz w:val="15"/>
          <w:szCs w:val="15"/>
          <w:color w:val="auto"/>
        </w:rPr>
        <w:t>rd</w:t>
      </w:r>
      <w:r>
        <w:rPr>
          <w:rFonts w:ascii="Arial" w:cs="Arial" w:eastAsia="Arial" w:hAnsi="Arial"/>
          <w:sz w:val="18"/>
          <w:szCs w:val="18"/>
          <w:color w:val="auto"/>
        </w:rPr>
        <w:t>) Business Day before such reference date.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means Five Dollars and Twenty-Five Cents ($5.25), subject to adjustment as set forth herein.</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6(b)(ii)</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1" w:name="page62"/>
    <w:bookmarkEnd w:id="6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85" w:lineRule="exact"/>
        <w:rPr>
          <w:sz w:val="20"/>
          <w:szCs w:val="20"/>
          <w:color w:val="auto"/>
        </w:rPr>
      </w:pPr>
    </w:p>
    <w:p>
      <w:pPr>
        <w:ind w:right="101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and the rules and regulations promulgated thereunder.</w:t>
      </w:r>
    </w:p>
    <w:p>
      <w:pPr>
        <w:spacing w:after="0" w:line="130" w:lineRule="exact"/>
        <w:rPr>
          <w:sz w:val="20"/>
          <w:szCs w:val="20"/>
          <w:color w:val="auto"/>
        </w:rPr>
      </w:pPr>
    </w:p>
    <w:p>
      <w:pPr>
        <w:ind w:right="129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class or series of Capital Stock that, with respect to dividends or distributions upon Liquidation, ranks senior to the Series C Preferred Stock.</w:t>
      </w:r>
    </w:p>
    <w:p>
      <w:pPr>
        <w:spacing w:after="0" w:line="143" w:lineRule="exact"/>
        <w:rPr>
          <w:sz w:val="20"/>
          <w:szCs w:val="20"/>
          <w:color w:val="auto"/>
        </w:rPr>
      </w:pPr>
    </w:p>
    <w:p>
      <w:pPr>
        <w:ind w:right="7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means the Series C Convertible Preferred Stock of the Company or successor as contemplated by </w:t>
      </w:r>
      <w:r>
        <w:rPr>
          <w:rFonts w:ascii="Arial" w:cs="Arial" w:eastAsia="Arial" w:hAnsi="Arial"/>
          <w:sz w:val="18"/>
          <w:szCs w:val="18"/>
          <w:u w:val="single" w:color="auto"/>
          <w:color w:val="auto"/>
        </w:rPr>
        <w:t>Section 6(f)</w:t>
      </w:r>
      <w:r>
        <w:rPr>
          <w:rFonts w:ascii="Arial" w:cs="Arial" w:eastAsia="Arial" w:hAnsi="Arial"/>
          <w:sz w:val="18"/>
          <w:szCs w:val="18"/>
          <w:color w:val="auto"/>
        </w:rPr>
        <w:t>.</w:t>
      </w:r>
    </w:p>
    <w:p>
      <w:pPr>
        <w:spacing w:after="0" w:line="130" w:lineRule="exact"/>
        <w:rPr>
          <w:sz w:val="20"/>
          <w:szCs w:val="20"/>
          <w:color w:val="auto"/>
        </w:rPr>
      </w:pPr>
    </w:p>
    <w:p>
      <w:pPr>
        <w:ind w:right="659" w:firstLine="37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Value</w:t>
      </w:r>
      <w:r>
        <w:rPr>
          <w:rFonts w:ascii="Arial" w:cs="Arial" w:eastAsia="Arial" w:hAnsi="Arial"/>
          <w:sz w:val="16"/>
          <w:szCs w:val="16"/>
          <w:color w:val="auto"/>
        </w:rPr>
        <w:t xml:space="preserve">” is an amount equal to One Thousand Dollars ($1,000) per share of Series C Preferred Stock plus (x) any unpaid dividends on the Series C Preferred Stock (as of the date of determination, which for purposes of </w:t>
      </w:r>
      <w:r>
        <w:rPr>
          <w:rFonts w:ascii="Arial" w:cs="Arial" w:eastAsia="Arial" w:hAnsi="Arial"/>
          <w:sz w:val="16"/>
          <w:szCs w:val="16"/>
          <w:u w:val="single" w:color="auto"/>
          <w:color w:val="auto"/>
        </w:rPr>
        <w:t>Sections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 (A) 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 (3) calendar days prior to such declaration; (ii) if actively traded over-the-counter, the value shall be deemed to be the average of the closing bid or sale prices (whichever is applicable) over the twenty-five (25) Business Day period ending three (3) calendar days prior to such declaration; and (iii) if there is no active public market, the value shall be the fair market value thereof, as determined in good faith by the Board.</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 Date</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right="719" w:firstLine="37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(i) a corporation, a majority of whose stock with voting power, under ordinary circumstances, to elect directors is at the time of determination, directly or indirectly, owned by such Person or by one or more Subsidiaries of such Person, or (ii) 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foregoing definitions will be equally applicable to both the singular and plural forms of the defined terms.</w:t>
      </w:r>
    </w:p>
    <w:p>
      <w:pPr>
        <w:spacing w:after="0" w:line="198" w:lineRule="exact"/>
        <w:rPr>
          <w:sz w:val="20"/>
          <w:szCs w:val="20"/>
          <w:color w:val="auto"/>
        </w:rPr>
      </w:pPr>
    </w:p>
    <w:p>
      <w:pPr>
        <w:ind w:left="180" w:hanging="175"/>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559" w:firstLine="364"/>
        <w:spacing w:after="0" w:line="284" w:lineRule="auto"/>
        <w:tabs>
          <w:tab w:leader="none" w:pos="6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Holders shall be entitled to receive out of the assets of the Company legally available for that purpose, cash dividends at the Dividend Rate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 shares is greater) of a share of the Series C Preferred Shares on the date such dividend is declared,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period from the Issue Date to March 31, 2010, and each quarterly period between consecutive Dividend Payment Dates shall hereinafter be referred to as a “</w:t>
      </w:r>
      <w:r>
        <w:rPr>
          <w:rFonts w:ascii="Arial" w:cs="Arial" w:eastAsia="Arial" w:hAnsi="Arial"/>
          <w:sz w:val="16"/>
          <w:szCs w:val="16"/>
          <w:u w:val="single" w:color="auto"/>
          <w:color w:val="auto"/>
        </w:rPr>
        <w:t>Dividend Period</w:t>
      </w:r>
      <w:r>
        <w:rPr>
          <w:rFonts w:ascii="Arial" w:cs="Arial" w:eastAsia="Arial" w:hAnsi="Arial"/>
          <w:sz w:val="16"/>
          <w:szCs w:val="16"/>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63" w:name="page64"/>
    <w:bookmarkEnd w:id="63"/>
    <w:p>
      <w:pPr>
        <w:ind w:left="-5" w:right="679" w:firstLine="364"/>
        <w:spacing w:after="0" w:line="290" w:lineRule="auto"/>
        <w:tabs>
          <w:tab w:leader="none" w:pos="6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So long as any shares of the Series C Preferred Stock shall be outstanding, (i) the Company shall not and shall not allow its 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139" w:lineRule="exact"/>
        <w:rPr>
          <w:rFonts w:ascii="Arial" w:cs="Arial" w:eastAsia="Arial" w:hAnsi="Arial"/>
          <w:sz w:val="16"/>
          <w:szCs w:val="16"/>
          <w:color w:val="auto"/>
        </w:rPr>
      </w:pPr>
    </w:p>
    <w:p>
      <w:pPr>
        <w:ind w:left="-5" w:right="559" w:firstLine="364"/>
        <w:spacing w:after="0" w:line="255" w:lineRule="auto"/>
        <w:tabs>
          <w:tab w:leader="none" w:pos="5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whenever, at any time or times after the Company has obtained the approval of the stockholders of the Company to increase the authorized number of shares of Common Stock, the Company shall fail to redeem any Series C Preferred Stock by the date it is obligated to do so under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152" w:lineRule="exact"/>
        <w:rPr>
          <w:rFonts w:ascii="Arial" w:cs="Arial" w:eastAsia="Arial" w:hAnsi="Arial"/>
          <w:sz w:val="18"/>
          <w:szCs w:val="18"/>
          <w:color w:val="auto"/>
        </w:rPr>
      </w:pPr>
    </w:p>
    <w:p>
      <w:pPr>
        <w:ind w:left="-5" w:right="619" w:firstLine="364"/>
        <w:spacing w:after="0" w:line="264" w:lineRule="auto"/>
        <w:tabs>
          <w:tab w:leader="none" w:pos="6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140" w:lineRule="exact"/>
        <w:rPr>
          <w:rFonts w:ascii="Arial" w:cs="Arial" w:eastAsia="Arial" w:hAnsi="Arial"/>
          <w:sz w:val="18"/>
          <w:szCs w:val="18"/>
          <w:color w:val="auto"/>
        </w:rPr>
      </w:pPr>
    </w:p>
    <w:p>
      <w:pPr>
        <w:ind w:left="-365" w:right="579" w:firstLine="365"/>
        <w:spacing w:after="0" w:line="289" w:lineRule="auto"/>
        <w:tabs>
          <w:tab w:leader="none" w:pos="18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In the event of any Liquidation, after payment or provision for payment by the Company of the debts and 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 (b) the amount the Holders would have received if the Holders had converted all outstanding shares of Series C Preferred Stock into Common Stock and/or Common Stock Equivalent Junior Preferred Stock in accordance with the provisions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or redeemed all outstanding shares of Series C Preferred Stock into Common Stock and/or Common Stock Equivalent Junior Preferred Stock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(whichever is greater), in each case as of the Business Day immediately preceding the</w:t>
      </w:r>
    </w:p>
    <w:p>
      <w:pPr>
        <w:spacing w:after="0" w:line="200" w:lineRule="exact"/>
        <w:rPr>
          <w:sz w:val="20"/>
          <w:szCs w:val="20"/>
          <w:color w:val="auto"/>
        </w:rPr>
      </w:pPr>
    </w:p>
    <w:p>
      <w:pPr>
        <w:spacing w:after="0" w:line="332"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64" w:name="page65"/>
    <w:bookmarkEnd w:id="64"/>
    <w:p>
      <w:pPr>
        <w:ind w:right="579"/>
        <w:spacing w:after="0" w:line="268" w:lineRule="auto"/>
        <w:rPr>
          <w:sz w:val="20"/>
          <w:szCs w:val="20"/>
          <w:color w:val="auto"/>
        </w:rPr>
      </w:pPr>
      <w:r>
        <w:rPr>
          <w:rFonts w:ascii="Arial" w:cs="Arial" w:eastAsia="Arial" w:hAnsi="Arial"/>
          <w:sz w:val="17"/>
          <w:szCs w:val="17"/>
          <w:color w:val="auto"/>
        </w:rPr>
        <w:t>date of such Liquidation (such greater amount being referred to herein as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161" w:lineRule="exact"/>
        <w:rPr>
          <w:sz w:val="20"/>
          <w:szCs w:val="20"/>
          <w:color w:val="auto"/>
        </w:rPr>
      </w:pPr>
    </w:p>
    <w:p>
      <w:pPr>
        <w:ind w:left="540" w:hanging="17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shall have the following voting rights with respect to the Series C Preferred Stock:</w:t>
      </w:r>
    </w:p>
    <w:p>
      <w:pPr>
        <w:spacing w:after="0" w:line="184" w:lineRule="exact"/>
        <w:rPr>
          <w:rFonts w:ascii="Arial" w:cs="Arial" w:eastAsia="Arial" w:hAnsi="Arial"/>
          <w:sz w:val="18"/>
          <w:szCs w:val="18"/>
          <w:color w:val="auto"/>
        </w:rPr>
      </w:pPr>
    </w:p>
    <w:p>
      <w:pPr>
        <w:ind w:left="360" w:right="679" w:firstLine="364"/>
        <w:spacing w:after="0" w:line="277" w:lineRule="auto"/>
        <w:tabs>
          <w:tab w:leader="none" w:pos="9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Each share of Series C Preferred Stock shall entitle the holder thereof to the voting rights specified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no other voting rights except as required by law.</w:t>
      </w:r>
    </w:p>
    <w:p>
      <w:pPr>
        <w:spacing w:after="0" w:line="129" w:lineRule="exact"/>
        <w:rPr>
          <w:rFonts w:ascii="Arial" w:cs="Arial" w:eastAsia="Arial" w:hAnsi="Arial"/>
          <w:sz w:val="18"/>
          <w:szCs w:val="18"/>
          <w:color w:val="auto"/>
        </w:rPr>
      </w:pPr>
    </w:p>
    <w:p>
      <w:pPr>
        <w:ind w:left="360" w:right="619" w:firstLine="364"/>
        <w:spacing w:after="0" w:line="293" w:lineRule="auto"/>
        <w:tabs>
          <w:tab w:leader="none" w:pos="97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137" w:lineRule="exact"/>
        <w:rPr>
          <w:rFonts w:ascii="Arial" w:cs="Arial" w:eastAsia="Arial" w:hAnsi="Arial"/>
          <w:sz w:val="16"/>
          <w:szCs w:val="16"/>
          <w:color w:val="auto"/>
        </w:rPr>
      </w:pPr>
    </w:p>
    <w:p>
      <w:pPr>
        <w:ind w:left="740" w:right="659" w:firstLine="342"/>
        <w:spacing w:after="0" w:line="312" w:lineRule="auto"/>
        <w:tabs>
          <w:tab w:leader="none" w:pos="1298" w:val="left"/>
        </w:tabs>
        <w:numPr>
          <w:ilvl w:val="2"/>
          <w:numId w:val="23"/>
        </w:numPr>
        <w:rPr>
          <w:rFonts w:ascii="Arial" w:cs="Arial" w:eastAsia="Arial" w:hAnsi="Arial"/>
          <w:sz w:val="16"/>
          <w:szCs w:val="16"/>
          <w:color w:val="auto"/>
        </w:rPr>
      </w:pPr>
      <w:r>
        <w:rPr>
          <w:rFonts w:ascii="Arial" w:cs="Arial" w:eastAsia="Arial" w:hAnsi="Arial"/>
          <w:sz w:val="16"/>
          <w:szCs w:val="16"/>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106" w:lineRule="exact"/>
        <w:rPr>
          <w:rFonts w:ascii="Arial" w:cs="Arial" w:eastAsia="Arial" w:hAnsi="Arial"/>
          <w:sz w:val="16"/>
          <w:szCs w:val="16"/>
          <w:color w:val="auto"/>
        </w:rPr>
      </w:pPr>
    </w:p>
    <w:p>
      <w:pPr>
        <w:jc w:val="both"/>
        <w:ind w:left="740" w:right="579" w:firstLine="342"/>
        <w:spacing w:after="0" w:line="259" w:lineRule="auto"/>
        <w:tabs>
          <w:tab w:leader="none" w:pos="1348"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3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5" w:name="page66"/>
    <w:bookmarkEnd w:id="65"/>
    <w:p>
      <w:pPr>
        <w:ind w:left="1035" w:hanging="318"/>
        <w:spacing w:after="0"/>
        <w:tabs>
          <w:tab w:leader="none" w:pos="1035" w:val="left"/>
        </w:tabs>
        <w:numPr>
          <w:ilvl w:val="2"/>
          <w:numId w:val="24"/>
        </w:numPr>
        <w:rPr>
          <w:rFonts w:ascii="Arial" w:cs="Arial" w:eastAsia="Arial" w:hAnsi="Arial"/>
          <w:sz w:val="18"/>
          <w:szCs w:val="18"/>
          <w:color w:val="auto"/>
        </w:rPr>
      </w:pPr>
      <w:r>
        <w:rPr>
          <w:rFonts w:ascii="Arial" w:cs="Arial" w:eastAsia="Arial" w:hAnsi="Arial"/>
          <w:sz w:val="18"/>
          <w:szCs w:val="18"/>
          <w:color w:val="auto"/>
        </w:rPr>
        <w:t>Make the Series C Preferred Stock redeemable at the option of the Company;</w:t>
      </w:r>
    </w:p>
    <w:p>
      <w:pPr>
        <w:spacing w:after="0" w:line="198" w:lineRule="exact"/>
        <w:rPr>
          <w:rFonts w:ascii="Arial" w:cs="Arial" w:eastAsia="Arial" w:hAnsi="Arial"/>
          <w:sz w:val="18"/>
          <w:szCs w:val="18"/>
          <w:color w:val="auto"/>
        </w:rPr>
      </w:pPr>
    </w:p>
    <w:p>
      <w:pPr>
        <w:ind w:left="375" w:right="859" w:firstLine="342"/>
        <w:spacing w:after="0" w:line="277" w:lineRule="auto"/>
        <w:tabs>
          <w:tab w:leader="none" w:pos="1013" w:val="left"/>
        </w:tabs>
        <w:numPr>
          <w:ilvl w:val="2"/>
          <w:numId w:val="24"/>
        </w:numPr>
        <w:rPr>
          <w:rFonts w:ascii="Arial" w:cs="Arial" w:eastAsia="Arial" w:hAnsi="Arial"/>
          <w:sz w:val="18"/>
          <w:szCs w:val="18"/>
          <w:color w:val="auto"/>
        </w:rPr>
      </w:pPr>
      <w:r>
        <w:rPr>
          <w:rFonts w:ascii="Arial" w:cs="Arial" w:eastAsia="Arial" w:hAnsi="Arial"/>
          <w:sz w:val="18"/>
          <w:szCs w:val="18"/>
          <w:color w:val="auto"/>
        </w:rPr>
        <w:t>Authorize, create or issue any shares of Senior Securities (or amend the provisions of any existing class of Capital Stock to make such class of Capital Stock a class of Senior Securities); or</w:t>
      </w:r>
    </w:p>
    <w:p>
      <w:pPr>
        <w:spacing w:after="0" w:line="129" w:lineRule="exact"/>
        <w:rPr>
          <w:rFonts w:ascii="Arial" w:cs="Arial" w:eastAsia="Arial" w:hAnsi="Arial"/>
          <w:sz w:val="18"/>
          <w:szCs w:val="18"/>
          <w:color w:val="auto"/>
        </w:rPr>
      </w:pPr>
    </w:p>
    <w:p>
      <w:pPr>
        <w:ind w:left="975" w:hanging="258"/>
        <w:spacing w:after="0"/>
        <w:tabs>
          <w:tab w:leader="none" w:pos="975" w:val="left"/>
        </w:tabs>
        <w:numPr>
          <w:ilvl w:val="2"/>
          <w:numId w:val="24"/>
        </w:numPr>
        <w:rPr>
          <w:rFonts w:ascii="Arial" w:cs="Arial" w:eastAsia="Arial" w:hAnsi="Arial"/>
          <w:sz w:val="16"/>
          <w:szCs w:val="16"/>
          <w:color w:val="auto"/>
        </w:rPr>
      </w:pPr>
      <w:r>
        <w:rPr>
          <w:rFonts w:ascii="Arial" w:cs="Arial" w:eastAsia="Arial" w:hAnsi="Arial"/>
          <w:sz w:val="16"/>
          <w:szCs w:val="16"/>
          <w:color w:val="auto"/>
        </w:rPr>
        <w:t>Decrease (other than by redemption or conversion) the total number of authorized shares of Series C Preferred</w:t>
      </w:r>
    </w:p>
    <w:p>
      <w:pPr>
        <w:spacing w:after="0" w:line="46" w:lineRule="exact"/>
        <w:rPr>
          <w:rFonts w:ascii="Arial" w:cs="Arial" w:eastAsia="Arial" w:hAnsi="Arial"/>
          <w:sz w:val="16"/>
          <w:szCs w:val="16"/>
          <w:color w:val="auto"/>
        </w:rPr>
      </w:pPr>
    </w:p>
    <w:p>
      <w:pPr>
        <w:ind w:left="375"/>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70" w:lineRule="exact"/>
        <w:rPr>
          <w:rFonts w:ascii="Arial" w:cs="Arial" w:eastAsia="Arial" w:hAnsi="Arial"/>
          <w:sz w:val="16"/>
          <w:szCs w:val="16"/>
          <w:color w:val="auto"/>
        </w:rPr>
      </w:pPr>
    </w:p>
    <w:p>
      <w:pPr>
        <w:ind w:left="175" w:hanging="175"/>
        <w:spacing w:after="0"/>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Conversion and Redemption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15" w:hanging="241"/>
        <w:spacing w:after="0"/>
        <w:tabs>
          <w:tab w:leader="none" w:pos="61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Procedure for Conversion at the Option of the Company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75" w:right="579" w:firstLine="342"/>
        <w:spacing w:after="0" w:line="284" w:lineRule="auto"/>
        <w:tabs>
          <w:tab w:leader="none" w:pos="933"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and the date such notice is deemed delivered hereunder, the “</w:t>
      </w:r>
      <w:r>
        <w:rPr>
          <w:rFonts w:ascii="Arial" w:cs="Arial" w:eastAsia="Arial" w:hAnsi="Arial"/>
          <w:sz w:val="16"/>
          <w:szCs w:val="16"/>
          <w:u w:val="single" w:color="auto"/>
          <w:color w:val="auto"/>
        </w:rPr>
        <w:t>Conversion Notice Date</w:t>
      </w:r>
      <w:r>
        <w:rPr>
          <w:rFonts w:ascii="Arial" w:cs="Arial" w:eastAsia="Arial" w:hAnsi="Arial"/>
          <w:sz w:val="16"/>
          <w:szCs w:val="16"/>
          <w:color w:val="auto"/>
        </w:rPr>
        <w:t xml:space="preserve">”), by facsimile, mail or overnight courier delivery, to the Holder. The closing of such conversion shall take place, subject to the satisfaction or waiver of the conditions set forth in </w:t>
      </w:r>
      <w:r>
        <w:rPr>
          <w:rFonts w:ascii="Arial" w:cs="Arial" w:eastAsia="Arial" w:hAnsi="Arial"/>
          <w:sz w:val="16"/>
          <w:szCs w:val="16"/>
          <w:u w:val="single" w:color="auto"/>
          <w:color w:val="auto"/>
        </w:rPr>
        <w:t>Section 6(a)(iii)</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375" w:right="579" w:hanging="1"/>
        <w:spacing w:after="0" w:line="253" w:lineRule="auto"/>
        <w:tabs>
          <w:tab w:leader="none" w:pos="6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 the twentieth (20</w:t>
      </w:r>
      <w:r>
        <w:rPr>
          <w:rFonts w:ascii="Arial" w:cs="Arial" w:eastAsia="Arial" w:hAnsi="Arial"/>
          <w:sz w:val="15"/>
          <w:szCs w:val="15"/>
          <w:color w:val="auto"/>
        </w:rPr>
        <w:t>th</w:t>
      </w:r>
      <w:r>
        <w:rPr>
          <w:rFonts w:ascii="Arial" w:cs="Arial" w:eastAsia="Arial" w:hAnsi="Arial"/>
          <w:sz w:val="18"/>
          <w:szCs w:val="18"/>
          <w:color w:val="auto"/>
        </w:rPr>
        <w:t>) Business Day following and excluding the Conversion Notice Date or (b) any other date upon which the exercising Holder and the Company mutually agree (the “</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The Conversion Notice shall apply only to shares of Series C Preferred Stock for which no Redemption Notice has been tendered to the Company before the twentieth (20</w:t>
      </w:r>
      <w:r>
        <w:rPr>
          <w:rFonts w:ascii="Arial" w:cs="Arial" w:eastAsia="Arial" w:hAnsi="Arial"/>
          <w:sz w:val="15"/>
          <w:szCs w:val="15"/>
          <w:color w:val="auto"/>
        </w:rPr>
        <w:t>th</w:t>
      </w:r>
      <w:r>
        <w:rPr>
          <w:rFonts w:ascii="Arial" w:cs="Arial" w:eastAsia="Arial" w:hAnsi="Arial"/>
          <w:sz w:val="18"/>
          <w:szCs w:val="18"/>
          <w:color w:val="auto"/>
        </w:rPr>
        <w:t>) Business Day after the Conversion Notice Date, regardless of when the applicable redemption is consummated.</w:t>
      </w:r>
    </w:p>
    <w:p>
      <w:pPr>
        <w:spacing w:after="0" w:line="150" w:lineRule="exact"/>
        <w:rPr>
          <w:rFonts w:ascii="Arial" w:cs="Arial" w:eastAsia="Arial" w:hAnsi="Arial"/>
          <w:sz w:val="18"/>
          <w:szCs w:val="18"/>
          <w:color w:val="auto"/>
        </w:rPr>
      </w:pPr>
    </w:p>
    <w:p>
      <w:pPr>
        <w:ind w:left="375" w:right="639" w:firstLine="342"/>
        <w:spacing w:after="0" w:line="290" w:lineRule="auto"/>
        <w:tabs>
          <w:tab w:leader="none" w:pos="983" w:val="left"/>
        </w:tabs>
        <w:numPr>
          <w:ilvl w:val="2"/>
          <w:numId w:val="26"/>
        </w:numPr>
        <w:rPr>
          <w:rFonts w:ascii="Arial" w:cs="Arial" w:eastAsia="Arial" w:hAnsi="Arial"/>
          <w:sz w:val="16"/>
          <w:szCs w:val="16"/>
          <w:color w:val="auto"/>
        </w:rPr>
      </w:pPr>
      <w:r>
        <w:rPr>
          <w:rFonts w:ascii="Arial" w:cs="Arial" w:eastAsia="Arial" w:hAnsi="Arial"/>
          <w:sz w:val="16"/>
          <w:szCs w:val="16"/>
          <w:u w:val="single" w:color="auto"/>
          <w:color w:val="auto"/>
        </w:rPr>
        <w:t>Conversion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stock shall be converted into that number of shares of Common Stock and/or number of one-hundredths (1/100</w:t>
      </w:r>
      <w:r>
        <w:rPr>
          <w:rFonts w:ascii="Arial" w:cs="Arial" w:eastAsia="Arial" w:hAnsi="Arial"/>
          <w:sz w:val="13"/>
          <w:szCs w:val="13"/>
          <w:color w:val="auto"/>
        </w:rPr>
        <w:t>th</w:t>
      </w:r>
      <w:r>
        <w:rPr>
          <w:rFonts w:ascii="Arial" w:cs="Arial" w:eastAsia="Arial" w:hAnsi="Arial"/>
          <w:sz w:val="16"/>
          <w:szCs w:val="16"/>
          <w:color w:val="auto"/>
        </w:rPr>
        <w:t>) of a share of Common Stock Equivalent Junior Preferred Stock equal to (a) the aggregate Stated Value of such shares divided by (b) the Conversion Price (the “</w:t>
      </w:r>
      <w:r>
        <w:rPr>
          <w:rFonts w:ascii="Arial" w:cs="Arial" w:eastAsia="Arial" w:hAnsi="Arial"/>
          <w:sz w:val="16"/>
          <w:szCs w:val="16"/>
          <w:u w:val="single" w:color="auto"/>
          <w:color w:val="auto"/>
        </w:rPr>
        <w:t>Conversion Stock Amount</w:t>
      </w:r>
      <w:r>
        <w:rPr>
          <w:rFonts w:ascii="Arial" w:cs="Arial" w:eastAsia="Arial" w:hAnsi="Arial"/>
          <w:sz w:val="16"/>
          <w:szCs w:val="16"/>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31"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66" w:name="page67"/>
    <w:bookmarkEnd w:id="66"/>
    <w:p>
      <w:pPr>
        <w:ind w:right="659" w:firstLine="342"/>
        <w:spacing w:after="0" w:line="264" w:lineRule="auto"/>
        <w:tabs>
          <w:tab w:leader="none" w:pos="65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154" w:lineRule="exact"/>
        <w:rPr>
          <w:rFonts w:ascii="Arial" w:cs="Arial" w:eastAsia="Arial" w:hAnsi="Arial"/>
          <w:sz w:val="18"/>
          <w:szCs w:val="18"/>
          <w:color w:val="auto"/>
        </w:rPr>
      </w:pPr>
    </w:p>
    <w:p>
      <w:pPr>
        <w:ind w:left="380" w:right="579" w:firstLine="321"/>
        <w:spacing w:after="0" w:line="284" w:lineRule="auto"/>
        <w:tabs>
          <w:tab w:leader="none" w:pos="1003" w:val="left"/>
        </w:tabs>
        <w:numPr>
          <w:ilvl w:val="1"/>
          <w:numId w:val="27"/>
        </w:numPr>
        <w:rPr>
          <w:rFonts w:ascii="Arial" w:cs="Arial" w:eastAsia="Arial" w:hAnsi="Arial"/>
          <w:sz w:val="16"/>
          <w:szCs w:val="16"/>
          <w:color w:val="auto"/>
        </w:rPr>
      </w:pPr>
      <w:r>
        <w:rPr>
          <w:rFonts w:ascii="Arial" w:cs="Arial" w:eastAsia="Arial" w:hAnsi="Arial"/>
          <w:sz w:val="16"/>
          <w:szCs w:val="16"/>
          <w:color w:val="auto"/>
        </w:rPr>
        <w:t>(w) the representations and warranties made by the Company in the Agreement shall be true and correct as of the Conversion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w:t>
      </w:r>
    </w:p>
    <w:p>
      <w:pPr>
        <w:spacing w:after="0" w:line="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(y) and (z).</w:t>
      </w:r>
    </w:p>
    <w:p>
      <w:pPr>
        <w:spacing w:after="0" w:line="170" w:lineRule="exact"/>
        <w:rPr>
          <w:rFonts w:ascii="Arial" w:cs="Arial" w:eastAsia="Arial" w:hAnsi="Arial"/>
          <w:sz w:val="16"/>
          <w:szCs w:val="16"/>
          <w:color w:val="auto"/>
        </w:rPr>
      </w:pPr>
    </w:p>
    <w:p>
      <w:pPr>
        <w:ind w:left="380" w:right="879" w:firstLine="321"/>
        <w:spacing w:after="0" w:line="264" w:lineRule="auto"/>
        <w:tabs>
          <w:tab w:leader="none" w:pos="9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140" w:lineRule="exact"/>
        <w:rPr>
          <w:rFonts w:ascii="Arial" w:cs="Arial" w:eastAsia="Arial" w:hAnsi="Arial"/>
          <w:sz w:val="18"/>
          <w:szCs w:val="18"/>
          <w:color w:val="auto"/>
        </w:rPr>
      </w:pPr>
    </w:p>
    <w:p>
      <w:pPr>
        <w:ind w:left="380" w:right="579" w:firstLine="321"/>
        <w:spacing w:after="0" w:line="270" w:lineRule="auto"/>
        <w:tabs>
          <w:tab w:leader="none" w:pos="9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155" w:lineRule="exact"/>
        <w:rPr>
          <w:sz w:val="20"/>
          <w:szCs w:val="20"/>
          <w:color w:val="auto"/>
        </w:rPr>
      </w:pPr>
    </w:p>
    <w:p>
      <w:pPr>
        <w:ind w:right="679"/>
        <w:spacing w:after="0" w:line="271" w:lineRule="auto"/>
        <w:rPr>
          <w:sz w:val="20"/>
          <w:szCs w:val="20"/>
          <w:color w:val="auto"/>
        </w:rPr>
      </w:pPr>
      <w:r>
        <w:rPr>
          <w:rFonts w:ascii="Arial" w:cs="Arial" w:eastAsia="Arial" w:hAnsi="Arial"/>
          <w:sz w:val="17"/>
          <w:szCs w:val="17"/>
          <w:color w:val="auto"/>
        </w:rPr>
        <w:t>The Company shall use its best efforts to cause each of the foregoing conditions to be satisfied at the earliest practicable date after a Conversion Notice. If such conditions are not satisfied or waived prior to the twentieth (20</w:t>
      </w:r>
      <w:r>
        <w:rPr>
          <w:rFonts w:ascii="Arial" w:cs="Arial" w:eastAsia="Arial" w:hAnsi="Arial"/>
          <w:sz w:val="14"/>
          <w:szCs w:val="14"/>
          <w:color w:val="auto"/>
        </w:rPr>
        <w:t>th</w:t>
      </w:r>
      <w:r>
        <w:rPr>
          <w:rFonts w:ascii="Arial" w:cs="Arial" w:eastAsia="Arial" w:hAnsi="Arial"/>
          <w:sz w:val="17"/>
          <w:szCs w:val="17"/>
          <w:color w:val="auto"/>
        </w:rPr>
        <w:t xml:space="preserve">)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Arial" w:cs="Arial" w:eastAsia="Arial" w:hAnsi="Arial"/>
          <w:sz w:val="17"/>
          <w:szCs w:val="17"/>
          <w:u w:val="single" w:color="auto"/>
          <w:color w:val="auto"/>
        </w:rPr>
        <w:t>Section 6(a)(i)</w:t>
      </w:r>
      <w:r>
        <w:rPr>
          <w:rFonts w:ascii="Arial" w:cs="Arial" w:eastAsia="Arial" w:hAnsi="Arial"/>
          <w:sz w:val="17"/>
          <w:szCs w:val="17"/>
          <w:color w:val="auto"/>
        </w:rPr>
        <w:t xml:space="preserve"> hereof, subject to the closing conditions in this </w:t>
      </w:r>
      <w:r>
        <w:rPr>
          <w:rFonts w:ascii="Arial" w:cs="Arial" w:eastAsia="Arial" w:hAnsi="Arial"/>
          <w:sz w:val="17"/>
          <w:szCs w:val="17"/>
          <w:u w:val="single" w:color="auto"/>
          <w:color w:val="auto"/>
        </w:rPr>
        <w:t>Section 6(a)(iii)</w:t>
      </w:r>
      <w:r>
        <w:rPr>
          <w:rFonts w:ascii="Arial" w:cs="Arial" w:eastAsia="Arial" w:hAnsi="Arial"/>
          <w:sz w:val="17"/>
          <w:szCs w:val="17"/>
          <w:color w:val="auto"/>
        </w:rPr>
        <w:t>.</w:t>
      </w:r>
    </w:p>
    <w:p>
      <w:pPr>
        <w:spacing w:after="0" w:line="200" w:lineRule="exact"/>
        <w:rPr>
          <w:sz w:val="20"/>
          <w:szCs w:val="20"/>
          <w:color w:val="auto"/>
        </w:rPr>
      </w:pPr>
    </w:p>
    <w:p>
      <w:pPr>
        <w:spacing w:after="0" w:line="33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39"/>
          </w:cols>
          <w:pgMar w:left="1320" w:top="935" w:right="1440" w:bottom="1440" w:gutter="0" w:footer="0" w:header="0"/>
        </w:sectPr>
      </w:pPr>
    </w:p>
    <w:bookmarkStart w:id="67" w:name="page68"/>
    <w:bookmarkEnd w:id="67"/>
    <w:p>
      <w:pPr>
        <w:ind w:left="1" w:right="599" w:firstLine="342"/>
        <w:spacing w:after="0" w:line="293" w:lineRule="auto"/>
        <w:tabs>
          <w:tab w:leader="none" w:pos="64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Holder of record</w:t>
      </w:r>
      <w:r>
        <w:rPr>
          <w:rFonts w:ascii="Arial" w:cs="Arial" w:eastAsia="Arial" w:hAnsi="Arial"/>
          <w:sz w:val="16"/>
          <w:szCs w:val="16"/>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shall be deemed to have become the holder or holders of record thereof.</w:t>
      </w:r>
    </w:p>
    <w:p>
      <w:pPr>
        <w:spacing w:after="0" w:line="137" w:lineRule="exact"/>
        <w:rPr>
          <w:rFonts w:ascii="Arial" w:cs="Arial" w:eastAsia="Arial" w:hAnsi="Arial"/>
          <w:sz w:val="16"/>
          <w:szCs w:val="16"/>
          <w:color w:val="auto"/>
        </w:rPr>
      </w:pPr>
    </w:p>
    <w:p>
      <w:pPr>
        <w:ind w:left="261" w:hanging="261"/>
        <w:spacing w:after="0"/>
        <w:tabs>
          <w:tab w:leader="none" w:pos="26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Procedure for Redemption at the Option of the Holder</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 w:right="599" w:firstLine="342"/>
        <w:spacing w:after="0" w:line="283" w:lineRule="auto"/>
        <w:tabs>
          <w:tab w:leader="none" w:pos="559"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 on the second (2</w:t>
      </w:r>
      <w:r>
        <w:rPr>
          <w:rFonts w:ascii="Arial" w:cs="Arial" w:eastAsia="Arial" w:hAnsi="Arial"/>
          <w:sz w:val="13"/>
          <w:szCs w:val="13"/>
          <w:color w:val="auto"/>
        </w:rPr>
        <w:t>nd</w:t>
      </w:r>
      <w:r>
        <w:rPr>
          <w:rFonts w:ascii="Arial" w:cs="Arial" w:eastAsia="Arial" w:hAnsi="Arial"/>
          <w:sz w:val="16"/>
          <w:szCs w:val="16"/>
          <w:color w:val="auto"/>
        </w:rPr>
        <w:t>) Business Day, or if the Holder so elects, the third (3</w:t>
      </w:r>
      <w:r>
        <w:rPr>
          <w:rFonts w:ascii="Arial" w:cs="Arial" w:eastAsia="Arial" w:hAnsi="Arial"/>
          <w:sz w:val="13"/>
          <w:szCs w:val="13"/>
          <w:color w:val="auto"/>
        </w:rPr>
        <w:t>rd</w:t>
      </w:r>
      <w:r>
        <w:rPr>
          <w:rFonts w:ascii="Arial" w:cs="Arial" w:eastAsia="Arial" w:hAnsi="Arial"/>
          <w:sz w:val="16"/>
          <w:szCs w:val="16"/>
          <w:color w:val="auto"/>
        </w:rPr>
        <w:t>) Business Day, following and excluding the date the Redemption Notice is delivered or</w:t>
      </w:r>
    </w:p>
    <w:p>
      <w:pPr>
        <w:spacing w:after="0" w:line="4" w:lineRule="exact"/>
        <w:rPr>
          <w:rFonts w:ascii="Arial" w:cs="Arial" w:eastAsia="Arial" w:hAnsi="Arial"/>
          <w:sz w:val="16"/>
          <w:szCs w:val="16"/>
          <w:color w:val="auto"/>
        </w:rPr>
      </w:pPr>
    </w:p>
    <w:p>
      <w:pPr>
        <w:ind w:left="1" w:right="1019" w:hanging="1"/>
        <w:spacing w:after="0" w:line="261" w:lineRule="auto"/>
        <w:tabs>
          <w:tab w:leader="none" w:pos="2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date upon which the exercising Holder and the Company mutually agree (the “</w:t>
      </w:r>
      <w:r>
        <w:rPr>
          <w:rFonts w:ascii="Arial" w:cs="Arial" w:eastAsia="Arial" w:hAnsi="Arial"/>
          <w:sz w:val="18"/>
          <w:szCs w:val="18"/>
          <w:u w:val="single" w:color="auto"/>
          <w:color w:val="auto"/>
        </w:rPr>
        <w:t>Redemption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 w:right="839" w:firstLine="342"/>
        <w:spacing w:after="0" w:line="288" w:lineRule="auto"/>
        <w:tabs>
          <w:tab w:leader="none" w:pos="609"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Redemption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Series C Preferred Stock shall be redeemed into that number of shares of Common Stock and/or number of one-hundredths (1/100</w:t>
      </w:r>
      <w:r>
        <w:rPr>
          <w:rFonts w:ascii="Arial" w:cs="Arial" w:eastAsia="Arial" w:hAnsi="Arial"/>
          <w:sz w:val="13"/>
          <w:szCs w:val="13"/>
          <w:color w:val="auto"/>
        </w:rPr>
        <w:t>th</w:t>
      </w:r>
      <w:r>
        <w:rPr>
          <w:rFonts w:ascii="Arial" w:cs="Arial" w:eastAsia="Arial" w:hAnsi="Arial"/>
          <w:sz w:val="16"/>
          <w:szCs w:val="16"/>
          <w:color w:val="auto"/>
        </w:rPr>
        <w:t>) of a share of Common Stock Equivalent Junior Preferred Stock equal to (a) the aggregate Stated Value of such shares divided by</w:t>
      </w:r>
    </w:p>
    <w:p>
      <w:pPr>
        <w:ind w:left="1" w:right="719" w:hanging="1"/>
        <w:spacing w:after="0" w:line="252" w:lineRule="auto"/>
        <w:tabs>
          <w:tab w:leader="none" w:pos="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Price (the “</w:t>
      </w:r>
      <w:r>
        <w:rPr>
          <w:rFonts w:ascii="Arial" w:cs="Arial" w:eastAsia="Arial" w:hAnsi="Arial"/>
          <w:sz w:val="18"/>
          <w:szCs w:val="18"/>
          <w:u w:val="single" w:color="auto"/>
          <w:color w:val="auto"/>
        </w:rPr>
        <w:t>Redemption Stock Amount</w:t>
      </w:r>
      <w:r>
        <w:rPr>
          <w:rFonts w:ascii="Arial" w:cs="Arial" w:eastAsia="Arial" w:hAnsi="Arial"/>
          <w:sz w:val="18"/>
          <w:szCs w:val="18"/>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59" w:lineRule="exact"/>
        <w:rPr>
          <w:sz w:val="20"/>
          <w:szCs w:val="20"/>
          <w:color w:val="auto"/>
        </w:rPr>
      </w:pPr>
    </w:p>
    <w:p>
      <w:pPr>
        <w:ind w:left="384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19" w:top="936" w:right="1440" w:bottom="1440" w:gutter="0" w:footer="0" w:header="0"/>
        </w:sectPr>
      </w:pPr>
    </w:p>
    <w:bookmarkStart w:id="68" w:name="page69"/>
    <w:bookmarkEnd w:id="68"/>
    <w:p>
      <w:pPr>
        <w:ind w:left="-120" w:right="1019" w:firstLine="342"/>
        <w:spacing w:after="0" w:line="277" w:lineRule="auto"/>
        <w:tabs>
          <w:tab w:leader="none" w:pos="53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redeeming Holder’s obligation to close that each of the following is satisfied, unless expressly waived by such Holder in writing:</w:t>
      </w:r>
    </w:p>
    <w:p>
      <w:pPr>
        <w:spacing w:after="0" w:line="143" w:lineRule="exact"/>
        <w:rPr>
          <w:rFonts w:ascii="Arial" w:cs="Arial" w:eastAsia="Arial" w:hAnsi="Arial"/>
          <w:sz w:val="18"/>
          <w:szCs w:val="18"/>
          <w:color w:val="auto"/>
        </w:rPr>
      </w:pPr>
    </w:p>
    <w:p>
      <w:pPr>
        <w:ind w:left="260" w:right="619" w:firstLine="321"/>
        <w:spacing w:after="0" w:line="254" w:lineRule="auto"/>
        <w:tabs>
          <w:tab w:leader="none" w:pos="883" w:val="left"/>
        </w:tabs>
        <w:numPr>
          <w:ilvl w:val="1"/>
          <w:numId w:val="32"/>
        </w:numPr>
        <w:rPr>
          <w:rFonts w:ascii="Arial" w:cs="Arial" w:eastAsia="Arial" w:hAnsi="Arial"/>
          <w:sz w:val="18"/>
          <w:szCs w:val="18"/>
          <w:color w:val="auto"/>
        </w:rPr>
      </w:pPr>
      <w:r>
        <w:rPr>
          <w:rFonts w:ascii="Arial" w:cs="Arial" w:eastAsia="Arial" w:hAnsi="Arial"/>
          <w:sz w:val="18"/>
          <w:szCs w:val="18"/>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151" w:lineRule="exact"/>
        <w:rPr>
          <w:rFonts w:ascii="Arial" w:cs="Arial" w:eastAsia="Arial" w:hAnsi="Arial"/>
          <w:sz w:val="18"/>
          <w:szCs w:val="18"/>
          <w:color w:val="auto"/>
        </w:rPr>
      </w:pPr>
    </w:p>
    <w:p>
      <w:pPr>
        <w:ind w:left="260" w:right="679" w:firstLine="321"/>
        <w:spacing w:after="0" w:line="264" w:lineRule="auto"/>
        <w:tabs>
          <w:tab w:leader="none" w:pos="8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140" w:lineRule="exact"/>
        <w:rPr>
          <w:rFonts w:ascii="Arial" w:cs="Arial" w:eastAsia="Arial" w:hAnsi="Arial"/>
          <w:sz w:val="18"/>
          <w:szCs w:val="18"/>
          <w:color w:val="auto"/>
        </w:rPr>
      </w:pPr>
    </w:p>
    <w:p>
      <w:pPr>
        <w:ind w:left="860" w:hanging="279"/>
        <w:spacing w:after="0"/>
        <w:tabs>
          <w:tab w:leader="none" w:pos="8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As of the Redemption Closing Date, the Company shall have notified the Holder of all Restatements.</w:t>
      </w:r>
    </w:p>
    <w:p>
      <w:pPr>
        <w:spacing w:after="0" w:line="209" w:lineRule="exact"/>
        <w:rPr>
          <w:rFonts w:ascii="Arial" w:cs="Arial" w:eastAsia="Arial" w:hAnsi="Arial"/>
          <w:sz w:val="17"/>
          <w:szCs w:val="17"/>
          <w:color w:val="auto"/>
        </w:rPr>
      </w:pPr>
    </w:p>
    <w:p>
      <w:pPr>
        <w:ind w:left="260" w:right="579" w:firstLine="321"/>
        <w:spacing w:after="0" w:line="270" w:lineRule="auto"/>
        <w:tabs>
          <w:tab w:leader="none" w:pos="883"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69" w:name="page70"/>
    <w:bookmarkEnd w:id="69"/>
    <w:p>
      <w:pPr>
        <w:ind w:left="1" w:right="599" w:firstLine="342"/>
        <w:spacing w:after="0" w:line="254" w:lineRule="auto"/>
        <w:tabs>
          <w:tab w:leader="none" w:pos="64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Holder of record</w:t>
      </w:r>
      <w:r>
        <w:rPr>
          <w:rFonts w:ascii="Arial" w:cs="Arial" w:eastAsia="Arial" w:hAnsi="Arial"/>
          <w:sz w:val="18"/>
          <w:szCs w:val="18"/>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Arial" w:cs="Arial" w:eastAsia="Arial" w:hAnsi="Arial"/>
          <w:sz w:val="18"/>
          <w:szCs w:val="18"/>
          <w:u w:val="single" w:color="auto"/>
          <w:color w:val="auto"/>
        </w:rPr>
        <w:t>Section 6(b)(ii)</w:t>
      </w:r>
      <w:r>
        <w:rPr>
          <w:rFonts w:ascii="Arial" w:cs="Arial" w:eastAsia="Arial" w:hAnsi="Arial"/>
          <w:sz w:val="18"/>
          <w:szCs w:val="18"/>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Arial" w:cs="Arial" w:eastAsia="Arial" w:hAnsi="Arial"/>
          <w:sz w:val="18"/>
          <w:szCs w:val="18"/>
          <w:u w:val="single" w:color="auto"/>
          <w:color w:val="auto"/>
        </w:rPr>
        <w:t>Section 6(b)(v)</w:t>
      </w:r>
      <w:r>
        <w:rPr>
          <w:rFonts w:ascii="Arial" w:cs="Arial" w:eastAsia="Arial" w:hAnsi="Arial"/>
          <w:sz w:val="18"/>
          <w:szCs w:val="18"/>
          <w:color w:val="auto"/>
        </w:rPr>
        <w:t xml:space="preserve"> below.</w:t>
      </w:r>
    </w:p>
    <w:p>
      <w:pPr>
        <w:spacing w:after="0" w:line="165" w:lineRule="exact"/>
        <w:rPr>
          <w:rFonts w:ascii="Arial" w:cs="Arial" w:eastAsia="Arial" w:hAnsi="Arial"/>
          <w:sz w:val="18"/>
          <w:szCs w:val="18"/>
          <w:color w:val="auto"/>
        </w:rPr>
      </w:pPr>
    </w:p>
    <w:p>
      <w:pPr>
        <w:ind w:left="1" w:right="579" w:firstLine="342"/>
        <w:spacing w:after="0" w:line="283" w:lineRule="auto"/>
        <w:tabs>
          <w:tab w:leader="none" w:pos="59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Withdrawal of Redemption Notice</w:t>
      </w:r>
      <w:r>
        <w:rPr>
          <w:rFonts w:ascii="Arial" w:cs="Arial" w:eastAsia="Arial" w:hAnsi="Arial"/>
          <w:sz w:val="16"/>
          <w:szCs w:val="16"/>
          <w:color w:val="auto"/>
        </w:rPr>
        <w:t xml:space="preserve">. If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 (A) shares of Common Stock as provided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on or before the later of the twentieth (20</w:t>
      </w:r>
      <w:r>
        <w:rPr>
          <w:rFonts w:ascii="Arial" w:cs="Arial" w:eastAsia="Arial" w:hAnsi="Arial"/>
          <w:sz w:val="13"/>
          <w:szCs w:val="13"/>
          <w:color w:val="auto"/>
        </w:rPr>
        <w:t>th</w:t>
      </w:r>
      <w:r>
        <w:rPr>
          <w:rFonts w:ascii="Arial" w:cs="Arial" w:eastAsia="Arial" w:hAnsi="Arial"/>
          <w:sz w:val="16"/>
          <w:szCs w:val="16"/>
          <w:color w:val="auto"/>
        </w:rPr>
        <w:t>) Business Day following and excluding (1) the Redemption Closing Date or</w:t>
      </w:r>
    </w:p>
    <w:p>
      <w:pPr>
        <w:spacing w:after="0" w:line="4" w:lineRule="exact"/>
        <w:rPr>
          <w:rFonts w:ascii="Arial" w:cs="Arial" w:eastAsia="Arial" w:hAnsi="Arial"/>
          <w:sz w:val="16"/>
          <w:szCs w:val="16"/>
          <w:color w:val="auto"/>
        </w:rPr>
      </w:pPr>
    </w:p>
    <w:p>
      <w:pPr>
        <w:ind w:left="1" w:right="599" w:hanging="1"/>
        <w:spacing w:after="0" w:line="253" w:lineRule="auto"/>
        <w:tabs>
          <w:tab w:leader="none" w:pos="2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three (3) Business Days after the Stockholder Consent Date (if and to the extent such approval is required to issue such shares of Common Stock) or (B) shares of Common Stock Equivalent Junior Preferred Stock on or before the twentieth (20</w:t>
      </w:r>
      <w:r>
        <w:rPr>
          <w:rFonts w:ascii="Arial" w:cs="Arial" w:eastAsia="Arial" w:hAnsi="Arial"/>
          <w:sz w:val="15"/>
          <w:szCs w:val="15"/>
          <w:color w:val="auto"/>
        </w:rPr>
        <w:t>th</w:t>
      </w:r>
      <w:r>
        <w:rPr>
          <w:rFonts w:ascii="Arial" w:cs="Arial" w:eastAsia="Arial" w:hAnsi="Arial"/>
          <w:sz w:val="18"/>
          <w:szCs w:val="18"/>
          <w:color w:val="auto"/>
        </w:rPr>
        <w:t>) Business Day following and excluding the Redemption Closing Date, then the Redemption Price shall equal the lesser of Four Dollars and Forty-One Cents ($4.41) and the Redemption Price in effect immediately before such date.</w:t>
      </w:r>
    </w:p>
    <w:p>
      <w:pPr>
        <w:spacing w:after="0" w:line="150" w:lineRule="exact"/>
        <w:rPr>
          <w:rFonts w:ascii="Arial" w:cs="Arial" w:eastAsia="Arial" w:hAnsi="Arial"/>
          <w:sz w:val="18"/>
          <w:szCs w:val="18"/>
          <w:color w:val="auto"/>
        </w:rPr>
      </w:pPr>
    </w:p>
    <w:p>
      <w:pPr>
        <w:ind w:left="1" w:right="639" w:firstLine="342"/>
        <w:spacing w:after="0" w:line="259" w:lineRule="auto"/>
        <w:tabs>
          <w:tab w:leader="none" w:pos="649"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Partial redemption</w:t>
      </w:r>
      <w:r>
        <w:rPr>
          <w:rFonts w:ascii="Arial" w:cs="Arial" w:eastAsia="Arial" w:hAnsi="Arial"/>
          <w:sz w:val="18"/>
          <w:szCs w:val="18"/>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352" w:lineRule="exact"/>
        <w:rPr>
          <w:sz w:val="20"/>
          <w:szCs w:val="20"/>
          <w:color w:val="auto"/>
        </w:rPr>
      </w:pPr>
    </w:p>
    <w:p>
      <w:pPr>
        <w:ind w:left="382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19" w:top="935" w:right="1440" w:bottom="1440" w:gutter="0" w:footer="0" w:header="0"/>
        </w:sectPr>
      </w:pPr>
    </w:p>
    <w:bookmarkStart w:id="70" w:name="page71"/>
    <w:bookmarkEnd w:id="70"/>
    <w:p>
      <w:pPr>
        <w:ind w:right="739" w:firstLine="364"/>
        <w:spacing w:after="0" w:line="286" w:lineRule="auto"/>
        <w:tabs>
          <w:tab w:leader="none" w:pos="60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Maximum Voting Stock Amount</w:t>
      </w:r>
      <w:r>
        <w:rPr>
          <w:rFonts w:ascii="Arial" w:cs="Arial" w:eastAsia="Arial" w:hAnsi="Arial"/>
          <w:sz w:val="16"/>
          <w:szCs w:val="16"/>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w:t>
      </w:r>
    </w:p>
    <w:p>
      <w:pPr>
        <w:spacing w:after="0" w:line="1" w:lineRule="exact"/>
        <w:rPr>
          <w:rFonts w:ascii="Arial" w:cs="Arial" w:eastAsia="Arial" w:hAnsi="Arial"/>
          <w:sz w:val="16"/>
          <w:szCs w:val="16"/>
          <w:color w:val="auto"/>
        </w:rPr>
      </w:pPr>
    </w:p>
    <w:p>
      <w:pPr>
        <w:ind w:right="579"/>
        <w:spacing w:after="0" w:line="269" w:lineRule="auto"/>
        <w:rPr>
          <w:rFonts w:ascii="Arial" w:cs="Arial" w:eastAsia="Arial" w:hAnsi="Arial"/>
          <w:sz w:val="16"/>
          <w:szCs w:val="16"/>
          <w:color w:val="auto"/>
        </w:rPr>
      </w:pPr>
      <w:r>
        <w:rPr>
          <w:rFonts w:ascii="Arial" w:cs="Arial" w:eastAsia="Arial" w:hAnsi="Arial"/>
          <w:sz w:val="17"/>
          <w:szCs w:val="17"/>
          <w:color w:val="auto"/>
        </w:rPr>
        <w:t>(9.75%)(the “</w:t>
      </w:r>
      <w:r>
        <w:rPr>
          <w:rFonts w:ascii="Arial" w:cs="Arial" w:eastAsia="Arial" w:hAnsi="Arial"/>
          <w:sz w:val="17"/>
          <w:szCs w:val="17"/>
          <w:u w:val="single" w:color="auto"/>
          <w:color w:val="auto"/>
        </w:rPr>
        <w:t>Maximum Voting Stock Amount</w:t>
      </w:r>
      <w:r>
        <w:rPr>
          <w:rFonts w:ascii="Arial" w:cs="Arial" w:eastAsia="Arial" w:hAnsi="Arial"/>
          <w:sz w:val="17"/>
          <w:szCs w:val="17"/>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153" w:lineRule="exact"/>
        <w:rPr>
          <w:rFonts w:ascii="Arial" w:cs="Arial" w:eastAsia="Arial" w:hAnsi="Arial"/>
          <w:sz w:val="16"/>
          <w:szCs w:val="16"/>
          <w:color w:val="auto"/>
        </w:rPr>
      </w:pPr>
    </w:p>
    <w:p>
      <w:pPr>
        <w:ind w:right="579" w:firstLine="364"/>
        <w:spacing w:after="0" w:line="286" w:lineRule="auto"/>
        <w:tabs>
          <w:tab w:leader="none" w:pos="6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 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128" w:lineRule="exact"/>
        <w:rPr>
          <w:rFonts w:ascii="Arial" w:cs="Arial" w:eastAsia="Arial" w:hAnsi="Arial"/>
          <w:sz w:val="16"/>
          <w:szCs w:val="16"/>
          <w:color w:val="auto"/>
        </w:rPr>
      </w:pPr>
    </w:p>
    <w:p>
      <w:pPr>
        <w:ind w:right="599" w:firstLine="364"/>
        <w:spacing w:after="0" w:line="288" w:lineRule="auto"/>
        <w:tabs>
          <w:tab w:leader="none" w:pos="603"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fractional shares or scrip representing fractional shares of Common Stock or, other than fractional shares in increments of one-hundredth (1/100</w:t>
      </w:r>
      <w:r>
        <w:rPr>
          <w:rFonts w:ascii="Arial" w:cs="Arial" w:eastAsia="Arial" w:hAnsi="Arial"/>
          <w:sz w:val="13"/>
          <w:szCs w:val="13"/>
          <w:color w:val="auto"/>
        </w:rPr>
        <w:t>th</w:t>
      </w:r>
      <w:r>
        <w:rPr>
          <w:rFonts w:ascii="Arial" w:cs="Arial" w:eastAsia="Arial" w:hAnsi="Arial"/>
          <w:sz w:val="16"/>
          <w:szCs w:val="16"/>
          <w:color w:val="auto"/>
        </w:rPr>
        <w:t>)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w:t>
      </w:r>
      <w:r>
        <w:rPr>
          <w:rFonts w:ascii="Arial" w:cs="Arial" w:eastAsia="Arial" w:hAnsi="Arial"/>
          <w:sz w:val="13"/>
          <w:szCs w:val="13"/>
          <w:color w:val="auto"/>
        </w:rPr>
        <w:t>th</w:t>
      </w:r>
      <w:r>
        <w:rPr>
          <w:rFonts w:ascii="Arial" w:cs="Arial" w:eastAsia="Arial" w:hAnsi="Arial"/>
          <w:sz w:val="16"/>
          <w:szCs w:val="16"/>
          <w:color w:val="auto"/>
        </w:rPr>
        <w:t>)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33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6" w:right="1440" w:bottom="1440" w:gutter="0" w:footer="0" w:header="0"/>
        </w:sectPr>
      </w:pPr>
    </w:p>
    <w:bookmarkStart w:id="71" w:name="page72"/>
    <w:bookmarkEnd w:id="71"/>
    <w:p>
      <w:pPr>
        <w:ind w:left="221" w:hanging="221"/>
        <w:spacing w:after="0"/>
        <w:tabs>
          <w:tab w:leader="none" w:pos="22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 w:right="599" w:firstLine="342"/>
        <w:spacing w:after="0" w:line="267" w:lineRule="auto"/>
        <w:tabs>
          <w:tab w:leader="none" w:pos="559"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149" w:lineRule="exact"/>
        <w:rPr>
          <w:rFonts w:ascii="Arial" w:cs="Arial" w:eastAsia="Arial" w:hAnsi="Arial"/>
          <w:sz w:val="17"/>
          <w:szCs w:val="17"/>
          <w:color w:val="auto"/>
        </w:rPr>
      </w:pPr>
    </w:p>
    <w:p>
      <w:pPr>
        <w:ind w:left="1" w:right="699" w:firstLine="342"/>
        <w:spacing w:after="0" w:line="286" w:lineRule="auto"/>
        <w:tabs>
          <w:tab w:leader="none" w:pos="609"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the event of a Change of Control, all references to the Conversion Price or the Redemption Price herein shall be references to the Stock Adjustment Measuring Price. “</w:t>
      </w:r>
      <w:r>
        <w:rPr>
          <w:rFonts w:ascii="Arial" w:cs="Arial" w:eastAsia="Arial" w:hAnsi="Arial"/>
          <w:sz w:val="17"/>
          <w:szCs w:val="17"/>
          <w:u w:val="single" w:color="auto"/>
          <w:color w:val="auto"/>
        </w:rPr>
        <w:t>Stock Adjustment Measuring Price</w:t>
      </w:r>
      <w:r>
        <w:rPr>
          <w:rFonts w:ascii="Arial" w:cs="Arial" w:eastAsia="Arial" w:hAnsi="Arial"/>
          <w:sz w:val="17"/>
          <w:szCs w:val="17"/>
          <w:color w:val="auto"/>
        </w:rPr>
        <w:t>” means an amount equal to the Conversion Price or the Redemption Price, as applicable, multiplied by a fraction,</w:t>
      </w:r>
    </w:p>
    <w:p>
      <w:pPr>
        <w:spacing w:after="0" w:line="125" w:lineRule="exact"/>
        <w:rPr>
          <w:rFonts w:ascii="Arial" w:cs="Arial" w:eastAsia="Arial" w:hAnsi="Arial"/>
          <w:sz w:val="17"/>
          <w:szCs w:val="17"/>
          <w:color w:val="auto"/>
        </w:rPr>
      </w:pPr>
    </w:p>
    <w:p>
      <w:pPr>
        <w:ind w:left="381" w:right="559" w:firstLine="321"/>
        <w:spacing w:after="0" w:line="259" w:lineRule="auto"/>
        <w:tabs>
          <w:tab w:leader="none" w:pos="1005"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352" w:lineRule="exact"/>
        <w:rPr>
          <w:sz w:val="20"/>
          <w:szCs w:val="20"/>
          <w:color w:val="auto"/>
        </w:rPr>
      </w:pPr>
    </w:p>
    <w:p>
      <w:pPr>
        <w:ind w:left="382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19" w:top="936" w:right="1440" w:bottom="1440" w:gutter="0" w:footer="0" w:header="0"/>
        </w:sectPr>
      </w:pPr>
    </w:p>
    <w:bookmarkStart w:id="72" w:name="page73"/>
    <w:bookmarkEnd w:id="72"/>
    <w:p>
      <w:pPr>
        <w:ind w:left="755" w:right="559" w:firstLine="321"/>
        <w:spacing w:after="0" w:line="264" w:lineRule="auto"/>
        <w:tabs>
          <w:tab w:leader="none" w:pos="1368"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denominator of which is the Daily Market Price of the Common Stock of the Company determined as of the Business Day immediately preceding and excluding the date on which the Change of Control is consummated.</w:t>
      </w:r>
    </w:p>
    <w:p>
      <w:pPr>
        <w:spacing w:after="0" w:line="154" w:lineRule="exact"/>
        <w:rPr>
          <w:rFonts w:ascii="Arial" w:cs="Arial" w:eastAsia="Arial" w:hAnsi="Arial"/>
          <w:sz w:val="18"/>
          <w:szCs w:val="18"/>
          <w:color w:val="auto"/>
        </w:rPr>
      </w:pPr>
    </w:p>
    <w:p>
      <w:pPr>
        <w:ind w:left="375" w:right="559" w:firstLine="342"/>
        <w:spacing w:after="0" w:line="271" w:lineRule="auto"/>
        <w:tabs>
          <w:tab w:leader="none" w:pos="1033" w:val="left"/>
        </w:tabs>
        <w:numPr>
          <w:ilvl w:val="1"/>
          <w:numId w:val="38"/>
        </w:numPr>
        <w:rPr>
          <w:rFonts w:ascii="Arial" w:cs="Arial" w:eastAsia="Arial" w:hAnsi="Arial"/>
          <w:sz w:val="17"/>
          <w:szCs w:val="17"/>
          <w:color w:val="auto"/>
        </w:rPr>
      </w:pPr>
      <w:r>
        <w:rPr>
          <w:rFonts w:ascii="Arial" w:cs="Arial" w:eastAsia="Arial" w:hAnsi="Arial"/>
          <w:sz w:val="17"/>
          <w:szCs w:val="17"/>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 Company a special notice (a “</w:t>
      </w:r>
      <w:r>
        <w:rPr>
          <w:rFonts w:ascii="Arial" w:cs="Arial" w:eastAsia="Arial" w:hAnsi="Arial"/>
          <w:sz w:val="17"/>
          <w:szCs w:val="17"/>
          <w:u w:val="single" w:color="auto"/>
          <w:color w:val="auto"/>
        </w:rPr>
        <w:t>Contingent Notice</w:t>
      </w:r>
      <w:r>
        <w:rPr>
          <w:rFonts w:ascii="Arial" w:cs="Arial" w:eastAsia="Arial" w:hAnsi="Arial"/>
          <w:sz w:val="17"/>
          <w:szCs w:val="17"/>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138" w:lineRule="exact"/>
        <w:rPr>
          <w:rFonts w:ascii="Arial" w:cs="Arial" w:eastAsia="Arial" w:hAnsi="Arial"/>
          <w:sz w:val="17"/>
          <w:szCs w:val="17"/>
          <w:color w:val="auto"/>
        </w:rPr>
      </w:pPr>
    </w:p>
    <w:p>
      <w:pPr>
        <w:ind w:left="755" w:right="1139" w:firstLine="321"/>
        <w:spacing w:after="0" w:line="277" w:lineRule="auto"/>
        <w:tabs>
          <w:tab w:leader="none" w:pos="1378"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effectiveness of such contingent redemption shall be conditional upon the effectiveness of the Change of Control;</w:t>
      </w:r>
    </w:p>
    <w:p>
      <w:pPr>
        <w:spacing w:after="0" w:line="129" w:lineRule="exact"/>
        <w:rPr>
          <w:rFonts w:ascii="Arial" w:cs="Arial" w:eastAsia="Arial" w:hAnsi="Arial"/>
          <w:sz w:val="18"/>
          <w:szCs w:val="18"/>
          <w:color w:val="auto"/>
        </w:rPr>
      </w:pPr>
    </w:p>
    <w:p>
      <w:pPr>
        <w:ind w:left="755" w:right="779" w:firstLine="321"/>
        <w:spacing w:after="0" w:line="277" w:lineRule="auto"/>
        <w:tabs>
          <w:tab w:leader="none" w:pos="1368" w:val="left"/>
        </w:tabs>
        <w:numPr>
          <w:ilvl w:val="2"/>
          <w:numId w:val="38"/>
        </w:numPr>
        <w:rPr>
          <w:rFonts w:ascii="Arial" w:cs="Arial" w:eastAsia="Arial" w:hAnsi="Arial"/>
          <w:sz w:val="18"/>
          <w:szCs w:val="18"/>
          <w:color w:val="auto"/>
        </w:rPr>
      </w:pPr>
      <w:r>
        <w:rPr>
          <w:rFonts w:ascii="Arial" w:cs="Arial" w:eastAsia="Arial" w:hAnsi="Arial"/>
          <w:sz w:val="18"/>
          <w:szCs w:val="18"/>
          <w:color w:val="auto"/>
        </w:rPr>
        <w:t>until the effective date of such Change of Control, the Holder shall have the right to deliver a notice to withdraw such Contingent Notice; and</w:t>
      </w:r>
    </w:p>
    <w:p>
      <w:pPr>
        <w:spacing w:after="0" w:line="143" w:lineRule="exact"/>
        <w:rPr>
          <w:rFonts w:ascii="Arial" w:cs="Arial" w:eastAsia="Arial" w:hAnsi="Arial"/>
          <w:sz w:val="18"/>
          <w:szCs w:val="18"/>
          <w:color w:val="auto"/>
        </w:rPr>
      </w:pPr>
    </w:p>
    <w:p>
      <w:pPr>
        <w:ind w:left="755" w:right="579" w:firstLine="321"/>
        <w:spacing w:after="0" w:line="291" w:lineRule="auto"/>
        <w:tabs>
          <w:tab w:leader="none" w:pos="1368" w:val="left"/>
        </w:tabs>
        <w:numPr>
          <w:ilvl w:val="2"/>
          <w:numId w:val="38"/>
        </w:numPr>
        <w:rPr>
          <w:rFonts w:ascii="Arial" w:cs="Arial" w:eastAsia="Arial" w:hAnsi="Arial"/>
          <w:sz w:val="16"/>
          <w:szCs w:val="16"/>
          <w:color w:val="auto"/>
        </w:rPr>
      </w:pPr>
      <w:r>
        <w:rPr>
          <w:rFonts w:ascii="Arial" w:cs="Arial" w:eastAsia="Arial" w:hAnsi="Arial"/>
          <w:sz w:val="16"/>
          <w:szCs w:val="16"/>
          <w:color w:val="auto"/>
        </w:rPr>
        <w:t>if such Contingent Notice shall not have been withdrawn, then on the effective date of such Change of Control, such Holder shall receive the same consideration, in the form of cash, securities or other assets (the “</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126" w:lineRule="exact"/>
        <w:rPr>
          <w:rFonts w:ascii="Arial" w:cs="Arial" w:eastAsia="Arial" w:hAnsi="Arial"/>
          <w:sz w:val="16"/>
          <w:szCs w:val="16"/>
          <w:color w:val="auto"/>
        </w:rPr>
      </w:pPr>
    </w:p>
    <w:p>
      <w:pPr>
        <w:ind w:left="-365" w:right="679" w:firstLine="365"/>
        <w:spacing w:after="0" w:line="255" w:lineRule="auto"/>
        <w:tabs>
          <w:tab w:leader="none" w:pos="1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Status of Converted and Redeemed Shares; Limitations on Series C Preferred Stock</w:t>
      </w:r>
      <w:r>
        <w:rPr>
          <w:rFonts w:ascii="Arial" w:cs="Arial" w:eastAsia="Arial" w:hAnsi="Arial"/>
          <w:sz w:val="18"/>
          <w:szCs w:val="18"/>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354"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73" w:name="page74"/>
    <w:bookmarkEnd w:id="73"/>
    <w:p>
      <w:pPr>
        <w:ind w:left="-365" w:right="699" w:firstLine="365"/>
        <w:spacing w:after="0" w:line="297"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Subdivision of Common Stock</w:t>
      </w:r>
      <w:r>
        <w:rPr>
          <w:rFonts w:ascii="Arial" w:cs="Arial" w:eastAsia="Arial" w:hAnsi="Arial"/>
          <w:sz w:val="16"/>
          <w:szCs w:val="16"/>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131" w:lineRule="exact"/>
        <w:rPr>
          <w:rFonts w:ascii="Arial" w:cs="Arial" w:eastAsia="Arial" w:hAnsi="Arial"/>
          <w:sz w:val="16"/>
          <w:szCs w:val="16"/>
          <w:color w:val="auto"/>
        </w:rPr>
      </w:pPr>
    </w:p>
    <w:p>
      <w:pPr>
        <w:ind w:left="-365" w:right="619" w:firstLine="365"/>
        <w:spacing w:after="0" w:line="288"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Nonperformance</w:t>
      </w:r>
      <w:r>
        <w:rPr>
          <w:rFonts w:ascii="Arial" w:cs="Arial" w:eastAsia="Arial" w:hAnsi="Arial"/>
          <w:sz w:val="16"/>
          <w:szCs w:val="16"/>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128" w:lineRule="exact"/>
        <w:rPr>
          <w:rFonts w:ascii="Arial" w:cs="Arial" w:eastAsia="Arial" w:hAnsi="Arial"/>
          <w:sz w:val="16"/>
          <w:szCs w:val="16"/>
          <w:color w:val="auto"/>
        </w:rPr>
      </w:pPr>
    </w:p>
    <w:p>
      <w:pPr>
        <w:ind w:left="-365" w:right="699" w:firstLine="365"/>
        <w:spacing w:after="0" w:line="277" w:lineRule="auto"/>
        <w:tabs>
          <w:tab w:leader="none" w:pos="27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Holder may, in its sole discretion, freely assign, pledge, hypothecate or transfer all shares of Series C Preferred Stock.</w:t>
      </w:r>
    </w:p>
    <w:p>
      <w:pPr>
        <w:spacing w:after="0" w:line="130" w:lineRule="exact"/>
        <w:rPr>
          <w:sz w:val="20"/>
          <w:szCs w:val="20"/>
          <w:color w:val="auto"/>
        </w:rPr>
      </w:pPr>
    </w:p>
    <w:p>
      <w:pPr>
        <w:ind w:left="2555"/>
        <w:spacing w:after="0"/>
        <w:rPr>
          <w:sz w:val="20"/>
          <w:szCs w:val="20"/>
          <w:color w:val="auto"/>
        </w:rPr>
      </w:pPr>
      <w:r>
        <w:rPr>
          <w:rFonts w:ascii="Arial" w:cs="Arial" w:eastAsia="Arial" w:hAnsi="Arial"/>
          <w:sz w:val="18"/>
          <w:szCs w:val="18"/>
          <w:color w:val="auto"/>
        </w:rPr>
        <w:t>[The rest of this page is intentionally left blank.]</w:t>
      </w:r>
    </w:p>
    <w:p>
      <w:pPr>
        <w:spacing w:after="0" w:line="200" w:lineRule="exact"/>
        <w:rPr>
          <w:sz w:val="20"/>
          <w:szCs w:val="20"/>
          <w:color w:val="auto"/>
        </w:rPr>
      </w:pPr>
    </w:p>
    <w:p>
      <w:pPr>
        <w:spacing w:after="0" w:line="390"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74" w:name="page75"/>
    <w:bookmarkEnd w:id="74"/>
    <w:p>
      <w:pPr>
        <w:ind w:right="619" w:firstLine="747"/>
        <w:spacing w:after="0" w:line="308" w:lineRule="auto"/>
        <w:rPr>
          <w:sz w:val="20"/>
          <w:szCs w:val="20"/>
          <w:color w:val="auto"/>
        </w:rPr>
      </w:pPr>
      <w:r>
        <w:rPr>
          <w:rFonts w:ascii="Arial" w:cs="Arial" w:eastAsia="Arial" w:hAnsi="Arial"/>
          <w:sz w:val="17"/>
          <w:szCs w:val="17"/>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14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UNITED COMMUNITY BANKS, INC.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Rex S. Schuette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-130810</wp:posOffset>
            </wp:positionV>
            <wp:extent cx="24009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Lori McKay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-130810</wp:posOffset>
            </wp:positionV>
            <wp:extent cx="2400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Corporate Secretary</w:t>
      </w:r>
    </w:p>
    <w:p>
      <w:pPr>
        <w:spacing w:after="0" w:line="18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[Signature Page to Certificate of Rights and Preferences]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879"/>
          </w:cols>
          <w:pgMar w:left="580" w:top="936" w:right="1440" w:bottom="1440" w:gutter="0" w:footer="0" w:header="0"/>
        </w:sectPr>
      </w:pPr>
    </w:p>
    <w:bookmarkStart w:id="75" w:name="page76"/>
    <w:bookmarkEnd w:id="75"/>
    <w:p>
      <w:pPr>
        <w:jc w:val="right"/>
        <w:ind w:right="559"/>
        <w:spacing w:after="0"/>
        <w:rPr>
          <w:sz w:val="20"/>
          <w:szCs w:val="20"/>
          <w:color w:val="auto"/>
        </w:rPr>
      </w:pPr>
      <w:r>
        <w:rPr>
          <w:rFonts w:ascii="Arial" w:cs="Arial" w:eastAsia="Arial" w:hAnsi="Arial"/>
          <w:sz w:val="18"/>
          <w:szCs w:val="18"/>
          <w:b w:val="1"/>
          <w:bCs w:val="1"/>
          <w:color w:val="auto"/>
        </w:rPr>
        <w:t>Exhibit 3.5</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The Restated Articles of Incorporation of the corporation are amended by striking the first paragraph of Article V thereof and inserting the following:</w:t>
      </w:r>
    </w:p>
    <w:p>
      <w:pPr>
        <w:spacing w:after="0" w:line="130" w:lineRule="exact"/>
        <w:rPr>
          <w:sz w:val="20"/>
          <w:szCs w:val="20"/>
          <w:color w:val="auto"/>
        </w:rPr>
      </w:pPr>
    </w:p>
    <w:p>
      <w:pPr>
        <w:jc w:val="both"/>
        <w:ind w:left="360" w:right="919" w:firstLine="343"/>
        <w:spacing w:after="0" w:line="272" w:lineRule="auto"/>
        <w:rPr>
          <w:sz w:val="20"/>
          <w:szCs w:val="20"/>
          <w:color w:val="auto"/>
        </w:rPr>
      </w:pPr>
      <w:r>
        <w:rPr>
          <w:rFonts w:ascii="Arial" w:cs="Arial" w:eastAsia="Arial" w:hAnsi="Arial"/>
          <w:sz w:val="17"/>
          <w:szCs w:val="17"/>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3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The Restated Articles of Incorporation of the corporation are further amended by striking Article XI in its entirety and insert in lieu the following:</w:t>
      </w:r>
    </w:p>
    <w:p>
      <w:pPr>
        <w:spacing w:after="0" w:line="130" w:lineRule="exact"/>
        <w:rPr>
          <w:sz w:val="20"/>
          <w:szCs w:val="20"/>
          <w:color w:val="auto"/>
        </w:rPr>
      </w:pPr>
    </w:p>
    <w:p>
      <w:pPr>
        <w:jc w:val="both"/>
        <w:ind w:left="360" w:right="919" w:firstLine="343"/>
        <w:spacing w:after="0" w:line="259" w:lineRule="auto"/>
        <w:rPr>
          <w:sz w:val="20"/>
          <w:szCs w:val="20"/>
          <w:color w:val="auto"/>
        </w:rPr>
      </w:pPr>
      <w:r>
        <w:rPr>
          <w:rFonts w:ascii="Arial" w:cs="Arial" w:eastAsia="Arial" w:hAnsi="Arial"/>
          <w:sz w:val="18"/>
          <w:szCs w:val="18"/>
          <w:color w:val="auto"/>
        </w:rPr>
        <w:t>“Except as otherwise provided by law, any amendment or repeal of any provision of the Articles of Incorporation or Article II (Stockholders’ Meetings) or III (Board of Directors) of the Bylaws of the corporation requires the affirmative vote of holders of a majority of the shares of capital stock of the corporation then issued and outstanding and entitled to vote on such matters.”</w:t>
      </w:r>
    </w:p>
    <w:p>
      <w:pPr>
        <w:spacing w:after="0" w:line="14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137"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of United Community Banks, Inc. this 27</w:t>
      </w:r>
      <w:r>
        <w:rPr>
          <w:rFonts w:ascii="Arial" w:cs="Arial" w:eastAsia="Arial" w:hAnsi="Arial"/>
          <w:sz w:val="15"/>
          <w:szCs w:val="15"/>
          <w:color w:val="auto"/>
        </w:rPr>
        <w:t>th</w:t>
      </w:r>
      <w:r>
        <w:rPr>
          <w:rFonts w:ascii="Arial" w:cs="Arial" w:eastAsia="Arial" w:hAnsi="Arial"/>
          <w:sz w:val="18"/>
          <w:szCs w:val="18"/>
          <w:color w:val="auto"/>
        </w:rPr>
        <w:t xml:space="preserve"> day of May, 2010.</w:t>
      </w:r>
    </w:p>
    <w:p>
      <w:pPr>
        <w:spacing w:after="0" w:line="16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Jimmy C. Tallent</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-130810</wp:posOffset>
            </wp:positionV>
            <wp:extent cx="2084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76" w:name="page77"/>
    <w:bookmarkEnd w:id="76"/>
    <w:p>
      <w:pPr>
        <w:ind w:left="4208"/>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2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jc w:val="center"/>
        <w:ind w:right="-148"/>
        <w:spacing w:after="0"/>
        <w:rPr>
          <w:sz w:val="20"/>
          <w:szCs w:val="20"/>
          <w:color w:val="auto"/>
        </w:rPr>
      </w:pPr>
      <w:r>
        <w:rPr>
          <w:rFonts w:ascii="Arial" w:cs="Arial" w:eastAsia="Arial" w:hAnsi="Arial"/>
          <w:sz w:val="18"/>
          <w:szCs w:val="18"/>
          <w:color w:val="auto"/>
        </w:rPr>
        <w:t>Date: August 4, 2010</w:t>
      </w:r>
    </w:p>
    <w:p>
      <w:pPr>
        <w:sectPr>
          <w:pgSz w:w="11900" w:h="16838" w:orient="portrait"/>
          <w:cols w:equalWidth="0" w:num="1">
            <w:col w:w="9887"/>
          </w:cols>
          <w:pgMar w:left="572" w:top="121" w:right="1440" w:bottom="1440" w:gutter="0" w:footer="0" w:header="0"/>
        </w:sectPr>
      </w:pPr>
    </w:p>
    <w:bookmarkStart w:id="77" w:name="page78"/>
    <w:bookmarkEnd w:id="77"/>
    <w:p>
      <w:pPr>
        <w:ind w:left="4208"/>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2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jc w:val="center"/>
        <w:ind w:right="-148"/>
        <w:spacing w:after="0"/>
        <w:rPr>
          <w:sz w:val="20"/>
          <w:szCs w:val="20"/>
          <w:color w:val="auto"/>
        </w:rPr>
      </w:pPr>
      <w:r>
        <w:rPr>
          <w:rFonts w:ascii="Arial" w:cs="Arial" w:eastAsia="Arial" w:hAnsi="Arial"/>
          <w:sz w:val="18"/>
          <w:szCs w:val="18"/>
          <w:color w:val="auto"/>
        </w:rPr>
        <w:t>Date: August 4, 2010</w:t>
      </w:r>
    </w:p>
    <w:p>
      <w:pPr>
        <w:sectPr>
          <w:pgSz w:w="11900" w:h="16838" w:orient="portrait"/>
          <w:cols w:equalWidth="0" w:num="1">
            <w:col w:w="9887"/>
          </w:cols>
          <w:pgMar w:left="572" w:top="121" w:right="1440" w:bottom="1440" w:gutter="0" w:footer="0" w:header="0"/>
        </w:sectPr>
      </w:pPr>
    </w:p>
    <w:bookmarkStart w:id="78" w:name="page79"/>
    <w:bookmarkEnd w:id="78"/>
    <w:p>
      <w:pPr>
        <w:ind w:left="42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June 30, 2010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14605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14605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Date: August 4, 2010</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32"/>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3"/>
    </w:lvl>
    <w:lvl w:ilvl="1">
      <w:lvlJc w:val="left"/>
      <w:lvlText w:val="(%2)"/>
      <w:numFmt w:val="lowerLetter"/>
      <w:start w:val="1"/>
    </w:lvl>
  </w:abstractNum>
  <w:abstractNum w:abstractNumId="20">
    <w:nsid w:val="6CEAF087"/>
    <w:multiLevelType w:val="hybridMultilevel"/>
    <w:lvl w:ilvl="0">
      <w:lvlJc w:val="left"/>
      <w:lvlText w:val="%1"/>
      <w:numFmt w:val="decimal"/>
      <w:start w:val="1"/>
    </w:lvl>
    <w:lvl w:ilvl="1">
      <w:lvlJc w:val="left"/>
      <w:lvlText w:val="(%2)"/>
      <w:numFmt w:val="lowerLetter"/>
      <w:start w:val="2"/>
    </w:lvl>
  </w:abstractNum>
  <w:abstractNum w:abstractNumId="21">
    <w:nsid w:val="22221A70"/>
    <w:multiLevelType w:val="hybridMultilevel"/>
    <w:lvl w:ilvl="0">
      <w:lvlJc w:val="left"/>
      <w:lvlText w:val="%1."/>
      <w:numFmt w:val="decimal"/>
      <w:start w:val="4"/>
    </w:lvl>
    <w:lvl w:ilvl="1">
      <w:lvlJc w:val="left"/>
      <w:lvlText w:val="%2"/>
      <w:numFmt w:val="lowerLetter"/>
      <w:start w:val="1"/>
    </w:lvl>
  </w:abstractNum>
  <w:abstractNum w:abstractNumId="22">
    <w:nsid w:val="4516D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
    <w:nsid w:val="614FD4A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5577F8E1"/>
    <w:multiLevelType w:val="hybridMultilevel"/>
    <w:lvl w:ilvl="0">
      <w:lvlJc w:val="left"/>
      <w:lvlText w:val="(%1)"/>
      <w:numFmt w:val="lowerLetter"/>
      <w:start w:val="61"/>
    </w:lvl>
    <w:lvl w:ilvl="1">
      <w:lvlJc w:val="left"/>
      <w:lvlText w:val="(%2)"/>
      <w:numFmt w:val="upperLetter"/>
      <w:start w:val="1"/>
    </w:lvl>
  </w:abstractNum>
  <w:abstractNum w:abstractNumId="27">
    <w:nsid w:val="440BADFC"/>
    <w:multiLevelType w:val="hybridMultilevel"/>
    <w:lvl w:ilvl="0">
      <w:lvlJc w:val="left"/>
      <w:lvlText w:val="%1"/>
      <w:numFmt w:val="lowerLetter"/>
      <w:start w:val="1"/>
    </w:lvl>
    <w:lvl w:ilvl="1">
      <w:lvlJc w:val="left"/>
      <w:lvlText w:val="(%2)"/>
      <w:numFmt w:val="lowerRoman"/>
      <w:start w:val="4"/>
    </w:lvl>
  </w:abstractNum>
  <w:abstractNum w:abstractNumId="28">
    <w:nsid w:val="5072367"/>
    <w:multiLevelType w:val="hybridMultilevel"/>
    <w:lvl w:ilvl="0">
      <w:lvlJc w:val="left"/>
      <w:lvlText w:val="(%1)"/>
      <w:numFmt w:val="lowerLetter"/>
      <w:start w:val="2"/>
    </w:lvl>
    <w:lvl w:ilvl="1">
      <w:lvlJc w:val="left"/>
      <w:lvlText w:val="(%2)"/>
      <w:numFmt w:val="lowerRoman"/>
      <w:start w:val="1"/>
    </w:lvl>
  </w:abstractNum>
  <w:abstractNum w:abstractNumId="29">
    <w:nsid w:val="3804823E"/>
    <w:multiLevelType w:val="hybridMultilevel"/>
    <w:lvl w:ilvl="0">
      <w:lvlJc w:val="left"/>
      <w:lvlText w:val="(%1)"/>
      <w:numFmt w:val="lowerLetter"/>
      <w:start w:val="2"/>
    </w:lvl>
    <w:lvl w:ilvl="1">
      <w:lvlJc w:val="left"/>
      <w:lvlText w:val="(%2)"/>
      <w:numFmt w:val="lowerRoman"/>
      <w:start w:val="2"/>
    </w:lvl>
  </w:abstractNum>
  <w:abstractNum w:abstractNumId="30">
    <w:nsid w:val="77465F01"/>
    <w:multiLevelType w:val="hybridMultilevel"/>
    <w:lvl w:ilvl="0">
      <w:lvlJc w:val="left"/>
      <w:lvlText w:val="(%1)"/>
      <w:numFmt w:val="lowerLetter"/>
      <w:start w:val="2"/>
    </w:lvl>
    <w:lvl w:ilvl="1">
      <w:lvlJc w:val="left"/>
      <w:lvlText w:val="%2"/>
      <w:numFmt w:val="lowerRoman"/>
      <w:start w:val="1"/>
    </w:lvl>
  </w:abstractNum>
  <w:abstractNum w:abstractNumId="31">
    <w:nsid w:val="7724C67E"/>
    <w:multiLevelType w:val="hybridMultilevel"/>
    <w:lvl w:ilvl="0">
      <w:lvlJc w:val="left"/>
      <w:lvlText w:val="(%1)"/>
      <w:numFmt w:val="lowerRoman"/>
      <w:start w:val="3"/>
    </w:lvl>
    <w:lvl w:ilvl="1">
      <w:lvlJc w:val="left"/>
      <w:lvlText w:val="(%2)"/>
      <w:numFmt w:val="upperLetter"/>
      <w:start w:val="1"/>
    </w:lvl>
  </w:abstractNum>
  <w:abstractNum w:abstractNumId="32">
    <w:nsid w:val="5C482A97"/>
    <w:multiLevelType w:val="hybridMultilevel"/>
    <w:lvl w:ilvl="0">
      <w:lvlJc w:val="left"/>
      <w:lvlText w:val="%1"/>
      <w:numFmt w:val="decimal"/>
      <w:start w:val="1"/>
    </w:lvl>
    <w:lvl w:ilvl="1">
      <w:lvlJc w:val="left"/>
      <w:lvlText w:val="(%2)"/>
      <w:numFmt w:val="lowerRoman"/>
      <w:start w:val="4"/>
    </w:lvl>
  </w:abstractNum>
  <w:abstractNum w:abstractNumId="33">
    <w:nsid w:val="2463B9EA"/>
    <w:multiLevelType w:val="hybridMultilevel"/>
    <w:lvl w:ilvl="0">
      <w:lvlJc w:val="left"/>
      <w:lvlText w:val="(%1)"/>
      <w:numFmt w:val="decimal"/>
      <w:start w:val="2"/>
    </w:lvl>
    <w:lvl w:ilvl="1">
      <w:lvlJc w:val="left"/>
      <w:lvlText w:val="(%2)"/>
      <w:numFmt w:val="lowerRoman"/>
      <w:start w:val="6"/>
    </w:lvl>
  </w:abstractNum>
  <w:abstractNum w:abstractNumId="34">
    <w:nsid w:val="5E884ADC"/>
    <w:multiLevelType w:val="hybridMultilevel"/>
    <w:lvl w:ilvl="0">
      <w:lvlJc w:val="left"/>
      <w:lvlText w:val="(%1)"/>
      <w:numFmt w:val="lowerLetter"/>
      <w:start w:val="3"/>
    </w:lvl>
  </w:abstractNum>
  <w:abstractNum w:abstractNumId="35">
    <w:nsid w:val="51EAD36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6">
    <w:nsid w:val="2D51779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37">
    <w:nsid w:val="580BD78F"/>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8">
    <w:nsid w:val="153EA438"/>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39">
    <w:nsid w:val="3855585C"/>
    <w:multiLevelType w:val="hybridMultilevel"/>
    <w:lvl w:ilvl="0">
      <w:lvlJc w:val="left"/>
      <w:lvlText w:val="%1."/>
      <w:numFmt w:val="decimal"/>
      <w:start w:val="8"/>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2019-12-10T08:34:25Z</dcterms:created>
  <dcterms:modified xsi:type="dcterms:W3CDTF">2019-12-10T08:34:25Z</dcterms:modified>
</cp:coreProperties>
</file>