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240665</wp:posOffset>
            </wp:positionH>
            <wp:positionV relativeFrom="page">
              <wp:posOffset>417195</wp:posOffset>
            </wp:positionV>
            <wp:extent cx="7075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805" cy="8255"/>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375285</wp:posOffset>
            </wp:positionV>
            <wp:extent cx="70758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805" cy="1651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15" w:lineRule="exact"/>
        <w:rPr>
          <w:sz w:val="24"/>
          <w:szCs w:val="24"/>
          <w:color w:val="auto"/>
        </w:rPr>
      </w:pPr>
    </w:p>
    <w:p>
      <w:pPr>
        <w:jc w:val="center"/>
        <w:ind w:left="4080" w:right="1640" w:hanging="2434"/>
        <w:spacing w:after="0" w:line="275" w:lineRule="auto"/>
        <w:tabs>
          <w:tab w:leader="none" w:pos="1842"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68" w:lineRule="exact"/>
        <w:rPr>
          <w:rFonts w:ascii="MS PGothic" w:cs="MS PGothic" w:eastAsia="MS PGothic" w:hAnsi="MS PGothic"/>
          <w:sz w:val="16"/>
          <w:szCs w:val="16"/>
          <w:color w:val="auto"/>
        </w:rPr>
      </w:pPr>
    </w:p>
    <w:p>
      <w:pPr>
        <w:jc w:val="center"/>
        <w:ind w:left="4000" w:right="1480" w:hanging="2517"/>
        <w:spacing w:after="0" w:line="275" w:lineRule="auto"/>
        <w:tabs>
          <w:tab w:leader="none" w:pos="167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 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1" w:lineRule="exact"/>
        <w:rPr>
          <w:sz w:val="24"/>
          <w:szCs w:val="24"/>
          <w:color w:val="auto"/>
        </w:rPr>
      </w:pPr>
    </w:p>
    <w:tbl>
      <w:tblPr>
        <w:tblLayout w:type="fixed"/>
        <w:tblInd w:w="2420" w:type="dxa"/>
        <w:tblCellMar>
          <w:top w:w="0" w:type="dxa"/>
          <w:left w:w="0" w:type="dxa"/>
          <w:bottom w:w="0" w:type="dxa"/>
          <w:right w:w="0" w:type="dxa"/>
        </w:tblCellMar>
      </w:tblP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58-1807304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550545</wp:posOffset>
            </wp:positionH>
            <wp:positionV relativeFrom="paragraph">
              <wp:posOffset>3175</wp:posOffset>
            </wp:positionV>
            <wp:extent cx="6049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4964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color w:val="auto"/>
        </w:rPr>
        <w:t>(State of incorporation)</w:t>
      </w:r>
    </w:p>
    <w:p>
      <w:pPr>
        <w:spacing w:after="0" w:line="23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5"/>
          <w:szCs w:val="15"/>
          <w:b w:val="1"/>
          <w:bCs w:val="1"/>
          <w:color w:val="auto"/>
        </w:rPr>
        <w:t>200 East Camperdown Way</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550545</wp:posOffset>
            </wp:positionH>
            <wp:positionV relativeFrom="paragraph">
              <wp:posOffset>19685</wp:posOffset>
            </wp:positionV>
            <wp:extent cx="2322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pacing w:after="0" w:line="24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29601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-504825</wp:posOffset>
            </wp:positionH>
            <wp:positionV relativeFrom="paragraph">
              <wp:posOffset>19685</wp:posOffset>
            </wp:positionV>
            <wp:extent cx="2330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6800" w:space="720"/>
            <w:col w:w="3720"/>
          </w:cols>
          <w:pgMar w:left="320" w:top="746" w:right="339" w:bottom="1440" w:gutter="0" w:footer="0" w:header="0"/>
          <w:type w:val="continuous"/>
        </w:sectPr>
      </w:pPr>
    </w:p>
    <w:p>
      <w:pPr>
        <w:ind w:left="1560"/>
        <w:spacing w:after="0"/>
        <w:tabs>
          <w:tab w:leader="none" w:pos="824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3"/>
          <w:szCs w:val="13"/>
          <w:color w:val="auto"/>
        </w:rPr>
        <w:t>(Zip code)</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(800) 822-2651</w:t>
      </w:r>
    </w:p>
    <w:p>
      <w:pPr>
        <w:spacing w:after="0" w:line="132"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0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5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03"/>
        </w:trPr>
        <w:tc>
          <w:tcPr>
            <w:tcW w:w="456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8"/>
              </w:rPr>
              <w:t>Common stock, par value $1 per share</w:t>
            </w:r>
          </w:p>
        </w:tc>
        <w:tc>
          <w:tcPr>
            <w:tcW w:w="200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UCB</w:t>
            </w:r>
          </w:p>
        </w:tc>
        <w:tc>
          <w:tcPr>
            <w:tcW w:w="43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163"/>
        </w:trPr>
        <w:tc>
          <w:tcPr>
            <w:tcW w:w="4560" w:type="dxa"/>
            <w:vAlign w:val="bottom"/>
          </w:tcPr>
          <w:p>
            <w:pPr>
              <w:jc w:val="center"/>
              <w:ind w:right="41"/>
              <w:spacing w:after="0" w:line="164" w:lineRule="exact"/>
              <w:rPr>
                <w:sz w:val="20"/>
                <w:szCs w:val="20"/>
                <w:color w:val="auto"/>
              </w:rPr>
            </w:pPr>
            <w:r>
              <w:rPr>
                <w:rFonts w:ascii="Times New Roman" w:cs="Times New Roman" w:eastAsia="Times New Roman" w:hAnsi="Times New Roman"/>
                <w:sz w:val="16"/>
                <w:szCs w:val="16"/>
                <w:color w:val="auto"/>
                <w:w w:val="99"/>
              </w:rPr>
              <w:t>Depositary shares, each representing 1/1000th interest in a share of</w:t>
            </w:r>
          </w:p>
        </w:tc>
        <w:tc>
          <w:tcPr>
            <w:tcW w:w="2000" w:type="dxa"/>
            <w:vAlign w:val="bottom"/>
            <w:vMerge w:val="restart"/>
          </w:tcPr>
          <w:p>
            <w:pPr>
              <w:jc w:val="center"/>
              <w:ind w:right="221"/>
              <w:spacing w:after="0"/>
              <w:rPr>
                <w:sz w:val="20"/>
                <w:szCs w:val="20"/>
                <w:color w:val="auto"/>
              </w:rPr>
            </w:pPr>
            <w:r>
              <w:rPr>
                <w:rFonts w:ascii="Times New Roman" w:cs="Times New Roman" w:eastAsia="Times New Roman" w:hAnsi="Times New Roman"/>
                <w:sz w:val="16"/>
                <w:szCs w:val="16"/>
                <w:color w:val="auto"/>
              </w:rPr>
              <w:t>UCB PRI</w:t>
            </w:r>
          </w:p>
        </w:tc>
        <w:tc>
          <w:tcPr>
            <w:tcW w:w="43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208"/>
        </w:trPr>
        <w:tc>
          <w:tcPr>
            <w:tcW w:w="456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Series I Non-Cumulative Preferred Stock</w:t>
            </w:r>
          </w:p>
        </w:tc>
        <w:tc>
          <w:tcPr>
            <w:tcW w:w="2000" w:type="dxa"/>
            <w:vAlign w:val="bottom"/>
            <w:vMerge w:val="continue"/>
          </w:tcPr>
          <w:p>
            <w:pPr>
              <w:spacing w:after="0"/>
              <w:rPr>
                <w:sz w:val="18"/>
                <w:szCs w:val="18"/>
                <w:color w:val="auto"/>
              </w:rPr>
            </w:pPr>
          </w:p>
        </w:tc>
        <w:tc>
          <w:tcPr>
            <w:tcW w:w="4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45" w:lineRule="exact"/>
        <w:rPr>
          <w:sz w:val="24"/>
          <w:szCs w:val="24"/>
          <w:color w:val="auto"/>
        </w:rPr>
      </w:pPr>
    </w:p>
    <w:p>
      <w:pPr>
        <w:ind w:right="27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p>
    <w:p>
      <w:pPr>
        <w:spacing w:after="0" w:line="21"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2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12"/>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2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68"/>
        </w:trPr>
        <w:tc>
          <w:tcPr>
            <w:tcW w:w="21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7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highlight w:val="black"/>
        </w:rPr>
        <w:t>☒</w:t>
      </w:r>
    </w:p>
    <w:p>
      <w:pPr>
        <w:spacing w:after="0" w:line="33" w:lineRule="exact"/>
        <w:rPr>
          <w:sz w:val="24"/>
          <w:szCs w:val="24"/>
          <w:color w:val="auto"/>
        </w:rPr>
      </w:pPr>
    </w:p>
    <w:p>
      <w:pPr>
        <w:ind w:right="20"/>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52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101"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computed by reference to the closing price ($25.46 per share) of such common equity, as of June 28, 2024 (the last business day of the registrant’s most recently completed second fiscal quarter) was $3,020,599,325.</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January 31, 2025, there were 119,444,172 shares of United Community Banks, Inc.’s common stock issued and outstanding.</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6" w:lineRule="exact"/>
        <w:rPr>
          <w:sz w:val="24"/>
          <w:szCs w:val="24"/>
          <w:color w:val="auto"/>
        </w:rPr>
      </w:pPr>
    </w:p>
    <w:p>
      <w:pPr>
        <w:ind w:right="280"/>
        <w:spacing w:after="0" w:line="290" w:lineRule="auto"/>
        <w:rPr>
          <w:sz w:val="20"/>
          <w:szCs w:val="20"/>
          <w:color w:val="auto"/>
        </w:rPr>
      </w:pPr>
      <w:r>
        <w:rPr>
          <w:rFonts w:ascii="Times New Roman" w:cs="Times New Roman" w:eastAsia="Times New Roman" w:hAnsi="Times New Roman"/>
          <w:sz w:val="16"/>
          <w:szCs w:val="16"/>
          <w:color w:val="auto"/>
        </w:rPr>
        <w:t>Portions of the registrant’s Proxy Statement for the 2025 Annual Meeting of Shareholders to be held on May 14, 2025 (the “2025 Proxy Statement”)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395605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71755</wp:posOffset>
            </wp:positionV>
            <wp:extent cx="71094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9460" cy="1714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46355</wp:posOffset>
            </wp:positionV>
            <wp:extent cx="7109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9460"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5"/>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15"/>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UNITED COMMUNITY BANKS, INC.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40" w:type="dxa"/>
            <w:vAlign w:val="bottom"/>
            <w:gridSpan w:val="12"/>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11"/>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6"/>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360" w:type="dxa"/>
            <w:vAlign w:val="bottom"/>
            <w:gridSpan w:val="26"/>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80" w:type="dxa"/>
            <w:vAlign w:val="bottom"/>
            <w:gridSpan w:val="4"/>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3</w:t>
            </w:r>
          </w:p>
        </w:tc>
      </w:tr>
      <w:tr>
        <w:trPr>
          <w:trHeight w:val="40"/>
        </w:trPr>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60" w:type="dxa"/>
            <w:vAlign w:val="bottom"/>
            <w:gridSpan w:val="2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Forward-looking Statements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5</w:t>
            </w:r>
          </w:p>
        </w:tc>
      </w:tr>
      <w:tr>
        <w:trPr>
          <w:trHeight w:val="215"/>
        </w:trPr>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5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left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right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right w:val="single" w:sz="8" w:color="CCEEFF"/>
            </w:tcBorders>
            <w:shd w:val="clear" w:color="auto" w:fill="CCEEFF"/>
          </w:tcPr>
          <w:p>
            <w:pPr>
              <w:spacing w:after="0"/>
              <w:rPr>
                <w:sz w:val="18"/>
                <w:szCs w:val="18"/>
                <w:color w:val="auto"/>
              </w:rPr>
            </w:pPr>
          </w:p>
        </w:tc>
        <w:tc>
          <w:tcPr>
            <w:tcW w:w="140" w:type="dxa"/>
            <w:vAlign w:val="bottom"/>
            <w:tcBorders>
              <w:top w:val="single" w:sz="8" w:color="0000FF"/>
              <w:left w:val="single" w:sz="8" w:color="CCEE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40" w:type="dxa"/>
            <w:vAlign w:val="bottom"/>
            <w:gridSpan w:val="12"/>
            <w:shd w:val="clear" w:color="auto" w:fill="CCEEFF"/>
          </w:tcPr>
          <w:p>
            <w:pPr>
              <w:jc w:val="center"/>
              <w:ind w:right="4780"/>
              <w:spacing w:after="0" w:line="195"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5"/>
        </w:trPr>
        <w:tc>
          <w:tcPr>
            <w:tcW w:w="540" w:type="dxa"/>
            <w:vAlign w:val="bottom"/>
            <w:tcBorders>
              <w:top w:val="single" w:sz="8" w:color="CCEEFF"/>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1.</w:t>
            </w:r>
          </w:p>
        </w:tc>
        <w:tc>
          <w:tcPr>
            <w:tcW w:w="600" w:type="dxa"/>
            <w:vAlign w:val="bottom"/>
            <w:tcBorders>
              <w:top w:val="single" w:sz="8" w:color="CCEEFF"/>
            </w:tcBorders>
            <w:gridSpan w:val="4"/>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gridSpan w:val="1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Business</w:t>
            </w:r>
          </w:p>
        </w:tc>
        <w:tc>
          <w:tcPr>
            <w:tcW w:w="580" w:type="dxa"/>
            <w:vAlign w:val="bottom"/>
            <w:tcBorders>
              <w:top w:val="single" w:sz="8" w:color="0000FF"/>
            </w:tcBorders>
          </w:tcPr>
          <w:p>
            <w:pPr>
              <w:spacing w:after="0"/>
              <w:rPr>
                <w:sz w:val="16"/>
                <w:szCs w:val="16"/>
                <w:color w:val="auto"/>
              </w:rPr>
            </w:pPr>
          </w:p>
        </w:tc>
        <w:tc>
          <w:tcPr>
            <w:tcW w:w="5020" w:type="dxa"/>
            <w:vAlign w:val="bottom"/>
            <w:tcBorders>
              <w:top w:val="single" w:sz="8" w:color="CCEEFF"/>
            </w:tcBorders>
            <w:gridSpan w:val="10"/>
          </w:tcPr>
          <w:p>
            <w:pPr>
              <w:spacing w:after="0"/>
              <w:rPr>
                <w:sz w:val="16"/>
                <w:szCs w:val="16"/>
                <w:color w:val="auto"/>
              </w:rPr>
            </w:pPr>
          </w:p>
        </w:tc>
        <w:tc>
          <w:tcPr>
            <w:tcW w:w="280" w:type="dxa"/>
            <w:vAlign w:val="bottom"/>
            <w:tcBorders>
              <w:top w:val="single" w:sz="8" w:color="CCEEFF"/>
            </w:tcBorders>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7</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22</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6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87"/>
              </w:rPr>
              <w:t>Item 1B.</w:t>
            </w:r>
          </w:p>
        </w:tc>
        <w:tc>
          <w:tcPr>
            <w:tcW w:w="52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7"/>
              </w:rPr>
              <w:t>Unresolved Staff Comments</w:t>
            </w:r>
          </w:p>
        </w:tc>
        <w:tc>
          <w:tcPr>
            <w:tcW w:w="7240" w:type="dxa"/>
            <w:vAlign w:val="bottom"/>
            <w:gridSpan w:val="16"/>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36</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1C.</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Cybersecurity</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36</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2.</w:t>
            </w:r>
          </w:p>
        </w:tc>
        <w:tc>
          <w:tcPr>
            <w:tcW w:w="80" w:type="dxa"/>
            <w:vAlign w:val="bottom"/>
          </w:tcPr>
          <w:p>
            <w:pPr>
              <w:spacing w:after="0"/>
              <w:rPr>
                <w:sz w:val="16"/>
                <w:szCs w:val="16"/>
                <w:color w:val="auto"/>
              </w:rPr>
            </w:pPr>
          </w:p>
        </w:tc>
        <w:tc>
          <w:tcPr>
            <w:tcW w:w="52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Properties</w:t>
            </w:r>
          </w:p>
        </w:tc>
        <w:tc>
          <w:tcPr>
            <w:tcW w:w="8300" w:type="dxa"/>
            <w:vAlign w:val="bottom"/>
            <w:gridSpan w:val="21"/>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38</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3.</w:t>
            </w:r>
          </w:p>
        </w:tc>
        <w:tc>
          <w:tcPr>
            <w:tcW w:w="600" w:type="dxa"/>
            <w:vAlign w:val="bottom"/>
            <w:gridSpan w:val="4"/>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tcBorders>
              <w:right w:val="single" w:sz="8" w:color="CCEEFF"/>
            </w:tcBorders>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7940" w:type="dxa"/>
            <w:vAlign w:val="bottom"/>
            <w:gridSpan w:val="20"/>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38</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4.</w:t>
            </w:r>
          </w:p>
        </w:tc>
        <w:tc>
          <w:tcPr>
            <w:tcW w:w="60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9360" w:type="dxa"/>
            <w:vAlign w:val="bottom"/>
            <w:gridSpan w:val="2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38</w:t>
            </w: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left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6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60" w:type="dxa"/>
            <w:vAlign w:val="bottom"/>
            <w:tcBorders>
              <w:lef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5"/>
        </w:trPr>
        <w:tc>
          <w:tcPr>
            <w:tcW w:w="114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60" w:type="dxa"/>
            <w:vAlign w:val="bottom"/>
            <w:tcBorders>
              <w:lef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8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5.</w:t>
            </w:r>
          </w:p>
        </w:tc>
        <w:tc>
          <w:tcPr>
            <w:tcW w:w="60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8520" w:type="dxa"/>
            <w:vAlign w:val="bottom"/>
            <w:gridSpan w:val="25"/>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7"/>
              </w:rPr>
              <w:t>Market for Registrant’s Common Equity, Related Stockholder Matters and Issuer Purchases of Equity Securities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38</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960" w:type="dxa"/>
            <w:vAlign w:val="bottom"/>
            <w:tcBorders>
              <w:left w:val="single" w:sz="8" w:color="0000FF"/>
            </w:tcBorders>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600" w:type="dxa"/>
            <w:vAlign w:val="bottom"/>
            <w:gridSpan w:val="4"/>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84"/>
              </w:rPr>
              <w:t>Reserved</w:t>
            </w:r>
          </w:p>
        </w:tc>
        <w:tc>
          <w:tcPr>
            <w:tcW w:w="7880" w:type="dxa"/>
            <w:vAlign w:val="bottom"/>
            <w:tcBorders>
              <w:left w:val="single" w:sz="8" w:color="CCEEFF"/>
            </w:tcBorders>
            <w:gridSpan w:val="23"/>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39</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7.</w:t>
            </w:r>
          </w:p>
        </w:tc>
        <w:tc>
          <w:tcPr>
            <w:tcW w:w="60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9360" w:type="dxa"/>
            <w:vAlign w:val="bottom"/>
            <w:gridSpan w:val="2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40</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7A.</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65</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8.</w:t>
            </w:r>
          </w:p>
        </w:tc>
        <w:tc>
          <w:tcPr>
            <w:tcW w:w="80" w:type="dxa"/>
            <w:vAlign w:val="bottom"/>
          </w:tcPr>
          <w:p>
            <w:pPr>
              <w:spacing w:after="0"/>
              <w:rPr>
                <w:sz w:val="16"/>
                <w:szCs w:val="16"/>
                <w:color w:val="auto"/>
              </w:rPr>
            </w:pPr>
          </w:p>
        </w:tc>
        <w:tc>
          <w:tcPr>
            <w:tcW w:w="52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458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Financial Statements and Supplementary Data</w:t>
            </w:r>
          </w:p>
        </w:tc>
        <w:tc>
          <w:tcPr>
            <w:tcW w:w="4780" w:type="dxa"/>
            <w:vAlign w:val="bottom"/>
            <w:gridSpan w:val="8"/>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66</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2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Management’s Report on Internal Control Over Financial Reporting</w:t>
            </w:r>
          </w:p>
        </w:tc>
        <w:tc>
          <w:tcPr>
            <w:tcW w:w="4440" w:type="dxa"/>
            <w:vAlign w:val="bottom"/>
            <w:gridSpan w:val="7"/>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67</w:t>
            </w:r>
          </w:p>
        </w:tc>
      </w:tr>
      <w:tr>
        <w:trPr>
          <w:trHeight w:val="40"/>
        </w:trPr>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60" w:type="dxa"/>
            <w:vAlign w:val="bottom"/>
            <w:gridSpan w:val="25"/>
          </w:tcPr>
          <w:p>
            <w:pPr>
              <w:spacing w:after="0" w:line="18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68</w:t>
            </w:r>
          </w:p>
        </w:tc>
      </w:tr>
      <w:tr>
        <w:trPr>
          <w:trHeight w:val="30"/>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40" w:type="dxa"/>
            <w:vAlign w:val="bottom"/>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Consolidated Financial Statements and Accompanying Notes</w:t>
            </w:r>
          </w:p>
        </w:tc>
        <w:tc>
          <w:tcPr>
            <w:tcW w:w="780" w:type="dxa"/>
            <w:vAlign w:val="bottom"/>
            <w:gridSpan w:val="4"/>
            <w:shd w:val="clear" w:color="auto" w:fill="CCEEFF"/>
          </w:tcPr>
          <w:p>
            <w:pPr>
              <w:spacing w:after="0"/>
              <w:rPr>
                <w:sz w:val="16"/>
                <w:szCs w:val="16"/>
                <w:color w:val="auto"/>
              </w:rPr>
            </w:pPr>
          </w:p>
        </w:tc>
        <w:tc>
          <w:tcPr>
            <w:tcW w:w="4140" w:type="dxa"/>
            <w:vAlign w:val="bottom"/>
            <w:gridSpan w:val="5"/>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69</w:t>
            </w:r>
          </w:p>
        </w:tc>
      </w:tr>
      <w:tr>
        <w:trPr>
          <w:trHeight w:val="40"/>
        </w:trPr>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9.</w:t>
            </w:r>
          </w:p>
        </w:tc>
        <w:tc>
          <w:tcPr>
            <w:tcW w:w="60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9360" w:type="dxa"/>
            <w:vAlign w:val="bottom"/>
            <w:gridSpan w:val="2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 Financial Disclosure</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126</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960" w:type="dxa"/>
            <w:vAlign w:val="bottom"/>
            <w:tcBorders>
              <w:left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9A.</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126</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6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87"/>
              </w:rPr>
              <w:t>Item 9B.</w:t>
            </w:r>
          </w:p>
        </w:tc>
        <w:tc>
          <w:tcPr>
            <w:tcW w:w="52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5"/>
              </w:rPr>
              <w:t>Other Information</w:t>
            </w:r>
          </w:p>
        </w:tc>
        <w:tc>
          <w:tcPr>
            <w:tcW w:w="440" w:type="dxa"/>
            <w:vAlign w:val="bottom"/>
            <w:gridSpan w:val="2"/>
          </w:tcPr>
          <w:p>
            <w:pPr>
              <w:spacing w:after="0"/>
              <w:rPr>
                <w:sz w:val="16"/>
                <w:szCs w:val="16"/>
                <w:color w:val="auto"/>
              </w:rPr>
            </w:pPr>
          </w:p>
        </w:tc>
        <w:tc>
          <w:tcPr>
            <w:tcW w:w="7500" w:type="dxa"/>
            <w:vAlign w:val="bottom"/>
            <w:gridSpan w:val="18"/>
          </w:tcPr>
          <w:p>
            <w:pPr>
              <w:spacing w:after="0"/>
              <w:rPr>
                <w:sz w:val="16"/>
                <w:szCs w:val="16"/>
                <w:color w:val="auto"/>
              </w:rPr>
            </w:pP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126</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9C.</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126</w:t>
            </w: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5"/>
        </w:trPr>
        <w:tc>
          <w:tcPr>
            <w:tcW w:w="114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5"/>
        </w:trPr>
        <w:tc>
          <w:tcPr>
            <w:tcW w:w="114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10.</w:t>
            </w:r>
          </w:p>
        </w:tc>
        <w:tc>
          <w:tcPr>
            <w:tcW w:w="9760" w:type="dxa"/>
            <w:vAlign w:val="bottom"/>
            <w:gridSpan w:val="27"/>
            <w:shd w:val="clear" w:color="auto" w:fill="CCEEFF"/>
          </w:tcPr>
          <w:p>
            <w:pPr>
              <w:ind w:left="400"/>
              <w:spacing w:after="0" w:line="186" w:lineRule="exact"/>
              <w:rPr>
                <w:sz w:val="20"/>
                <w:szCs w:val="20"/>
                <w:color w:val="auto"/>
              </w:rPr>
            </w:pPr>
            <w:r>
              <w:rPr>
                <w:rFonts w:ascii="Times New Roman" w:cs="Times New Roman" w:eastAsia="Times New Roman" w:hAnsi="Times New Roman"/>
                <w:sz w:val="18"/>
                <w:szCs w:val="18"/>
                <w:b w:val="1"/>
                <w:bCs w:val="1"/>
                <w:color w:val="0000FF"/>
              </w:rPr>
              <w:t>Directors, Executive Officers and Corporate Governance</w:t>
            </w:r>
          </w:p>
        </w:tc>
        <w:tc>
          <w:tcPr>
            <w:tcW w:w="280" w:type="dxa"/>
            <w:vAlign w:val="bottom"/>
            <w:gridSpan w:val="4"/>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127</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6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2"/>
              </w:rPr>
              <w:t>Item 11.</w:t>
            </w:r>
          </w:p>
        </w:tc>
        <w:tc>
          <w:tcPr>
            <w:tcW w:w="52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43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5020" w:type="dxa"/>
            <w:vAlign w:val="bottom"/>
            <w:gridSpan w:val="10"/>
          </w:tcPr>
          <w:p>
            <w:pPr>
              <w:spacing w:after="0"/>
              <w:rPr>
                <w:sz w:val="16"/>
                <w:szCs w:val="16"/>
                <w:color w:val="auto"/>
              </w:rPr>
            </w:pP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127</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12.</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Stockholder Matters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127</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960" w:type="dxa"/>
            <w:vAlign w:val="bottom"/>
            <w:tcBorders>
              <w:left w:val="single" w:sz="8" w:color="0000FF"/>
            </w:tcBorders>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4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13.</w:t>
            </w:r>
          </w:p>
        </w:tc>
        <w:tc>
          <w:tcPr>
            <w:tcW w:w="9760" w:type="dxa"/>
            <w:vAlign w:val="bottom"/>
            <w:gridSpan w:val="27"/>
          </w:tcPr>
          <w:p>
            <w:pPr>
              <w:ind w:left="400"/>
              <w:spacing w:after="0" w:line="186" w:lineRule="exact"/>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 Independence</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127</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14.</w:t>
            </w:r>
          </w:p>
        </w:tc>
        <w:tc>
          <w:tcPr>
            <w:tcW w:w="9760" w:type="dxa"/>
            <w:vAlign w:val="bottom"/>
            <w:gridSpan w:val="27"/>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128</w:t>
            </w: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5"/>
        </w:trPr>
        <w:tc>
          <w:tcPr>
            <w:tcW w:w="114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5"/>
        </w:trPr>
        <w:tc>
          <w:tcPr>
            <w:tcW w:w="114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15.</w:t>
            </w:r>
          </w:p>
        </w:tc>
        <w:tc>
          <w:tcPr>
            <w:tcW w:w="9760" w:type="dxa"/>
            <w:vAlign w:val="bottom"/>
            <w:gridSpan w:val="27"/>
            <w:shd w:val="clear" w:color="auto" w:fill="CCEEFF"/>
          </w:tcPr>
          <w:p>
            <w:pPr>
              <w:ind w:left="400"/>
              <w:spacing w:after="0" w:line="186" w:lineRule="exact"/>
              <w:rPr>
                <w:sz w:val="20"/>
                <w:szCs w:val="20"/>
                <w:color w:val="auto"/>
              </w:rPr>
            </w:pPr>
            <w:r>
              <w:rPr>
                <w:rFonts w:ascii="Times New Roman" w:cs="Times New Roman" w:eastAsia="Times New Roman" w:hAnsi="Times New Roman"/>
                <w:sz w:val="18"/>
                <w:szCs w:val="18"/>
                <w:b w:val="1"/>
                <w:bCs w:val="1"/>
                <w:color w:val="0000FF"/>
              </w:rPr>
              <w:t>Exhibits and Financial Statement Schedules</w:t>
            </w:r>
          </w:p>
        </w:tc>
        <w:tc>
          <w:tcPr>
            <w:tcW w:w="280" w:type="dxa"/>
            <w:vAlign w:val="bottom"/>
            <w:gridSpan w:val="4"/>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128</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60" w:type="dxa"/>
            <w:vAlign w:val="bottom"/>
            <w:tcBorders>
              <w:lef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114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16.</w:t>
            </w:r>
          </w:p>
        </w:tc>
        <w:tc>
          <w:tcPr>
            <w:tcW w:w="9760" w:type="dxa"/>
            <w:vAlign w:val="bottom"/>
            <w:gridSpan w:val="27"/>
          </w:tcPr>
          <w:p>
            <w:pPr>
              <w:ind w:left="400"/>
              <w:spacing w:after="0" w:line="186" w:lineRule="exact"/>
              <w:rPr>
                <w:sz w:val="20"/>
                <w:szCs w:val="20"/>
                <w:color w:val="auto"/>
              </w:rPr>
            </w:pPr>
            <w:r>
              <w:rPr>
                <w:rFonts w:ascii="Times New Roman" w:cs="Times New Roman" w:eastAsia="Times New Roman" w:hAnsi="Times New Roman"/>
                <w:sz w:val="18"/>
                <w:szCs w:val="18"/>
                <w:b w:val="1"/>
                <w:bCs w:val="1"/>
                <w:color w:val="0000FF"/>
              </w:rPr>
              <w:t>Form 10-K Summary</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130</w:t>
            </w: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left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6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60" w:type="dxa"/>
            <w:vAlign w:val="bottom"/>
            <w:tcBorders>
              <w:lef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85"/>
        </w:trPr>
        <w:tc>
          <w:tcPr>
            <w:tcW w:w="114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5"/>
              </w:rPr>
              <w:t>SIGNATURES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131</w:t>
            </w: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95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8"/>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ANB Holdings, Inc. and its wholly owned subsidiary, American National Bank</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BHC Act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Holding Company Act of 1956, as amended</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CFPB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Financial Protection Bureau</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Reinvestment Act</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Dodd-Frank Act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Dodd-Frank Wall Street Reform and Consumer Protection Act</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DRIP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 and Stock Purchase Plan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FinCEN</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Crimes Enforcement Network</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FinTrust Brokerage Services, LLC and FinTrust Capital Advisors, LLC</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 Bancorp, Inc. and its wholly-owned subsidiary, First National Bank of South Miami</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GLB Act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Gramm-Leach-Bliley Act</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tcPr>
          <w:p>
            <w:pPr>
              <w:spacing w:after="0"/>
              <w:rPr>
                <w:sz w:val="20"/>
                <w:szCs w:val="20"/>
                <w:color w:val="auto"/>
              </w:rPr>
            </w:pPr>
          </w:p>
        </w:tc>
      </w:tr>
      <w:tr>
        <w:trPr>
          <w:trHeight w:val="88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11"/>
        </w:trPr>
        <w:tc>
          <w:tcPr>
            <w:tcW w:w="2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LIHTC</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Low income housing tax credits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Modified Retirement Plan</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United's unfunded noncontributory defined benefit pension plan</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Navitas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Navitas Credit Corp.</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172"/>
        </w:trPr>
        <w:tc>
          <w:tcPr>
            <w:tcW w:w="22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Patriot Act</w:t>
            </w:r>
          </w:p>
        </w:tc>
        <w:tc>
          <w:tcPr>
            <w:tcW w:w="894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8"/>
                <w:szCs w:val="18"/>
                <w:color w:val="auto"/>
                <w:w w:val="97"/>
              </w:rPr>
              <w:t>Uniting and Strengthening America by Providing Appropriate Tools Required to Intercept and Obstruct Terrorism Act of</w:t>
            </w:r>
          </w:p>
        </w:tc>
      </w:tr>
      <w:tr>
        <w:trPr>
          <w:trHeight w:val="239"/>
        </w:trPr>
        <w:tc>
          <w:tcPr>
            <w:tcW w:w="2260" w:type="dxa"/>
            <w:vAlign w:val="bottom"/>
            <w:shd w:val="clear" w:color="auto" w:fill="CCEEFF"/>
          </w:tcPr>
          <w:p>
            <w:pPr>
              <w:spacing w:after="0"/>
              <w:rPr>
                <w:sz w:val="20"/>
                <w:szCs w:val="20"/>
                <w:color w:val="auto"/>
              </w:rPr>
            </w:pP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2001</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credit deteriorated loans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 based restricted stock unit awards with market conditions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Reliant</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Reliant Bancorp, Inc. and its wholly-owned subsidiary, Reliant Bank</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RWA</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Risk-weighted assets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SCBFI</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Carolina Board of Financial Institutions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Forward-looking term rate based on SOFR</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UCBI</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UCMS</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Community Mortgage Services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UCPS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Community Payment Systems, LLC</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Variable interest entity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In particular, information appearing under “Business,” “Risk Factors,” and “Management’s Discussion and Analysis of Financial Condition and Results of Operations” includes forward-looking statements. Forward-looking statements are neither statements of historical fact nor assurance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out of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Item 1A of this Report - “Risk Factors” - include, but are not limited to the following:</w:t>
      </w:r>
    </w:p>
    <w:p>
      <w:pPr>
        <w:spacing w:after="0" w:line="134" w:lineRule="exact"/>
        <w:rPr>
          <w:sz w:val="20"/>
          <w:szCs w:val="20"/>
          <w:color w:val="auto"/>
        </w:rPr>
      </w:pPr>
    </w:p>
    <w:p>
      <w:pPr>
        <w:jc w:val="both"/>
        <w:ind w:left="320" w:hanging="314"/>
        <w:spacing w:after="0" w:line="25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5"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replacements or reform of interest rate benchmarks, as well as cash flow reassessments may reduce net interest margin and/or the volumes and values of loans made or held as well as the value of other financial assets;</w:t>
      </w:r>
    </w:p>
    <w:p>
      <w:pPr>
        <w:spacing w:after="0" w:line="2"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5"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2"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 w:name="page6"/>
    <w:bookmarkEnd w:id="5"/>
    <w:p>
      <w:pPr>
        <w:ind w:left="314" w:hanging="314"/>
        <w:spacing w:after="0" w:line="257"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jc w:val="both"/>
        <w:ind w:left="314" w:hanging="314"/>
        <w:spacing w:after="0" w:line="245"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related tariffs; and</w:t>
      </w:r>
    </w:p>
    <w:p>
      <w:pPr>
        <w:spacing w:after="0" w:line="2" w:lineRule="exact"/>
        <w:rPr>
          <w:rFonts w:ascii="Times New Roman" w:cs="Times New Roman" w:eastAsia="Times New Roman" w:hAnsi="Times New Roman"/>
          <w:sz w:val="18"/>
          <w:szCs w:val="18"/>
          <w:color w:val="auto"/>
        </w:rPr>
      </w:pPr>
    </w:p>
    <w:p>
      <w:pPr>
        <w:ind w:left="314" w:hanging="314"/>
        <w:spacing w:after="0" w:line="251"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91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“we,” “our,” or “us” refer to United Community Banks, Inc. and its direct and indirect subsidiaries, including United Community Bank.</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United Community Banks, Inc. is a Georgia corporation incorporated in 1987 and headquartered in Greenville, South Carolina. We are a bank holding company under the BHC Act and a financial holding company under the GLB Act. In May 2024, we officially moved our Holding Company headquarters from Blairsville, Georgia to Greenville, South Carolina. We provide diversified financial services primarily through our principal subsidiary, United Community Bank, which was founded in 1950 as a Georgia state-chartered bank and converted to a South Carolina state-chartered bank in 2021. We have grown through a combination of strategic acquisitions and organic growth throughout Georgia, South Carolina, North Carolina, Tennessee, Florida and Alabama as well as nationally through our SBA/USDA lending and equipment finance businesses. As of December 31, 2024, we had consolidated total assets of $27.7 billion.</w:t>
      </w:r>
    </w:p>
    <w:p>
      <w:pPr>
        <w:spacing w:after="0" w:line="2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a financial holding company, we coordinate the financial resources of the consolidated enterprise and maintain systems of financial, operational, and administrative control intended to coordinate selected policies and activities, including as described in Item 9A of Part 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Effective June 2024, the Bank changed its primary federal regulator from the FDIC to the Federal Reserve.</w:t>
      </w:r>
    </w:p>
    <w:p>
      <w:pPr>
        <w:spacing w:after="0" w:line="97"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6, 2024, we transferred the listing of our securities from Nasdaq to the NYSE. Our common shares now trade under the symbol UCB and our preferred Series I depositary shares now trade under the symbol UCB PRI.</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of 2024, we sold $303 million of manufactured housing loans, which was substantially all of that portfolio, and recognized a pre-tax loss of $27.2 million. Selling the portfolio reduced risk and allowed us to redirect our management and capital resources to activities that better align with our strategic objectives.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we completed the sale of FinTrust, which was a subsidiary of the Holding Company. The sale allows us to prioritize the Bank’s private banking, investment management, and trust services delivered through our United Community Private Wealth and United Community Advisors businesses.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December 3, 2024, we announced an agreement to acquire ANB, a bank headquartered in Oakland Park, Florida, located in the Fort Lauderdale metropolitan area. As of December 31, 2024, ANB had total assets of $423 million, total loans of $312 million and total deposits of $360 million. The acquisition is expected to close in the second quarter of 2025, subject to regulatory and ANB shareholder approval.</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Businesses and Services We Provide</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provide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our branches, other offices, the internet, and mobile applications.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business model combines the commitment to exceptional customer service of a local bank with the products and expertise of a larger institution. We have a strong culture focused on what we call “The Golden Rule of Banking” – treating each other and our customers the way we would want to be treated. We exist to serve our customers, and we are committed to making lives better through outstanding products, dedication to our customers, and serving the communities in which we operate.</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operate as a locally-focused community bank, supplemented by experienced, centralized support to deliver products and services to our larger, more sophisticated, customers. Our organizational structure reflects these strengths, with local leaders for each market and market advisory boards operating in partnership with the product experts of our Commercial Banking Solutions unit. We believe that this combination of service and expertise sets us apart and is instrumental in our strategy to build long-term relationships.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18"/>
          <w:szCs w:val="18"/>
          <w:color w:val="auto"/>
        </w:rPr>
        <w:t>In 2024, we became a 10-time winner of J.D. Power’s award for the best customer satisfaction among consumer banks in the Southeast region and were recognized as the most trusted bank in the Southeast. Also in 2024, we were recognized in the Greenwich Excellence and Best Brands Awards, receiving 15 awards that included national honors for overall satisfaction in small business banking and middle market banking. Forbes has also consistently listed us as one of the World’s Best Banks and one of America’s Best Banks.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a full range of lending services to individuals, small and mid-sized businesses and non-profit organizations. We also originate loans partially guaranteed by the SBA and, to a lesser extent, by the USDA loan programs. Our consolidated loans at December 31, 2024 were $18.2 billion, or 66% of total consolidated assets. The interest rates that we charge on loans vary with the degree of risk, maturity and amount of the loan, and are further subject to competitive pressures, deposit costs, availability of funds and government regulations.</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most significant categories of our loans are those to finance owner occupied commercial real estate, commercial income property, commercial and industrial equipment and operating loans, and consumer loans secured by personal residences. A majority of our loans are made on a secured basis.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preponderance of our loans are to customers located in the immediate market areas of our banking locations in Georgia, South Carolina, North Carolina, Tennessee, Florida and Alabama, including customers who have a seasonal residence in our market areas. We originate a significant portion of our SBA/USDA and equipment finance loans on a national basis, to customers outside of our immediate market areas.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full-service retail mortgage lending division, UCMS, is approved as a seller/servicer for Fannie Mae and Freddie Mac and provides fixed and adjustable-rate home mortgages. During 2024, the Bank originated $870 million in residential mortgage loans for the purchase of homes and to refinance existing mortgage debt. Approximately 70% of these mortgages were sold into the secondary market without recourse to us, other than for breaches of warranties. We have retained the servicing on most of our mortgage loans sold.</w:t>
      </w:r>
    </w:p>
    <w:p>
      <w:pPr>
        <w:spacing w:after="0" w:line="14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additional information regarding our lending activity, see the section captioned “Loans” in the “Balance Sheet Review” section of Part II, Item 7. MD&amp;A of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Activities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Deposits are the major source of our funds for lending and other investment activities. We offer our customers a variety of deposit products, including checking accounts, savings accounts, money market accounts and other deposit accounts. Generally, we attempt to maintain the rates paid on our deposits at a competitive level. We generate the majority of our deposits from customers in our local markets. For additional information regarding our deposit accounts, see the section captioned “Deposits” in Part II, Item 7. MD&amp;A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our investment portfolio to provide for the investment of excess funds at acceptable risk levels while providing liquidity to fund loan demand or to offset fluctuations in deposits. Our portfolio consists primarily of residential and commercial mortgage-backed securities, asset-backed securities, U.S. Treasury, U.S. agency and municipal obligations. Securities classified by us as AFS are recorded on our balance sheet at fair value at each balance sheet date. Changes in fair value on AFS securities are generally recorded directly in our shareholders’ equity account and are not recognized in our income statement. Securities classified by us as HTM are recorded at amortized cost.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Banking, Wealth Management, Trust, and Insurance</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Through our United Community Private Wealth division, we provide private banking, investment management, investment advice, financial planning services, estate and retirement planning and insurance products. We utilize an open architecture approach to the selection of asset managers. We also offer trust services to manage fiduciary assets. We offer insurance products and services to our clients through United Community Insurance, Inc., which operates as an independent insurance agency for our customers.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Within our United Community Private Wealth division, United Community Advisors sells non-deposit investment products and insurance products, including life insurance, long-term care insurance and tax-deferred annuities, to our customers. We have an affiliation with a third-party broker/dealer, LPL Financial, to facilitate this line of business.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8" w:name="page9"/>
    <w:bookmarkEnd w:id="8"/>
    <w:p>
      <w:pPr>
        <w:jc w:val="both"/>
        <w:spacing w:after="0" w:line="259" w:lineRule="auto"/>
        <w:rPr>
          <w:sz w:val="20"/>
          <w:szCs w:val="20"/>
          <w:color w:val="auto"/>
        </w:rPr>
      </w:pPr>
      <w:r>
        <w:rPr>
          <w:rFonts w:ascii="Times New Roman" w:cs="Times New Roman" w:eastAsia="Times New Roman" w:hAnsi="Times New Roman"/>
          <w:sz w:val="18"/>
          <w:szCs w:val="18"/>
          <w:color w:val="auto"/>
        </w:rPr>
        <w:t>On October 1, 2024, we sold substantially all of the assets of our FinTrust Capital Advisors, LLC and FinTrust Brokerage Services, LLC, which offered investment advisory and brokerage services. The sale allows us to focus on providing private banking, investment management, and trust services through our United Community Private Wealth and United Community Advisors businesses.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and Merchant Services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own a captive insurance subsidiary, NLFC Reinsurance Corp., which provides reinsurance on property insurance contracts covering equipment financed by our equipment financing division.</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provide payment processing services for our commercial and small business customers through UCPS. UCPS is a joint venture between the Bank and Clover, a merchant services provider and subsidiary of 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Other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consolidated operating subsidiaries at December 31, 2024 are listed in Exhibit 21 to this Report. Our principal subsidiary is the Bank, which is supervised and regulated as described in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in this Item below. United Community Insurance, Inc., which is licensed as an insurance agency as required in states in which it conducts business, is another of our consolidated subsidiaries. FinTrust Capital Advisors, LLC and FinTrust Brokerage Services, LLC are in wind-down mode at the time of this Report due to the sale of the majority of their assets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 - Acquisitions and Expansion</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 element of our business strategy is to consider opportunities to expand into or enhance our presence in attractive markets in which we believe our operating model will be successful. We have entered new markets and expanded our product offerings both by establishing new branches and service locations and also by selective acquisitions of existing market participants. We have developed a number of commercial lending businesses organically, which provide local CRE, middle market, renewable energy, builder finance and asset-based lending services. We generally seek acquisition partners that share a similar culture and commitment to customer service. Acquisitions typically involve the payment of a premium over book and market values and, therefore, some dilution to our book value may occur with any future transactions. Our goal is to maintain a reasonable earn-back period of any tangible book value dilution, using realistic growth and expense reduction assumptions, as well as to achieve an attractive return on investment. Our ability to engage in any potential acquisition will depend upon the review and approval from various bank regulatory authorities.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Concentration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of our significant subsidiaries is dependent upon a single client or very few clients.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Calendar-Year Seasonality</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do not experience material seasonality; however, we do experience seasonal variation in certain revenues, expenses, and credit trends. Historically, these variations have somewhat increased certain expenses and diminished certain revenues in the commercial banking business, principally in the first quarter each year.</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experience seasonal variation in certain business efforts that affect our income and our asset and liability balances. Our mortgage business tends to be seasonally strong in the second and third quarters correlating with home buying trends. Our commercial lending businesses (including SBA and Navitas) tend to be seasonally weaker in the first quarter and seasonally stronger in the fourth quarter. In addition, our government deposit balances tend to be strongest in the third and fourth quarters correlating with their tax receipts.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services facilitate commercial and consumer economic activities in critical ways. As a result, in many ways, the performance of the financial services industry tends to reflect that of the economies it serves. As a result, our banking business is broadly and strongly dependent on the size and strength of the U.S. economy. Generally, when the U.S. economy is in an expansionary phase of the business cycle, we experience loan growth, income from lending tends to rise (assuming static interest rates), credit losses tend to fall, and fee income tends to increase. In a contracting phase, those patterns tend to reverse. The impact of those factors on our operating results can be substantial, especially if they consistently move up or down at the same time.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banking business is highly dependent on the level of interest rates, whether federal monetary policy is easing or tightening, and on the shape of the interest rate yield curve. These factors also are cyclical, and are related in complex ways with the business cycle mentioned above.</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factors, and their impacts on us, often are mixed rather than consistently positive or negative. For example, low interest rates reduce the interest income we earn, reduce our costs of funding, tend to stimulate economic activity and loan growth, and, through lower debt service, tend to ease financial pressure on clients, reducing default risk. A steeper yield curve, one with long-term interest rates noticeably higher than short-term rates, is generally positive for our net interest margin as lower short-term rates will keep our deposit costs down while higher long-term rates will support the rates we can charge on lending. But if short-term rates are expected to fall, that expectation may be reflected in the longer-term rates resulting in a flattened or inverted yield curve, causing our margins to suffer. Moreover, the Federal Reserve tends to lower short-term rates in response to, or to avoid, a weakening economy. Economic weakness tends to diminish client borrowing and other activities that otherwise benefit our performance.</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Further information on these topics is presented: within Item 1A, Risk Factors under the headings: </w:t>
      </w:r>
      <w:r>
        <w:rPr>
          <w:rFonts w:ascii="Times New Roman" w:cs="Times New Roman" w:eastAsia="Times New Roman" w:hAnsi="Times New Roman"/>
          <w:sz w:val="18"/>
          <w:szCs w:val="18"/>
          <w:i w:val="1"/>
          <w:iCs w:val="1"/>
          <w:color w:val="auto"/>
        </w:rPr>
        <w:t>Risks From Changes in Economic Conditions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Monetary Policy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Liquidity and Funding Risk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Interest Rate and Yield Curve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Origination and Related Services</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strength of consumer mortgage lending activity in the United States impacts our mortgage origination and related services line of business. Mortgage lending activity is strongly linked to economic strength and interest rate cycles. Activity tends to be inversely related to prevailing mortgage rates: when rates are high, home-buying and refinancing decrease, and when rates are low, home-buying and refinancing increase. Moreover, expectations about near-term future mortgage rates can accelerate or delay those impacts, as borrowers rush to avoid future rate increases or wait for future rate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Human Resources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December 31, 2024, we had 2,979 full-time equivalent employees compared to 3,121 at December 31, 2023. None of our employees are represented by a union, collective bargaining agreement or similar arrangement, and we have not experienced any labor disputes or strikes arising from any organized labor groups. Our employees support our vision to follow what we call “The Golden Rule of Banking” – to treat each other, and our customers, the way we would like to be treated. We believe that our ability to earn the trust of our customers and deliver exceptional customer service hinges on our culture, which in turn depends upon the dedication and engagement of our employees. When employees are dedicated and engaged, they take extra steps for our customers. We have a community bank mindset, empowering employees to make decisions at the local level, while arming our employees with the products, services, and centralized support of a larger institution. We are committed to attracting and retaining talented employees whose values align with our customer service mission, creating meaningful opportunities for training and advancement, and being an extraordinary place to work.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strive to foster an open, supportive workplace in which our employees can grow professionally and achieve their full potential. We pride ourselves on maintaining workplaces that are intended to inspire employees to voice their ideas and openly express opinions for the betterment of the Bank, our employees, and our customers. We desire that all employees feel that they are operating in an inclusive environment that welcomes and supports differences. We believe that encouraging input from all perspectives allows us to provide our customers with creative ideas and solutions for operating effectively in a complex, ever-changing marketplace.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“Power of U” advisory group that offers two-way communication between employees from across the organization and between employees and management, adding social factors contributing to a culture of belonging, reward, recognition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engagement. It provides alternative channels of communication for team members to ensure that ideas, suggestions, and issues that come from any level of the organization are shared with senior leadership.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Management</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Board and its Talent and Compensation Committee provide oversight on human capital matters, including overall compensation philosophy, equity award programs, diversity and inclusion and succession planning. Our Human Resources, Legal and Compliance departments develop policies associated with our labor and human capital practices, identify risks, and implement practices to mitigate those risks, under the oversight of the Board and its committees. At the management level, our Employee Retirement Plan Committee is responsible for reviewing and approving our 401(k) retirement program. Our Incentive Compensation Committee is responsible for overseeing, reviewing and approving the non-executive incentive compensation plans for our employees and for assessing the risks associated with those incentive compensation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3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are committed to providing competitive compensation and benefits programs designed to attract, retain, motivate and reward employees for matching the right products with our customers’ needs, while also staying within our risk tolerance. We offer a variety of group health plans for our employees, including comprehensive medical, prescription drug coverage, dental and vision plans, disability and life insurance. We also offer health care savings accounts, which help our employees reduce the costs of medical and dependent care by allowing them to set aside pre-tax dollars. Employees are eligible to contribute to our 401(k) Retirement Plan beginning the first of the month following their date of employment and may earn a company match on 5% of pay after 90 days of service.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Through our talent development initiatives, such as the Manager Development Program, our internal team and subject matter experts provide our employees with quality continuing education on a variety of topics. Participation in continuing education is expected and supported so our employees stay informed and up to date on information, skills and systems.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Through our memberships with the American Bankers Association, the Risk Management Association, the Mid-Size Bank Coalition of America, and state bankers associations, our employees have access to resources, online training, conferences, and discussion groups designed for bankers at all levels in all roles. We encourage our employees to utilize these resources, and we support our employees’ involvement with these organizations for training, to advance their knowledge and skills sets, and to develop leadership skills. Many of our employees are actively engaged in leadership roles, forums, task forces and other groups within these organizations.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encourage, support, and equip our rising leaders with relevant skills, we offer our Leadership Academy, an annual program for a selected group of individuals who exemplify the qualities of a next generation leader. The program is designed to empower emerging leaders with the knowledge and skills necessary to lead our Bank. Participants are selected annually for the multi-month program and engage in strategic projects, leadership and business development sessions and executive and senior leadership roundtable mentoring. This is intended to allow our future leaders with the highest potential to enhance their knowledge and skills, grow in understanding of our culture and how we do business, and be challenged with assignments that strategically impact the Bank.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Surveys</w:t>
      </w:r>
    </w:p>
    <w:p>
      <w:pPr>
        <w:spacing w:after="0" w:line="2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Best Banks to Work For program, initiated in 2013 by American Banker and Best Companies Group, identifies and recognizes U.S. banks for outstanding employee satisfaction. We are honored to have been named one of American Banker’s 2024 Best Banks to Work For, an award we have received for eight consecutive years.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believe that an engaged workforce is one of our most valuable assets in sustaining our success and that we are on this list because we listen to our employees and respond to their concerns. We periodically conduct employee engagement surveys, facilitated by a third-party provider, to seek input and feedback from all of our employees across our entire footprint. Among other things, the survey asks employees to rate and comment on the Bank’s strategies and priorities, customer focus, operations, individual roles and responsibilities, competitiveness for compensation and benefits, work environment and</w:t>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employee engagement. The survey includes questions that ask employees to score certain questions, as well as allowing employees to provide open-ended feedback responses.</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employee engagement survey results are reviewed and discussed by both executive management and our Board. Our leadership analyzes the survey feedback for areas of improvement, progress and emphasis, and action plans are developed with cross functional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18"/>
          <w:szCs w:val="18"/>
          <w:color w:val="auto"/>
        </w:rPr>
        <w:t>bank representatives to address areas of opportunity. Our leadership takes the survey feedback into account in developing and prioritizing the Bank’s strategic plans and initiatives. We also share an overview of the survey results with our employees and communicate the changes we make in response to the survey to meet our employees’ needs, to enhance our employees’ experience and to continue to make our company an employer of choice.</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Serving the needs of all the members of our communities also remains an important part of our strategy. We know employees want to work for companies that give back and, as an organization, we believe in the power of coming together for good. Through our “Together for Good Council,” a group of employees who help to coordinate volunteer efforts, guide charitable giving and lead each of our “Good Days” of service, we are continuing our efforts to enhance our community engagement initiatives and involvement with our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profitability depends principally on our ability to effectively compete in the markets in which we conduct business. We experience strong competition in all aspects of the businesses in which we engage from both bank and non-bank competitors. Broadly speaking, we compete with national banks, super-regional banks, smaller community banks, credit unions, non-traditional internet-based banks and insurance companies and agencies. We also compete with other financial intermediaries and investment alternatives such as mortgage companies, credit card issuers, leasing companies, finance companies, money market mutual funds, brokerage firms, governmental and corporate bond issuers, and other securities firms. Many of these non-bank competitors are not subject to the same regulatory oversight, which can provide them with a competitive advantage in some instances. In many cases, our competitors have substantially greater resources and offer certain services that we are unable to provide to our customers.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encounter strong pricing competition in providing our services, particularly in making loans and attracting deposits. The larger national and super-regional banks may have significantly greater lending limits and may offer additional products. We attempt to compete successfully with our competitors, regardless of their size, by emphasizing customer service while continuing to provide a wide variety of services.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expect competition in the industry to continue to increase mainly as a result of the improvement in financial technology used by both existing and new banking and financial services firms. Competition may further intensify as additional companies (both banks and non-banks) enter the markets where we conduct business, competitors combine to present more formidable challengers, and we enter mature markets in accordance with our expansion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of this Section</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section describes certain material aspects of the regulatory framework applicable to banks and financial holding companies and their subsidiaries and to companies engaged in securities and insurance activities. To the extent that the following information describes statutory or regulatory provisions, it is qualified in its entirety by express reference to each of the particular statutory and regulatory provisions, and you should refer to the full text of the statutes, regulations, and corresponding guidance for more information. These statutes and regulations are subject to change, and additional statutes, regulations, and corresponding guidance may be adopted. Additionally, we expect the incoming federal administration will implement a regulatory reform agenda that is significantly different than that of the prior administration, affecting the rulemaking, supervision, examination and enforcement priorities of the federal banking agencies. We are unable to predict these future changes or the effects, if any, that these changes could have on our business. Finally, investors should be aware that the regulatory framework governing banks and the financial services industry is intended primarily to protect depositors and the Deposit Insurance Fund – not to protect our Bank or our security 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Holding Company</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Holding Company is a bank holding company and “financial holding company” within the meaning of the BHC Act and is registered with the Federal Reserve. We are subject to the regulation and supervision of, and to examination by, the Federal Reserve (under the BHC Act). We are required to file with the Federal Reserve annual reports and such additional information as the Federal Reserve may require pursuant to the BHC Act.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Holding Company being a financial holding company allows for engagement in a broader range of financial activities. A bank holding company that is not a financial holding company is limited to engaging in “banking” and activities found by the Federal Reserve to be “closely related to banking.” Eligible bank holding companies that elect to become financial holding companies may affiliate with securities firms and insurance companies and engage in activities that are “financial in nature.” “Financial” activities are broader in scope than those which are “closely related to banking.” See </w:t>
      </w:r>
      <w:r>
        <w:rPr>
          <w:rFonts w:ascii="Times New Roman" w:cs="Times New Roman" w:eastAsia="Times New Roman" w:hAnsi="Times New Roman"/>
          <w:sz w:val="18"/>
          <w:szCs w:val="18"/>
          <w:i w:val="1"/>
          <w:iCs w:val="1"/>
          <w:color w:val="auto"/>
        </w:rPr>
        <w:t>Financial Activities other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Banking </w:t>
      </w:r>
      <w:r>
        <w:rPr>
          <w:rFonts w:ascii="Times New Roman" w:cs="Times New Roman" w:eastAsia="Times New Roman" w:hAnsi="Times New Roman"/>
          <w:sz w:val="18"/>
          <w:szCs w:val="18"/>
          <w:color w:val="auto"/>
        </w:rPr>
        <w:t>in this Item.</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BHC Act requires every bank holding company to obtain the Federal Reserve’s prior approval before (1) acquiring direct or indirect ownership or control of more than 5% of the voting shares of any bank that it does not already control; (2) acquiring all or substantially all of the assets of a bank; and (3) subject to certain exceptions, merging or consolidating with any other bank holding company. In addition, a bank holding company is generally prohibited from engaging in, or acquiring a direct or indirect interest in or control of more than 5%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The Federal Reserve also may approve an application by a bank holding company to acquire a bank located outside the acquirer’s principal state of operations without regard to whether the transaction is prohibited under state law, although state law may still impose certain requirements. See </w:t>
      </w:r>
      <w:r>
        <w:rPr>
          <w:rFonts w:ascii="Times New Roman" w:cs="Times New Roman" w:eastAsia="Times New Roman" w:hAnsi="Times New Roman"/>
          <w:sz w:val="18"/>
          <w:szCs w:val="18"/>
          <w:i w:val="1"/>
          <w:iCs w:val="1"/>
          <w:color w:val="auto"/>
        </w:rPr>
        <w:t>Interstate Branching and Mergers</w:t>
      </w:r>
      <w:r>
        <w:rPr>
          <w:rFonts w:ascii="Times New Roman" w:cs="Times New Roman" w:eastAsia="Times New Roman" w:hAnsi="Times New Roman"/>
          <w:sz w:val="18"/>
          <w:szCs w:val="18"/>
          <w:color w:val="auto"/>
        </w:rPr>
        <w:t xml:space="preserve"> in this Item for further information.</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Holding Company is an “affiliate” of the Bank under the Federal Reserve Act, which imposes certain restrictions on (1) loans by the Bank to the Holding Company, (2) investments in the stock or securities of the Holding Company by the Bank, (3) the Bank taking the stock or securities of an “affiliate” as collateral for loans by the Bank to a borrower and (4) the purchase of assets from the Holding Company by the Bank. Further, a bank holding company and its subsidiaries are prohibited from engaging in certain tie-in arrangements in connection with any extension of credit, lease or sale of property or furnishing of services. See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xml:space="preserve"> discussed below</w:t>
      </w:r>
      <w:r>
        <w:rPr>
          <w:rFonts w:ascii="Times New Roman" w:cs="Times New Roman" w:eastAsia="Times New Roman" w:hAnsi="Times New Roman"/>
          <w:sz w:val="18"/>
          <w:szCs w:val="18"/>
          <w:i w:val="1"/>
          <w:i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most significant subsidiary, United Community Bank, headquartered in Greenville, South Carolina, is a South Carolina state-chartered bank subject to the regulation and supervision of, and to examination by, the SCBFI. In addition to general supervision and examination powers, the SCBFI has the power to approve mergers with the Bank, the Bank’s issuance of preferred stock or capital notes, the establishment of branches, and many other corporate actions. We are not required to obtain the approval of the SCBFI prior to acquiring the capital stock of a national bank, but we must notify them at least 15 days prior to doing so. We must receive the SCBFI’s approval prior to engaging in the acquisition of a South Carolina state-chartered bank or another South Carolina bank holding company.</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Bank is subject to examination and reporting requirements of the Federal Reserve, FDIC, the SCBFI and the CFPB. During 2024, the Bank changed its primary federal regulator from the FDIC to the Federal Reserve. The financial statements and information contained in this Report have not been reviewed, or confirmed for accuracy or relevance, by the FDIC, Federal Reserve or any other regulator.</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is insured by the FDIC and is subject to regulation by the Federal Reserve and, in certain respects, by the CFPB. The Bank is also subject to various requirements and restrictions under federal and state law, including requirements to maintain reserves against deposits, restrictions on the types and amounts of loans that may be made and the interest that may be charged, limitations on the types of investments that may be made, activities that may be engaged in, and types of services that may be offered. Various consumer laws and regulations also affect the operations of the Bank.</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impact of regulation, commercial banks are affected significantly by the actions of the Federal Reserve as it attempts to control money supply and credit availability in order to influence the economy. Also, the Bank and certain of its affiliates are prohibited from engaging in certain tie-in arrangements in connection with extensions of credit, leases or sales of property, or furnishing products or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Dividends</w:t>
      </w: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Holding Company is a legal entity separate and distinct from the Bank and other subsidiaries. The Holding Company’s principal source of cash flow, including cash flow to pay dividends on our stock or to pay principal and interest on debt securities, is dividends paid to it by the Bank. There are statutory and regulatory requirements applicable to the payment of dividends and other distributions by the Bank, as well as by the Holding Company to its shareholders.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 w:name="page14"/>
    <w:bookmarkEnd w:id="13"/>
    <w:p>
      <w:pPr>
        <w:jc w:val="both"/>
        <w:spacing w:after="0" w:line="274" w:lineRule="auto"/>
        <w:rPr>
          <w:sz w:val="20"/>
          <w:szCs w:val="20"/>
          <w:color w:val="auto"/>
        </w:rPr>
      </w:pPr>
      <w:r>
        <w:rPr>
          <w:rFonts w:ascii="Times New Roman" w:cs="Times New Roman" w:eastAsia="Times New Roman" w:hAnsi="Times New Roman"/>
          <w:sz w:val="18"/>
          <w:szCs w:val="18"/>
          <w:color w:val="auto"/>
        </w:rPr>
        <w:t>During 2024, 2023, and 2022, the Bank paid dividends to the Holding Company of $153 million, $198 million and $133 million, respectively. The Holding Company declared quarterly cash dividends on its common stock in 2024, 2023, and 2022 totaling $0.94, $0.92 and $0.86 per share,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Holding Company</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Georgia corporate law, we may not pay cash dividends if, after giving effect to such payment, we would not be able to pay our debts as they become due in the usual course of business or our total assets would be less than the sum of our total liabilities plus any amounts needed to satisfy any preferential rights if we were dissolving. In addition, in deciding whether or not to declare a dividend of any particular size, our Board must consider our current and prospective capital, liquidity, and other needs, including the needs of the Bank which we are obligated to support.</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 to its bank subsidiaries. The Holding Company and the Bank must also maintain the CET1 capital conservation buffer of 2.5% to avoid becoming subject to restrictions on capital distributions, including dividends, as described below under </w:t>
      </w:r>
      <w:r>
        <w:rPr>
          <w:rFonts w:ascii="Times New Roman" w:cs="Times New Roman" w:eastAsia="Times New Roman" w:hAnsi="Times New Roman"/>
          <w:sz w:val="18"/>
          <w:szCs w:val="18"/>
          <w:i w:val="1"/>
          <w:iCs w:val="1"/>
          <w:color w:val="auto"/>
        </w:rPr>
        <w:t>Capital Adequacy - Basel III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South Carolina state-chartered bank, the Bank is permitted to pay a dividend of up to 100% of its current year earnings without requesting approval of the SCBFI, provided certain conditions are met. All other cash dividends require approval of the SCBFI. As a Federal Reserve member bank, the Bank is permitted to pay a dividend to the Holding Company of up to the sum of current year and the previous two years undistributed income without requesting approval of the Federal Reserve, which is less restrictive than the requirements of the SCBFI.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Dividends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in the opinion of the applicable regulatory authority, the Holding Company or the Bank are engaged in or about to engage in an unsafe or unsound practice (which, depending on the financial condition of the Holding Company or the Bank, could include the payment of dividends), such authority may require us or the Bank to cease and desist from that practice. The federal banking agencies have indicated that paying dividends that deplete a depository institution’s or holding company’s capital base to an inadequate level would be an unsafe and unsound banking practice.</w:t>
      </w:r>
    </w:p>
    <w:p>
      <w:pPr>
        <w:spacing w:after="0" w:line="20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addition, under the Federal Deposit Insurance Act, an FDIC-insured depository institution (such as the Bank) may not make any capital distributions, pay any management fees to its holding company, or pay any dividend if it is undercapitalized or if such payment would cause it to become undercapitalized.</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payment of dividends by the Holding Company and the Bank may also be affected or limited by other factors, such as the requirement to maintain adequate capital above regulatory guidelines imposed by regulators or debt covenants. For example, as discussed under </w:t>
      </w:r>
      <w:r>
        <w:rPr>
          <w:rFonts w:ascii="Times New Roman" w:cs="Times New Roman" w:eastAsia="Times New Roman" w:hAnsi="Times New Roman"/>
          <w:sz w:val="18"/>
          <w:szCs w:val="18"/>
          <w:i w:val="1"/>
          <w:iCs w:val="1"/>
          <w:color w:val="auto"/>
        </w:rPr>
        <w:t>Capital Adequacy</w:t>
      </w:r>
      <w:r>
        <w:rPr>
          <w:rFonts w:ascii="Times New Roman" w:cs="Times New Roman" w:eastAsia="Times New Roman" w:hAnsi="Times New Roman"/>
          <w:sz w:val="18"/>
          <w:szCs w:val="18"/>
          <w:color w:val="auto"/>
        </w:rPr>
        <w:t xml:space="preserve"> below, our ability to pay dividends would be restricted if our capital ratios fell below minimum regulatory requirements plus a capital conservation buffer.</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Federal Reserve generally requires bank holding companies to pay dividends only out of current operating earnings. The Federal Reserve has released a supervisory letter advising, among other things, that a bank holding company should inform the Federal Reserve and should eliminate, defer, or significantly reduce its dividends if (i) the bank holding company’s net income available to shareholders for the past four quarters, net of dividends previously paid during that period, is not sufficient to fully fund the dividends; (ii) the bank holding company’s prospective rate of earnings is not consistent with the bank holding company’s capital needs and overall current and prospective financial condition; or (iii) the bank holding company will not meet, or is in danger of not meeting, its minimum regulatory capital adequacy ratios.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Affiliates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Federal banking laws restrict transactions between a bank and its affiliates, including a parent bank holding company. The Bank is subject to these restrictions, which include quantitative and qualitative limits on the amounts and types of permissible transactions, including extensions of credit to affiliates, investments in the stock or securities of affiliates, purchases of assets from affiliates and certain other transactions with affiliates. These restrictions also require that credit transactions with affiliates be collateralized and that transactions with affiliates must be on terms substantially the same, or at least as favorable, as those prevailing at the time for comparable transactions with or involving nonaffiliates. In the absence of such comparable transactions, any transaction between banks and their affiliates must be on terms and under circumstances, including credit standards, which in good faith would be offered to or would apply to</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nonaffiliates. Generally, a bank’s covered transactions with any one affiliate are limited to 10% of the bank’s capital stock and surplus and covered transactions with all affiliates are limited to 20% of the bank’s capital stock and surplus. The Dodd-Frank Act expanded the scope of these regulations, including by applying them to the credit exposure arising under derivative transactions, repurchase and reverse repurchase agreements, and securities borrowing and lending transactions. Federal banking laws also place similar restrictions on loans and other extensions of credit by FDIC-insured banks, such as the Bank, and their subsidiaries to their directors, executive officers, and principal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Adequacy</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Banks and bank holding companies are subject to various regulatory capital requirements administered by state and federal banking 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Basel III Capital Standards</w:t>
      </w:r>
    </w:p>
    <w:p>
      <w:pPr>
        <w:spacing w:after="0" w:line="23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Federal financial industry regulators require that regulated financial institutions, including the Holding Company and the Bank, maintain minimum capital levels. The capital requirements in the United States are based on international standards known as “Basel III.”, which require the following:</w:t>
      </w:r>
    </w:p>
    <w:p>
      <w:pPr>
        <w:sectPr>
          <w:pgSz w:w="11900" w:h="16838" w:orient="portrait"/>
          <w:cols w:equalWidth="0" w:num="1">
            <w:col w:w="11240"/>
          </w:cols>
          <w:pgMar w:left="320" w:top="9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Risk-based ratios: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CET1 capital</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Tier 1 capital</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capital</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Leverage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Ratio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19685</wp:posOffset>
            </wp:positionV>
            <wp:extent cx="713486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Equity Tier 1 Capital to RWA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Tier 1 Capital to RWA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-115570</wp:posOffset>
            </wp:positionV>
            <wp:extent cx="7134860"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Capital to RWA</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Tier 1 Capital divided by quarterly average assets net of goodwill, certain other intangible assets, and certain required deduction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-247015</wp:posOffset>
            </wp:positionV>
            <wp:extent cx="7134860" cy="260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Minimum Capital Plus Capital</w:t>
            </w:r>
          </w:p>
        </w:tc>
      </w:tr>
      <w:tr>
        <w:trPr>
          <w:trHeight w:val="211"/>
        </w:trPr>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Conservation Buffer</w:t>
            </w:r>
          </w:p>
        </w:tc>
      </w:tr>
      <w:tr>
        <w:trPr>
          <w:trHeight w:val="413"/>
        </w:trPr>
        <w:tc>
          <w:tcPr>
            <w:tcW w:w="11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24"/>
                <w:szCs w:val="24"/>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7.0%</w:t>
            </w:r>
          </w:p>
        </w:tc>
      </w:tr>
      <w:tr>
        <w:trPr>
          <w:trHeight w:val="225"/>
        </w:trPr>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8.5</w:t>
            </w:r>
          </w:p>
        </w:tc>
      </w:tr>
      <w:tr>
        <w:trPr>
          <w:trHeight w:val="225"/>
        </w:trPr>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10.5</w:t>
            </w:r>
          </w:p>
        </w:tc>
      </w:tr>
      <w:tr>
        <w:trPr>
          <w:trHeight w:val="411"/>
        </w:trPr>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bl>
    <w:p>
      <w:pPr>
        <w:spacing w:after="0" w:line="200" w:lineRule="exact"/>
        <w:rPr>
          <w:sz w:val="20"/>
          <w:szCs w:val="20"/>
          <w:color w:val="auto"/>
        </w:rPr>
      </w:pPr>
    </w:p>
    <w:p>
      <w:pPr>
        <w:sectPr>
          <w:pgSz w:w="11900" w:h="16838" w:orient="portrait"/>
          <w:cols w:equalWidth="0" w:num="3">
            <w:col w:w="1160" w:space="720"/>
            <w:col w:w="5040" w:space="700"/>
            <w:col w:w="3620"/>
          </w:cols>
          <w:pgMar w:left="320" w:top="912" w:right="339" w:bottom="1440" w:gutter="0" w:footer="0" w:header="0"/>
          <w:type w:val="continuous"/>
        </w:sectPr>
      </w:pP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Tier 1 capital includes two components: CET1 capital and additional Tier 1 capital. The highest form of capital, CET1 capital, consists of common shareholders’ equity, excluding AOCI, intangible assets, net of associated net deferred tax liabilities, and disallowed deferred tax assets. Additional Tier 1 capital includes non-cumulative perpetual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Tier 2 capital includes the allowable portion of the ACL up to 1.25% of RWA as well as qualifying subordinated debt and trust preferred securities.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a banking organization must maintain a 2.5% capital conservation buffer on top of its minimum risk-based capital requirements in order to avoid restrictions on capital distributions or discretionary bonus payments to executives. This buffer must consist solely of Tier 1 Common Equity, but the buffer applies to all three risk-based measurements (CET1, Tier 1 capital and total capital).</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Failure to meet capital guidelines could subject a bank to a variety of enforcement remedies, including the termination of deposit insurance by the FDIC, and to certain restrictions on its business and in certain circumstances to the appointment of a conservator or receiver. See </w:t>
      </w:r>
      <w:r>
        <w:rPr>
          <w:rFonts w:ascii="Times New Roman" w:cs="Times New Roman" w:eastAsia="Times New Roman" w:hAnsi="Times New Roman"/>
          <w:sz w:val="18"/>
          <w:szCs w:val="18"/>
          <w:i w:val="1"/>
          <w:iCs w:val="1"/>
          <w:color w:val="auto"/>
        </w:rPr>
        <w:t>Prompt Corrective Action</w:t>
      </w:r>
      <w:r>
        <w:rPr>
          <w:rFonts w:ascii="Times New Roman" w:cs="Times New Roman" w:eastAsia="Times New Roman" w:hAnsi="Times New Roman"/>
          <w:sz w:val="18"/>
          <w:szCs w:val="18"/>
          <w:color w:val="auto"/>
        </w:rPr>
        <w:t xml:space="preserve"> immediately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type w:val="continuous"/>
        </w:sectPr>
      </w:pPr>
    </w:p>
    <w:bookmarkStart w:id="15" w:name="page16"/>
    <w:bookmarkEnd w:id="15"/>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the Bank is required to have a capital structure that the SCBFI determines is adequate, based on SCBFI’s assessment of the Bank’s businesses and risks. The SCBFI may require the Bank to increase its capital, if found to be inadequate.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Prompt Corrective Action</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Federal banking regulators must take “prompt corrective action” regarding FDIC-insured depository institutions that do not meet minimum capital requirements. For this purpose, insured depository institutions are divided into five capital categories, the specific regulatory requirements for which are set forth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Risk-Based Ratios</w:t>
            </w:r>
          </w:p>
        </w:tc>
        <w:tc>
          <w:tcPr>
            <w:tcW w:w="134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Capital</w:t>
            </w: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Tier 1</w:t>
            </w:r>
          </w:p>
        </w:tc>
        <w:tc>
          <w:tcPr>
            <w:tcW w:w="132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6"/>
                <w:szCs w:val="16"/>
                <w:b w:val="1"/>
                <w:bCs w:val="1"/>
                <w:color w:val="auto"/>
                <w:w w:val="97"/>
              </w:rPr>
              <w:t>CET1</w:t>
            </w:r>
          </w:p>
        </w:tc>
        <w:tc>
          <w:tcPr>
            <w:tcW w:w="134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Leverage</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Tangible Equity to</w:t>
            </w:r>
          </w:p>
        </w:tc>
        <w:tc>
          <w:tcPr>
            <w:tcW w:w="0" w:type="dxa"/>
            <w:vAlign w:val="bottom"/>
          </w:tcPr>
          <w:p>
            <w:pPr>
              <w:spacing w:after="0"/>
              <w:rPr>
                <w:sz w:val="1"/>
                <w:szCs w:val="1"/>
                <w:color w:val="auto"/>
              </w:rPr>
            </w:pPr>
          </w:p>
        </w:tc>
      </w:tr>
      <w:tr>
        <w:trPr>
          <w:trHeight w:val="211"/>
        </w:trPr>
        <w:tc>
          <w:tcPr>
            <w:tcW w:w="48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3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Well-capitalized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at least 10%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at least 8%</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at least 6.5%</w:t>
            </w:r>
          </w:p>
        </w:tc>
        <w:tc>
          <w:tcPr>
            <w:tcW w:w="134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at least 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Adequately capitalized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at least 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at least 6%</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at least 4.5%</w:t>
            </w:r>
          </w:p>
        </w:tc>
        <w:tc>
          <w:tcPr>
            <w:tcW w:w="13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at least 4%</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Undercapitalized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under 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under 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under 4.5%</w:t>
            </w:r>
          </w:p>
        </w:tc>
        <w:tc>
          <w:tcPr>
            <w:tcW w:w="134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under 4%</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Significantly undercapitalized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6%</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3%</w:t>
            </w:r>
          </w:p>
        </w:tc>
        <w:tc>
          <w:tcPr>
            <w:tcW w:w="13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under 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Critically undercapitalized</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 or less</w:t>
            </w: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2024, the Bank qualified as “well-capitalized” under the regulatory capital requirements discussed above. An institution may be deemed to be in a capitalization category that is lower than is indicated by its actual capital position if it receives an unsatisfactory examination rating. Institutions generally are not allowed to publicly disclose examination results.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Federal banking regulators are required to take various mandatory supervisory actions and are authorized to take other discretionary actions with respect to institutions in the three undercapitalized categories. The severity of the action depends upon the capital category in which the institution is placed. Institutions in any of the three undercapitalized categories are prohibited from declaring dividends or making capital distributions. In addition, an institution that is categorized in the three undercapitalized categories is required to submit an acceptable capital restoration plan to its appropriate federal banking agency, which, for the Bank, is the Federal Reserve. Generally, subject to a narrow exception, banking regulators must appoint a receiver or conservator for an institution that is “critically undercapitalized.” The Federal Reserve regulations also allow it to “downgrade” an institution to a lower capital category based on supervisory factors other than capital.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Structure and Support of Subsidiary Banks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our right to participate in the assets of any subsidiary upon the latter’s liquidation or reorganization will be subject to the prior claims of the subsidiary’s creditors (including depositors in the case of the Bank) except to the extent that we may be a creditor with recognized claims against the subsidiary. In addition, depositors of a bank, and the FDIC as their subrogee, would be entitled to priority over the other creditors in the event of liquidation of the bank.</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Under Federal Reserve policy, now codified in the Dodd-Frank Act, we are expected to act as a source of financial strength to, and to commit resources to support, the Bank. This support may be required at times even if, absent such Federal Reserve policy, we might not wish to provide it or have the resources to provide it. In addition, any capital loans by a bank holding company to any of its subsidiary banks are subordinate in right of payment to deposits and to certain other indebtedness of the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its lending activities, the Bank is subject to a number of federal and state laws designed to protect borrowers and promote lending to various sectors of the economy and population. These laws include the Equal Credit Opportunity Act, the Fair Credit Reporting Act, the Truth in Lending Act, the Home Mortgage Disclosure Act, the Real Estate Settlement Procedure Act and their respective state law counterparts.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Volcker Rule</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Volcker rule (1) generally prohibits banks from engaging in proprietary trading, which is engaging as principal (for the bank’s own account) in any purchase or sale of one or more of certain types of financial instruments, and (2) limits banks’ ability to invest in or sponsor hedge funds or private equity funds.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CFPB</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Dodd-Frank Act created the CFPB, which is granted broad rulemaking, supervisory and enforcement powers under various federal consumer financial protection laws, including the Equal Credit Opportunity Act, Truth in Lending Act, Real Estate Settlement Procedures Act, Fair Credit Reporting Act, Fair Debt Collection Practices Act, the Consumer Financial Privacy provisions of the GLB Act and certain other statutes. The CFPB has examination and primary enforcement authority with respect to depository institutions with $10 billion or more in assets, including the Bank. The CFPB has authority to prevent unfair, deceptive or abusive practices in connection with the offering of consumer financial products.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CFPB has issued a number of regulations related to the origination of mortgages, foreclosures, and overdrafts as well as many other consumer issues. Additionally, the CFPB has proposed, or may propose, additional regulations or modifications to existing regulations that directly relate to our business. New CFPB regulations, and changes to CFPB regulations and enforcement priorities, may have a material impact on our compliance costs, compliance risk, and operations of the Bank.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FDIC Insurance Assessments; Deposit Insurance Fund</w:t>
      </w:r>
    </w:p>
    <w:p>
      <w:pPr>
        <w:spacing w:after="0" w:line="2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FDIC insures the Bank’s deposits up to $250,000 per depositor subject to applicable limitations through the Deposit Insurance Fund. As a result, the Bank must pay deposit insurance assessments to the FDIC. The FDIC imposes a risk-based deposit premium assessment system to determine assessments based on a number of factors to measure the risk each institution poses to the Deposit Insurance Fund. The assessment rate is applied to our total average assets less tangible equity. Under the current system, premiums are assessed quarterly and could increase if, for example, criticized loans and/or other higher risk assets increase or balance sheet liquidity decreases.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Because the Bank exceeds $10 billion in assets, the FDIC uses a “scorecard” system to calculate our assessments. Key factors include: the institution’s risk category; whether the institution is deemed large and highly complex; whether the institution qualifies for an unsecured debt adjustment; and whether the institution is burdened with a brokered deposit adjustment. Other factors can impact the base against which the applicable rate is applied, including (for example) whether a net loss is realized. The FDIC also has the ability to make discretionary adjustments to the total score based upon significant risk factors that are not adequately captured in the calculations.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fourth quarter of 2023, the FDIC implemented a special assessment to recover the loss to the Deposit Insurance Fund arising from the protection of uninsured depositors following the closures of Silicon Valley Bank and Signature Bank. In accordance with the special assessment, United will pay $11.7 million over ten quarters, which began with the first quarterly assessment period of 2024.</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FDIC may also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Interchange Fee Restrictions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regulations that severely cap interchange fees which the Bank may charge merchants for debit card transactions. These restrictions were required by a statutory provision known as the Durbin Amendment of the Dodd-Frank Act. The Federal Reserve’s final rules implementing the Durbin Amendment capped interchange fees for debit card transactions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all debit cards must now participate in at least two unaffiliated networks so that the transactions initiated using those debit cards will have at least two independent routing channels.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and Risk Management</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to the potential restrictions on discretionary bonus compensation under the Basel III rules, the federal bank regulatory agencies have issued guidance on incentive compensation policies (the “Incentive Compensation Guidance”) intended to ensure that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8"/>
          <w:szCs w:val="18"/>
          <w:color w:val="auto"/>
        </w:rPr>
        <w:t>the incentive compensation policies of financial institutions do not undermine the safety and soundness of such institutions by encouraging excessive risk-taking. The Incentive Compensation Guidance, which covers all employees who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 We operate a risk management process for assessing risk in incentive compensation plans.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Federal Reserve reviews, as part of its regular, risk-focused examination process, the incentive compensation arrangements of financial institutions, including us,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scope and content of federal bank regulatory agencies’ policies on executive compensation are continuing to develop and are likely to continue evolving in the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Lending</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Inter-agency guidelines adopted by federal bank regulatory agencies mandate that financial institutions establish real estate lending policies with maximum allowable real estate loan-to-value limits, subject to an allowable amount of non-conforming loans as a percentage of capital. In addition, the federal bank regulatory agencies restrict concentrations in CRE lending and have noted that increases in banks’ CRE concentrations can create safety and soundness concerns. The regulatory guidance mandates certain minimal risk management practices and categorizes banks with defined levels of such concentrations as banks requiring elevated examiner scrutiny.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Cross-Guarantee Liability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depository institution insured by the FDIC can be held liable for any loss incurred by, or reasonably expected to be incurred by, the FDIC in connection with</w:t>
      </w:r>
    </w:p>
    <w:p>
      <w:pPr>
        <w:spacing w:after="0" w:line="36" w:lineRule="exact"/>
        <w:rPr>
          <w:sz w:val="20"/>
          <w:szCs w:val="20"/>
          <w:color w:val="auto"/>
        </w:rPr>
      </w:pPr>
    </w:p>
    <w:p>
      <w:pPr>
        <w:jc w:val="both"/>
        <w:ind w:firstLine="6"/>
        <w:spacing w:after="0" w:line="246"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of a commonly controlled FDIC-insured depository institution or (ii) any assistance provided by the FDIC to any commonly controlled FDIC-insured depository institution “in danger of default.” “Default” is defined generally as the appointment of a conservator or receiver and “in danger of default” is defined generally as the existence of certain conditions indicating that a default is likely to occur in the absence of regulatory assistance. Any FDIC damage claim is superior to claims of shareholders of the insured depository institution or its holding company but is subordinate to claims of depositors, secured creditors, and holders of subordinated debt (other than affiliates) of the commonly controlled insured depository institution. Currently the Bank is our only depository institution subsidiary. If we were to own or operate another depository institution, any loss suffered by the FDIC in respect of one subsidiary bank would likely result in assertion of the cross-guarantee provisions, the assessment of estimated losses against our other subsidiary bank(s), and a potential loss of our investment in our subsidiary banks.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Branching and Mergers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mentioned, the Bank generally must have SCBFI’s approval to establish a new branch. For a new branch located outside of South Carolina, South Carolina law requires the Bank to comply with branching laws applicable to the state where the new branch will be located. Federal law allows the Bank to establish or acquire a branch in another state to the same extent as a bank chartered in that other state would be allowed to establish or acquire a branch in South Carolina.</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an interstate merger or acquisition: the acquiring bank must be well-capitalized and well-managed; concentration limits on liabilities and deposits may not be exceeded; regulators must assess the transaction for incremental systemic risk; and the acquiring bank must have at least “satisfactory” standing under the federal Community Reinvestment Act (discussed immediately below). Once a bank has established branches in a state through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or acquired branching or through an interstate merger transaction, the bank may then establish or acquire additional branches within that state to the same extent that a bank chartered in that state is allowed to establish or acquire branches within the state.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Reinvestment Act</w:t>
      </w: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CRA requires each U.S. bank, consistent with safe and sound operation, to help meet the credit needs of each community where the bank accepts deposits, including low- and moderate-income communities. Federal banking regulators periodically assess the Bank for CRA compliance and that assessment is made public. The Bank’s low- and moderate-income community operations and activities traditionally are critical focal points in those assessments.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CRA examinations, federal banking regulators rate each institution’s compliance with the CRA as “Outstanding,” “Satisfactory,” “Needs to Improve” or “Substantial Noncompliance.” A CRA rating below “Satisfactory” can slow or halt a bank’s plans to expand by branching, acquisition, or merger, and can prevent a bank holding company from becoming a financial holding company. In its most recent CRA examination, the Bank received a “Satisfactory” rating.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Activities other than Banking</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Permitted Activities. </w:t>
      </w:r>
      <w:r>
        <w:rPr>
          <w:rFonts w:ascii="Times New Roman" w:cs="Times New Roman" w:eastAsia="Times New Roman" w:hAnsi="Times New Roman"/>
          <w:sz w:val="18"/>
          <w:szCs w:val="18"/>
          <w:color w:val="auto"/>
        </w:rPr>
        <w:t>Under the BHC Act, a bank holding company is generally permitted to engage in, or acquire direct or indirect control of more than 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shares of any company engaged in, the following activities:</w:t>
      </w:r>
    </w:p>
    <w:p>
      <w:pPr>
        <w:spacing w:after="0" w:line="2"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or managing or controlling banks;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services to or performing services for our subsidiaries;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that the Federal Reserve determines to be so closely related to banking as to be a proper incident to the business of banking.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that the Federal Reserve has found to be so closely related to banking as to be a proper incident to the business of banking include:</w:t>
      </w:r>
    </w:p>
    <w:p>
      <w:pPr>
        <w:spacing w:after="0" w:line="12"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factoring accounts receivable;</w:t>
      </w:r>
    </w:p>
    <w:p>
      <w:pPr>
        <w:spacing w:after="0" w:line="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acquiring, brokering or servicing loans and usual related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personal or real property;</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 non-bank depository institution, such as a savings association;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functions;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investment advisory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discount securities brokerage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and dealing in government obligations and money market instruments;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specified management consulting and counseling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selected data processing services and support services;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agent or broker in selling credit life insurance and other types of insurance in connection with credit transactions;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selected insurance underwriting activities.</w:t>
      </w:r>
    </w:p>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Federal law generally allows financial holding companies broad authority to engage in activities that are financial in nature or incidental to a financial activity. These include: insurance underwriting and brokerage; merchant banking; securities underwriting, dealing, and market-making; real estate development; and such additional activities as the Federal Reserve in consultation with the Secretary of the Treasury determines to be financial in nature or incidental. A bank holding company may engage in these activities directly or through subsidiaries by qualifying as a “financial holding company.” To qualify as a financial holding company, a bank holding company must file an initial declaration with the Federal Reserve, certifying that all of its subsidiary depository institutions are well-managed and well-capitalized.</w:t>
      </w:r>
    </w:p>
    <w:p>
      <w:pPr>
        <w:spacing w:after="0" w:line="2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Federal law also permits banks to engage in certain of these activities through financial subsidiaries. To control or hold an interest in a financial subsidiary, a bank must meet the following requirements:</w:t>
      </w:r>
    </w:p>
    <w:p>
      <w:pPr>
        <w:spacing w:after="0" w:line="1"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must receive approval from its primary federal regulator for the financial subsidiary to engage in the activities.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and its depository institution affiliates must each be well-capitalized and well-managed.</w:t>
      </w:r>
    </w:p>
    <w:p>
      <w:pPr>
        <w:spacing w:after="0" w:line="31"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consolidated total assets of all of the bank’s financial subsidiaries must not exceed the lesser of: 45% of the bank’s consolidated total assets; or $50 billion (subject to indexing for inflation).</w:t>
      </w:r>
    </w:p>
    <w:p>
      <w:pPr>
        <w:spacing w:after="0" w:line="5"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must have in place adequate policies and procedures to identify and manage financial and operational risks and to preserve the separate identities and limited liability of the bank and the financial subsidiary.</w:t>
      </w:r>
    </w:p>
    <w:p>
      <w:pPr>
        <w:spacing w:after="0" w:line="5"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is among the 100 largest banks, the bank must meet the long-term debt rating or alternative standards adopted by the Federal Reserve and the U.S. Secretary of the Treasury from time to time. If this fifth requirement ceases to be met after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9" w:name="page20"/>
    <w:bookmarkEnd w:id="19"/>
    <w:p>
      <w:pPr>
        <w:ind w:left="640"/>
        <w:spacing w:after="0" w:line="258" w:lineRule="auto"/>
        <w:rPr>
          <w:sz w:val="20"/>
          <w:szCs w:val="20"/>
          <w:color w:val="auto"/>
        </w:rPr>
      </w:pPr>
      <w:r>
        <w:rPr>
          <w:rFonts w:ascii="Times New Roman" w:cs="Times New Roman" w:eastAsia="Times New Roman" w:hAnsi="Times New Roman"/>
          <w:sz w:val="18"/>
          <w:szCs w:val="18"/>
          <w:color w:val="auto"/>
        </w:rPr>
        <w:t>bank controls or holds an interest in a financial subsidiary, the bank cannot invest additional capital in that subsidiary until the requirement again is met.</w:t>
      </w: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No new activity may be commenced unless the bank and all of its depository institution affiliates have at least “Satisfactory” CRA ratings. Certain restrictions apply if the bank holding company or the bank fails to continue to meet one or more of the requirements listed above. In addition, federal law contains a number of other provisions that may affect the Bank’s operations, including limitations on the use and disclosure to third parties of client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December 31, 2024, we are a financial holding company and we have financial subsidiaries, as discussed in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in this Item.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Federal Reserve, FDIC and other bank regulatory agencies have adopted guidelines for safeguarding confidential, personal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hazards to the security or integrity of such information and protect against unauthorized access to or use of such information that could result in substantial harm or inconvenience to any customer. In addition, various federal regulators, including the Federal Reserve and the SEC, have increased their focus on cyber-security through guidance, examinations and regulations. The Bank has adopted a customer information security program that has been approved by its Board of Directors.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GLB Act requires financial institutions to implement policies regarding the disclosure of non-public personal information about consumers to nonaffiliated third parties. In general, the statute requires explanations to consumers on policies and procedures regarding the disclosure of such nonpublic information and, except as otherwise required by law, prohibits disclosing such information except as provided in a banking subsidiary’s policies and procedures. The Bank has implemented a privacy policy.</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States are also increasingly proposing or enacting legislation that relates to data privacy and data protection. We continue to assess the requirements of such laws and proposed legislation and their applicability to us. Moreover, these laws, and proposed legislation, are still subject to revision or formal guidance and they may be interpreted or applied in a manner inconsistent with our understanding.</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Like other lenders, the Bank and other of our subsidiaries use credit bureau data in their underwriting activities. Use of such data is regulated under the Fair Credit Reporting Act, which regulates the reporting of information to credit bureaus, prescreening individuals for credit offers, sharing of information between affiliates, and using affiliate data for marketing purposes. Similar state laws may impose additional requirements on the Bank and its subsidiaries.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Initiatives, the USA Patriot Act and the Office of Foreign Asset Control</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federal laws that are designed to combat terrorist financing, money laundering and transactions with persons, companies or foreign governments sanctioned by the United States. These include the Bank Secrecy Act, the Money Laundering Control Act, the International Emergency Economic Powers Act and the Trading with the Enemy Act, as administered by the United States Treasury Department’s Office of Foreign Assets Control. These regulations obligate depositary institutions and broker-dealers to verify the identity of their customers, conduct customer due diligence, report on suspicious activity, file reports of transactions in currency and conduct enhanced due diligence on certain accounts. They also prohibit U.S. persons from engaging in transactions with certain designated restricted countries and persons. Depository institutions and broker-dealers are required by their federal regulators to maintain robust policies and procedures in order to ensure compliance with these obligations.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Failure of a financial institution to maintain and implement adequate programs to combat terrorist financing, or to comply with all of the relevant laws or regulations, can lead to significant monetary penalties and could have other serious legal and reputational consequences for the institution. Federal regulators evaluate the effectiveness of an applicant in combating money laundering when determining whether to approve a proposed bank merger, acquisition, restructuring, or other expansionary activity. There have been a number of significant enforcement actions by regulators, as well as state attorneys general and the Department of Justice, against banks, broker-dealers and non-bank financial institutions with respect to these laws and some have resulted in substantial penalties, including criminal pleas. Our Board has approved policies and procedures that it believes comply with these laws.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Depositor Preference</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Federal law provides that deposits and certain claims for administrative expenses and associate compensation against an insured depository institution would be afforded a priority over other general unsecured claims against such an institution, including federal funds and letters of credit, in the “liquidation or other resolution” of such an institution by any receiver.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Regulation</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of our subsidiaries are subject to various securities laws and regulations and capital adequacy requirements promulgated by the regulatory and exchange authorities of the jurisdictions in which they operate.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registered broker-dealer subsidiary, FinTrust Brokerage Services, LLC, is subject to the SEC’s net capital rule, Rule 15c3-1. That rule requires the maintenance of minimum net capital and limits the ability of the broker-dealer to transfer large amounts of capital to a parent company or affiliate. Compliance with the rule could limit operations that require intensive use of capital, such as underwriting and trading.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FinTrust Capital Advisors, LLC operated as a registered investment adviser which was regulated under the Investment Advisers Act of 1940 until the sale of FinTrust in the fourth quarter of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Activities</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Certain of our subsidiaries sell various types of insurance as agent in a number of states. Insurance activities are subject to regulation by the states in which such business is transacted. Although most of such regulation focuses on insurance companies and their insurance products, insurance agents and their activities are also subject to regulation by the states, including, among other things, licensing and marketing and sales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and state legislators as well as regulatory agencies may introduce or enact new laws and rules, or amend existing laws and rules that may affect the regulation of United and its subsidiaries in substantial and unpredictable ways, and, if enacted, could increase or decrease the cost of doing business, limit or expand permissible activities or affect the industry’s competitive balance. We are not able to predict what, if any, legislative and regulatory changes affecting financial institutions will be enacted or implemented in the future, nor the impact that those actions will have upon us. Any such changes, however, could materially and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264160</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Source and Availability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is primarily derived from interest on and fees received in connection with the loans we make and from interest and dividends from our investment securities and short-term investments. The principal sources of funds for our lending activities are customer deposits, repayment of loans, and the sale and maturity of investment securities. Our principal expenses are interest paid on deposits and other borrowings and operating and general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internet website address is www.ucbi.com. We file with or furnish to the SEC annual reports on Form 10-K, quarterly reports on Form 10-Q, current reports on Form 8-K and amendments to those reports, proxy statements and annual reports to shareholders and, from time to time, registration statements and other documents. These documents are available free of charge to the public on or through the “Investor Relations” section of our website as soon as reasonably practicable after we electronically file them with or furnish them to the SEC. The SEC maintains an internet site that contains reports, proxy and information statements and other information that we file electronically with, or furnish to, the SEC. The address of that website is www.sec.gov. The information on any website referenced in this Report is not incorporated by reference into, and is not a part of this Report. </w:t>
      </w:r>
      <w:r>
        <w:rPr>
          <w:rFonts w:ascii="Times New Roman" w:cs="Times New Roman" w:eastAsia="Times New Roman" w:hAnsi="Times New Roman"/>
          <w:sz w:val="18"/>
          <w:szCs w:val="18"/>
          <w:color w:val="212529"/>
        </w:rPr>
        <w:t>Further, our references to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URLs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3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Item outlines specific risks that could affect the ability of our various businesses to compete, change our risk profile or materially affect our financial condition or results of operations. Our operating environment continues to evolve and new risks continue to emerge. To address that challenge we have a risk management governance structure that oversees processes for monitoring evolving risks and oversees various initiatives designed to manage and control our potential exposure. This Item highlights risks that could affect us in material ways by causing future results to differ materially from past results, by causing future results to differ materially from current expectations, or by causing material changes in our financial condition. Some of these risks are interrelated and the occurrence of one or more of them may exacerbate the effect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successfully implement our strategy to grow our banking businesses.</w:t>
      </w:r>
    </w:p>
    <w:p>
      <w:pPr>
        <w:spacing w:after="0" w:line="2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Although our strategy is expected to evolve as business conditions change, our current strategy is to continue to invest resources in our banking businesses and operations, including the businesses and operations we plan to integrate through any planned acquisitions, and seek to exploit opportunities for cost and revenue synergies. In the future, we expect to continue to nurture profitable organic growth as well as pursue acquisitions or strategic transactions if appropriate opportunities present themselves. Our failure or inability to successfully implement or adapt our strategy could have a material and adverse effect on our results of operation and financial condition.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Failure to achieve one or more key elements needed for successful business acquisitions (including the integration of those businesses) could adversely affect our business and earnings.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Expanding in our current markets and selecting new growth markets by opening additional branches and service locations or through acquisitions of all or part of other financial institutions involve risks, any one of which could result in a material and adverse effect upon our results of operation or financial condition. These risks include, without limitation, our inability to do the following:</w:t>
      </w:r>
    </w:p>
    <w:p>
      <w:pPr>
        <w:spacing w:after="0" w:line="233"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identify and expand into suitable markets;</w:t>
      </w:r>
    </w:p>
    <w:p>
      <w:pPr>
        <w:spacing w:after="0" w:line="10" w:lineRule="exact"/>
        <w:rPr>
          <w:rFonts w:ascii="Times New Roman" w:cs="Times New Roman" w:eastAsia="Times New Roman" w:hAnsi="Times New Roman"/>
          <w:sz w:val="21"/>
          <w:szCs w:val="21"/>
          <w:color w:val="auto"/>
        </w:rPr>
      </w:pPr>
    </w:p>
    <w:p>
      <w:pPr>
        <w:ind w:left="640" w:hanging="316"/>
        <w:spacing w:after="0" w:line="214"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identify and acquire suitable sites for new branches and service locations;</w:t>
      </w: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execute potential acquisition targets;</w:t>
      </w:r>
    </w:p>
    <w:p>
      <w:pPr>
        <w:spacing w:after="0" w:line="11" w:lineRule="exact"/>
        <w:rPr>
          <w:rFonts w:ascii="Times New Roman" w:cs="Times New Roman" w:eastAsia="Times New Roman" w:hAnsi="Times New Roman"/>
          <w:sz w:val="18"/>
          <w:szCs w:val="18"/>
          <w:color w:val="auto"/>
        </w:rPr>
      </w:pPr>
    </w:p>
    <w:p>
      <w:pPr>
        <w:ind w:left="640" w:hanging="316"/>
        <w:spacing w:after="0" w:line="230"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develop accurate estimates and judgments to evaluate asset values and credit, operations, management and market risks with respect to an acquired branch or institution, a new branch office or a new market;</w:t>
      </w:r>
    </w:p>
    <w:p>
      <w:pPr>
        <w:ind w:left="640" w:hanging="316"/>
        <w:spacing w:after="0" w:line="223"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realize certain assumptions and estimates to preserve the expected financial benefits of the transaction;</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avoid the diversion of our management’s attention from existing operations during the negotiation of a transaction;</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manage successful entry into new markets where we have limited or no direct prior experience;</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obtain regulatory and other approvals, or obtain such approvals without restrictive conditions;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integrate the acquired business’ operations, clients, and properties quickly and cost-effectively;</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manage cultural assimilation risks associated with growth through acquisitions, which can be an often-overlooked and often-critical failure point in mergers;</w:t>
      </w:r>
    </w:p>
    <w:p>
      <w:pPr>
        <w:spacing w:after="0" w:line="8" w:lineRule="exact"/>
        <w:rPr>
          <w:rFonts w:ascii="Times New Roman" w:cs="Times New Roman" w:eastAsia="Times New Roman" w:hAnsi="Times New Roman"/>
          <w:sz w:val="21"/>
          <w:szCs w:val="21"/>
          <w:color w:val="auto"/>
        </w:rPr>
      </w:pPr>
    </w:p>
    <w:p>
      <w:pPr>
        <w:ind w:left="640" w:hanging="316"/>
        <w:spacing w:after="0" w:line="230"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combine the franchise values of businesses that we acquire with those of ours without significant loss of employees or customers from re-branding and other similar changes; or</w:t>
      </w:r>
    </w:p>
    <w:p>
      <w:pPr>
        <w:ind w:left="640" w:hanging="316"/>
        <w:spacing w:after="0" w:line="23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retain core clients and key employees.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one or more key elements needed for successful organic growth could adversely affect our business and earnings.</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a number of risks to the successful execution of our organic growth strategy that could result in a material and adverse effect upon our results of operation and financial condition. These risks include, without limitation, our inability to do the following:</w:t>
      </w:r>
    </w:p>
    <w:p>
      <w:pPr>
        <w:spacing w:after="0" w:line="207"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attract and retain clients in our banking market areas;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achieve and maintain growth in our earnings while pursuing new business opportunities;</w:t>
      </w:r>
    </w:p>
    <w:p>
      <w:pPr>
        <w:spacing w:after="0" w:line="10" w:lineRule="exact"/>
        <w:rPr>
          <w:rFonts w:ascii="Times New Roman" w:cs="Times New Roman" w:eastAsia="Times New Roman" w:hAnsi="Times New Roman"/>
          <w:sz w:val="21"/>
          <w:szCs w:val="21"/>
          <w:color w:val="auto"/>
        </w:rPr>
      </w:pPr>
    </w:p>
    <w:p>
      <w:pPr>
        <w:jc w:val="both"/>
        <w:ind w:left="640" w:hanging="316"/>
        <w:spacing w:after="0" w:line="229"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maintain a high level of client service while optimizing our physical branch count due to changing client demand, all while expanding our remote banking services and expanding or enhancing our information processing, technology, compliance, and other operational infrastructures effectively and efficiently;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2" w:name="page23"/>
    <w:bookmarkEnd w:id="22"/>
    <w:p>
      <w:pPr>
        <w:ind w:left="640" w:hanging="316"/>
        <w:spacing w:after="0"/>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maintain loan quality while, at the same time, creating loan growth;</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attract sufficient deposits and capital to fund anticipated loan growth;</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maintain adequate common equity and regulatory capital while managing the liquidity and capital requirements associated with growth, especially organic growth and cash-funded acquisitions;</w:t>
      </w:r>
    </w:p>
    <w:p>
      <w:pPr>
        <w:spacing w:after="0" w:line="1" w:lineRule="exact"/>
        <w:rPr>
          <w:rFonts w:ascii="Times New Roman" w:cs="Times New Roman" w:eastAsia="Times New Roman" w:hAnsi="Times New Roman"/>
          <w:sz w:val="21"/>
          <w:szCs w:val="21"/>
          <w:color w:val="auto"/>
        </w:rPr>
      </w:pPr>
    </w:p>
    <w:p>
      <w:pPr>
        <w:ind w:left="640" w:hanging="316"/>
        <w:spacing w:after="0" w:line="23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hire or retain adequate management personnel and systems to oversee and support such growth;</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implement additional policies, procedures and operating systems required to support our growth;</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manage effectively and efficiently the changes and adaptations necessitated by a complex, burdensome, and evolving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COMPETITION AND INDUSTRY DISRUPTION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intense competition for clients and the nature of that competition is rapidly evolving.</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areas of competition are deposits, loans, wealth management, trust, and other consumer and commercial financial products and services. Our competitors in these areas include other banks, credit unions, savings and loan associations, consumer finance companies, mortgage banking firms, trust companies, securities brokerage firms, investment counseling firms, insurance companies and agencies and other financial services companies. In addition, the emergence of non-traditional, disruptive service providers has intensified this competitive environment. Also, as customer preferences and expectations continue to evolve, technology has lowered barriers to entry and made it possible for nonbanks to offer products and services traditionally provided by banks. While traditional banks are subject to the same regulatory framework as we are, nonbanks experience a significantly different or reduced degree of regulation as well as lower cost structures.</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may face a competitive disadvantage as a result of our smaller size, more limited geographic diversification and inability to spread costs across broader markets. We may also be affected by the marketplace loosening of credit underwriting standards and structures. In addition, larger institutions may have the advantage of being perceived by the public as more secure in times of financial uncertainty as evidenced by the migration of deposits to large banks in response to certain bank failures that occurred in 2023.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Failures in any of these areas could significantly weaken our competitive position, which could adversely affect our growth and profitability which, in turn,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keep pace with technological changes could adversely affect our business.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financial services industry has undergone and continues to undergo rapid change as a result of frequent new technological innovations, such as the use of artificial intelligence and machine learning. The effective use of technology increases efficiency and enables financial institutions to better serve customers and to reduce costs. Our future success depends, in part, upon our ability to address the needs of our customers by using technology to provide products and services that will satisfy customer demands, as well as to create additional efficiencies in our operations. Many of our competitors have substantially greater resources to invest in technological improvements. If we are unable to provide enhancements and new features and integrations for our existing platform, develop new products that achieve market acceptance, or innovate quickly enough to keep pace with these rapid technological developments, our business could be harmed.</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Our traditional approach to customer service, which is highly effective when executed in a physical branch with in-person interactions, may be less effective as customer habits and preferences evolve.</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Physical branch utilization has been in decline throughout the industry for many years. Technology has allowed disruptors to enter traditional banking areas by providing payment and exchange services that compete directly with banks in ways not previously possible. Through digital marketing and service platforms, these disruptors and other banks are making client inroads unrelated to physical presence. This competitive risk is especially pronounced from the largest U.S. banks, and from online-only banks, due in part to the investments they are able to sustain in their digital platforms. While we provide a large number of services remotely (online and mobile) and technology has helped us reduce costs and improve service, it has also weakened traditional geographic and relationship 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The nature of technology-driven disruption to our industry is changing, in some cases seeking to displace traditional financial service providers rather than merely enhance traditional services or their delivery.</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number of recent technologies have worked with the existing financial system and traditional banks, such as the evolution of artificial intelligence, machine learning and continued development of smartphone applications. These sorts of technologies often have expanded the market for banking services overall while siphoning a portion of the revenues from those services away from banks and disrupting prior methods of delivering those services. Additionally, some innovations and niche providers may tend to replace traditional banks as financial service providers, deposit-keepers and intermediaries rather than merely augmenting those services. For example, companies which claim to offer applications and services based on artificial intelligence are beginning to compete much more directly with traditional financial services companies in areas involving personal advice, including high-margin services such as wealth management. Our success in the competitive environment in which we operate requires consistent investment of capital and human resources in innovation, particularly in light of the current “FinTech” environment, in which the financial services industry is undergoing rapid technological changes and financial institutions are investing significantly in evaluating new technologies, such as artificial intelligence, machine learning, blockchain and other distributed ledger technologies, and developing potentially industry-changing new products, services and industry standards. Our investment is directed at generating new products and services, and adapting existing products and services to the evolving standards and demands of the marketplace. Among other things, investing in innovation helps us maintain a mix of products and services that keeps pace with our competitors and achieve acceptable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is a major, and increasing, operational risk for us and all banks.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Deposit and loan fraud continue to be major sources of fraud attempts and loss. The sophistication and methods used to perpetrate fraud continue to evolve as technology changes. In addition to cybersecurity risk (discussed below), new technologies have made it easier for bad actors to obtain and use client personal information, mimic signatures and otherwise create false documents that look genuine. The industry fraud threat continues to evolve, including but not limited</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card fraud, check fraud, social engineering and phishing attacks for identity theft and account takeover. Additionally, the use of artificial intelligence and quantum computing could exacerbate many of these risks. Our anti-fraud measures are both preventive and, when necessary, responsive; however, some level of fraud loss is unavoidable, and the risk of a major loss cannot be eliminated.</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Our ability to conduct and grow our businesses depends in part upon our ability to create, maintain, expand, and evolve an appropriate operational and organizational infrastructure, manage expenses, and recruit and retain personnel with the ability to manage a complex business.</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Operational risk can arise in many ways, including: errors related to failed or inadequate physical, operational, information technology, or other processes; faulty or disabled computer or other technology systems; fraud, theft, physical security breaches, electronic data and related security breaches, or other criminal conduct by associates or third parties; and exposure to other external events. Inadequacies may present themselves in myriad ways. Actions taken to manage one risk may be ineffective against others. For example, information technology systems may be sufficiently redundant to withstand a fire, incursion, malware, or other major casualty, but they may be insufficiently adaptable to new business conditions or opportunities. Efforts to make systems more robust may make them less adaptable, and </w:t>
      </w:r>
      <w:r>
        <w:rPr>
          <w:rFonts w:ascii="Times New Roman" w:cs="Times New Roman" w:eastAsia="Times New Roman" w:hAnsi="Times New Roman"/>
          <w:sz w:val="18"/>
          <w:szCs w:val="18"/>
          <w:i w:val="1"/>
          <w:iCs w:val="1"/>
          <w:color w:val="auto"/>
        </w:rPr>
        <w:t>vice-versa</w:t>
      </w:r>
      <w:r>
        <w:rPr>
          <w:rFonts w:ascii="Times New Roman" w:cs="Times New Roman" w:eastAsia="Times New Roman" w:hAnsi="Times New Roman"/>
          <w:sz w:val="18"/>
          <w:szCs w:val="18"/>
          <w:color w:val="auto"/>
        </w:rPr>
        <w:t>. Also, our effort to maximize operating leverage, which is a significant priority for us, increases our operational challenges as we strive to maintain high quality client service and compliance.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A serious information technology security (cybersecurity) breach can cause significant damage and at the same time be difficult to detect even after it occurs.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and other information in our computer systems and networks as well as through the internet through digital and mobile technologies. Although we take protective measures and endeavor to modify these systems as circumstances warrant, the advances in technology increase the risk of information security breaches. We provide our customers the ability to bank remotely, including over the internet or through their mobile device. The secure transmission of confidential information is a critical element of remote and mobile banking. Any failure, interruption or breach in security of these systems could result in disruptions to our accounting, deposit, loan and other systems, and adversely affect our customer relationships.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have been increasing efforts on the part of third parties, including through cyber-attacks, to breach data security at financial institutions or with respect to financial transactions. There have been several instances involving financial services, credit bureaus and consumer-based companies reporting the unauthorized disclosure of client or customer information or the destruction or theft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corporate data, by both private individuals and foreign governments. In addition, because the techniques used to cause such security breaches change frequently, often are not recognized until launched against a target and may originate from less regulated and remote areas around the world, we may be unable to proactively address these techniques or to implement adequate preventative measures. Our network, and the systems of parties with whom we contract, could be vulnerable to unauthorized access, ransomware attacks, computer viruses, phishing schemes, spam attacks, human error, natural disasters, power loss and other security breaches.</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Cyber threats are rapidly evolving and we may not be able to anticipate or prevent all such attacks. Among other things, damage can occur due to outright theft or extortion of our funds, fraud or identity theft perpetrated on clients, or adverse publicity associated with a breach and its potential effects. Perpetrators potentially can be associates, clients, and certain vendors, all of whom legitimately have access to some portion of our systems, as well as outsiders with no legitimate access. These risks are heightened through the increasing use of digital and mobile solutions which allow for rapid money movement and increase the difficulty to detect and prevent fraudulent transactions. Additionally, as we grow through acquisitions and pursue new initiatives that improve our operations and cost structure, we are also expanding and improving our information technologies, resulting in a larger technological presence, utilization of “cloud” computing services, and corresponding exposure to cybersecurity risk. Certain new technologies, such as use of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(including breaches of security of customer systems and networks) and viruses could expose us to claims, litigation and other possible liabilities. Any inability to prevent security breaches or computer viruses could also cause existing customers to lose confidence in our systems and could adversely affect our reputation, results of operations and ability to attract and maintain customers and businesses. In addition, a security breach could also subject us to additional regulatory scrutiny, expose us to civil litigation and possible financial liability and cause reputational damage.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We rely on information technology and telecommunications systems and certain third-party service providers, the operational functions of which may experience disruptions that could adversely affect us and over which we may have limited or no control.</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business is highly dependent on the successful and uninterrupted functioning of our information technology and telecommunications systems, third-party accounting systems and mobile and online banking platforms. We outsource many of our major systems, such as data processing, loan servicing and deposit processing systems and online banking platforms. While we have selected these vendors carefully, we do not control their actions. The failure of these systems, or the termination of a third-party software license or service agreement on which any of these systems is based, could interrupt our operations. Financial or operational difficulties of a vendor could also damage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third-party vendors could also create significant delay and expense.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renewed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 Our ability to recoup our losses may be limited legally or practically in many situations.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risk management framework may not be effective in mitigating risks and/or losses.</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implemented a risk management framework to mitigate our risk and loss exposure. This framework is comprised of various processes, systems and strategies, and is designed to identify, measure, monitor, report and manage the types of risk to which we are subject, including, among others, credit risk, interest rate risk, liquidity risk, legal and regulatory risk, cybersecurity risk, compliance risk, strategic risk, reputational risk and operational risk related to its employees, systems and vendors, among others. Any system of control and any system to reduce risk exposure, however well designed and operated, is based in part on certain assumptions and can provide only reasonable, not absolute, assurances that the objectives of the system are met and will be effective under all circumstances or that it will adequately identify, manage or mitigate any risk or loss to us. Additionally, instruments, systems and strategies used to hedge or otherwise manage exposure to various types of interest rate, price, legal and regulatory compliance, credit, liquidity, operational and business risks and enterprise-wide risk could be less effective than anticipated. As a result, we may not be able to effectively mitigate our risk exposures in particular market environments or against particular types of risk. If our risk management framework is not effective, we could suffer unexpected losses and become subject to litigation, negative regulatory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5" w:name="page26"/>
    <w:bookmarkEnd w:id="25"/>
    <w:p>
      <w:pPr>
        <w:jc w:val="both"/>
        <w:spacing w:after="0" w:line="274" w:lineRule="auto"/>
        <w:rPr>
          <w:sz w:val="20"/>
          <w:szCs w:val="20"/>
          <w:color w:val="auto"/>
        </w:rPr>
      </w:pPr>
      <w:r>
        <w:rPr>
          <w:rFonts w:ascii="Times New Roman" w:cs="Times New Roman" w:eastAsia="Times New Roman" w:hAnsi="Times New Roman"/>
          <w:sz w:val="18"/>
          <w:szCs w:val="18"/>
          <w:color w:val="auto"/>
        </w:rPr>
        <w:t>consequences, or reputational damage among other adverse consequences, any of which could result in our business, financial condition, results of operations or prospects being materially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for talent is substantial and increasing. Moreover, revenue growth in some business lines increasingly depends upon top talent</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recent years, our cost of hiring and retaining top revenue-producing talent has increased, and that trend is likely to continue. We have assembled a management team which has substantial background and experience in banking and financial services in our markets. Moreover, much of our organic loan growth in recent years was the result of our ability to attract experienced financial services professionals who have been able to attract customers from other financial institutions. We anticipate deploying a similar hiring strategy in the future. It is also common for other financial institutions to deploy this strategy as well and there is a risk that teams of our employees may be recruited by other financial institutions. Additionally, operating our technology systems requires employees with specialized skills that are not readily available in the general employee candidate pool. Inability to retain these key personnel (including key personnel of the businesses we have acquired) or to continue to attract experienced lenders with established books of business could negatively affect our growth because of the loss of these individuals’ skills and customer relationships and/or the potential difficulty of promptly replacing them. Moreover, the higher costs we must pay to hire and retain these experienced individuals could cause our noninterest expense levels to rise and negatively impact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accounting estimates and risk management processes rely on analytical and forecasting models.</w:t>
      </w:r>
    </w:p>
    <w:p>
      <w:pPr>
        <w:spacing w:after="0" w:line="2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 upon the use of analytical and forecasting models. These models reflect assumptions that may not be accurate, particularly in times of market stress or other unforeseen circumstances. If the assumptions used in our model for measuring interest sensitivity and asset-liability management fail to appropriately anticipate customer response to changing interest rates, our earnings and / or liquidity position could be threatened. Although we model multiple scenarios assuming differing interest rate curves and economic events, it is not possible for our modeling to anticipate every scenario or how one assumption may be influenced by changes in another assumption.</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Even if these assumptions are adequate, the models themselves may prove to be inadequate or inaccurate because of other flaws in their design or their implementation, including flaws caused by failures in controls, data management, human error or from the reliance on technology. If the models we use for interest rate risk and asset-liability management are inadequate, we may incur increased or unexpected losses upon changes in market interest rates or other market measures. If the models we use for estimating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RISKS FROM CHANGES IN ECONOMIC CONDITIONS AND MONETARY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Inflationary pressures present a potential threat to our results of operations and financial condition.</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recent years, the United States generally and the regions in which we operate specifically have experienced, for the first time in decades, significant inflationary pressures, evidenced by higher gas prices, higher food prices and higher prices on other consumer items. While inflationary pressure has lessened during 2024, the effects of inflation continue to present a risk to our business and our customers. Inflation represents a loss in purchasing power because the value of investments often does not keep up with inflation and erodes the purchasing power of money and the potential value of investments over time. Accordingly, inflation can result in material adverse effects upon our customers, their businesses (as a result of rising costs, including labor) and, as a result, our financial position and results of operations. Inflation also can and does generally lead to higher interest rates, which have their own separate risks. See </w:t>
      </w:r>
      <w:r>
        <w:rPr>
          <w:rFonts w:ascii="Times New Roman" w:cs="Times New Roman" w:eastAsia="Times New Roman" w:hAnsi="Times New Roman"/>
          <w:sz w:val="18"/>
          <w:szCs w:val="18"/>
          <w:i w:val="1"/>
          <w:iCs w:val="1"/>
          <w:color w:val="auto"/>
        </w:rPr>
        <w:t xml:space="preserve">Interest Rate and Yield Curve Risks </w:t>
      </w:r>
      <w:r>
        <w:rPr>
          <w:rFonts w:ascii="Times New Roman" w:cs="Times New Roman" w:eastAsia="Times New Roman" w:hAnsi="Times New Roman"/>
          <w:sz w:val="18"/>
          <w:szCs w:val="18"/>
          <w:color w:val="auto"/>
        </w:rPr>
        <w:t>in this Item 1A of this Report.</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Generally, in periods of economic volatility, our realized credit losses increase, demand for our products and services declines, and the credit quality of our loan portfolio declines.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success depends significantly upon local, national and global economic and political conditions, as well as governmental monetary policies and trade relations. Economic volatility may increase if the U.S. budget deficit continues to increase. If the trend persists, the deficit could create inflationary pressure, which may be detrimental to the U.S. economy, and unemployment rates could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18"/>
          <w:szCs w:val="18"/>
          <w:color w:val="auto"/>
        </w:rPr>
        <w:t>suffer if deficit reduction measures are implemented. Additionally, the 2025 incoming federal administration may deploy new trading strategies, such as tariffs on U.S. imports, which may create economic volatility. Our financial performance generally, and in particular the ability of borrowers to pay interest on and repay principal of outstanding loans and the value of collateral securing those loans, as well as demand for loans and other products and services we offer, is highly dependent upon the business environment in the markets where we operate and in the United States as a whole. Unlike banks that are more geographically diversified, we are a regional bank that provides services to customers primarily in Georgia, South Carolina, North Carolina, Tennessee, Florida and Alabama. The market conditions in these markets may be different from, and could be worse than, the economic conditions in the United States as a whole. Adverse changes in business and economic conditions generally or specifically in the markets in which we operate could affect our business, including causing one or more of the following negative developments:</w:t>
      </w:r>
    </w:p>
    <w:p>
      <w:pPr>
        <w:spacing w:after="0" w:line="246"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decrease in the demand for loans and other products and services offered by us;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decrease in the value of the collateral securing our residential or CRE loans;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permanent impairment of our assets; or</w:t>
      </w:r>
    </w:p>
    <w:p>
      <w:pPr>
        <w:spacing w:after="0" w:line="33"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 increase in the number of customers or other counterparties who default on their loans or other obligations to us, which could result in a higher level of NPAs, net charge-offs and provision for loan losses.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The Federal Reserve has implemented significant economic strategies that have affected interest rates, inflation, asset values, and the shape of the yield curve. These strategies have had, and will continue to have, a significant impact on our business and on many of our clients.</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2022 and much of 2023, in response to inflationary pressures, the Federal Reserve increased interest rates substantially. Starting in the third quarter of 2024, in response to decreasing rates of inflation, the Federal Reserve started to lower interest rates. Fluctuations in interest rates have had and can continue to have significant and sometimes adverse effects upon our business as well as the business of many of our customers. See </w:t>
      </w:r>
      <w:r>
        <w:rPr>
          <w:rFonts w:ascii="Times New Roman" w:cs="Times New Roman" w:eastAsia="Times New Roman" w:hAnsi="Times New Roman"/>
          <w:sz w:val="18"/>
          <w:szCs w:val="18"/>
          <w:i w:val="1"/>
          <w:iCs w:val="1"/>
          <w:color w:val="auto"/>
        </w:rPr>
        <w:t>Interest Rate and Yield Curve Risks</w:t>
      </w:r>
      <w:r>
        <w:rPr>
          <w:rFonts w:ascii="Times New Roman" w:cs="Times New Roman" w:eastAsia="Times New Roman" w:hAnsi="Times New Roman"/>
          <w:sz w:val="18"/>
          <w:szCs w:val="18"/>
          <w:color w:val="auto"/>
        </w:rPr>
        <w:t xml:space="preserve"> in this Item 1A of this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Reserve strategies can, and often are intended to, affect the domestic money supply, inflation, interest rates, and the shape of the yield curve.</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Effects on the yield curve often are most pronounced at the short end of the curve, which is of particular importance to us and other banks. Among other things, easing strategies are intended to lower interest rates, expand the money supply, and stimulate economic activity, while tightening strategies are intended to increase interest rates, tighten the money supply, and restrain economic activity. Many external factors may interfere with the effects of these plans or cause them to be changed, sometimes quickly. Such factors include significant economic trends or events as well as significant international monetary policies and events. Such strategies also can affect the U.S. and world-wide financial systems in ways that may be difficult to predict. Risks associated with interest rates and the yield curve are discussed in this Item 1A under the caption </w:t>
      </w:r>
      <w:r>
        <w:rPr>
          <w:rFonts w:ascii="Times New Roman" w:cs="Times New Roman" w:eastAsia="Times New Roman" w:hAnsi="Times New Roman"/>
          <w:sz w:val="18"/>
          <w:szCs w:val="18"/>
          <w:i w:val="1"/>
          <w:iCs w:val="1"/>
          <w:color w:val="auto"/>
        </w:rPr>
        <w:t>Interest Rate and Yield Curve Risks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INTEREST RATE AND YIELD CURVE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We are subject to interest rate risk because a significant portion of our business involves borrowing and lending money, and investing in financial instruments.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considerable amount of our profitability is dependent on net interest income, which is the difference between interest income earned on loans, leases and investment securities and interest expense paid on deposits, other borrowings, senior debt and subordinated notes. The absolute level of interest rates as well as changes in interest rates, including changes to the shape of the yield curve, may affect our level of interest income, the primary component of our gross revenue, as well as the level of our interest expense. In a period of changing interest rates, interest expense may increase at different rates than the interest earned on assets, impacting our net interest income. Interest rate fluctuations are caused by many factors which, for the most part, are not under our control. For example, national monetary policy implemented by the Federal Reserve plays a significant role in the determination of interest rates. Additionally, competitor pricing and the resulting negotiations that occur with our customers also impact the rates we collect on loans and the rates we pay on deposits.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Because of significant competitive pressures in our markets and the negative impact of these pressures on our deposit and loan pricing, coupled with the fact that a significant portion of our loan portfolio has variable rate pricing that moves in concert with changes to benchmark rates, our net interest margin may be negatively impacted if these short-term rates continue to decrease and we are unable to lower deposit pricing commensurately. However, if short-term interest rates were to rise, our results of operations may also be negatively impacted if we are unable to increase the rates we charge on loans or earn on our investment securities in excess of the increases we must pay on deposits and our other funding sources. As interest rates change, we expect that we will periodically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experience “gaps” in the interest rate sensitivities of our assets and liabilities, meaning that either our interest-bearing liabilities (usually deposits and borrowings) will be more sensitive to changes in market interest rates than our interest-earning assets (usually loans and investment securities), or vice versa. In either event, if market interest rates should move contrary to our position, this “gap” may work against us, and our results of operations and financial condition may be negatively affected.</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entered into certain hedging transactions, including interest rate swaps, which are designed to lessen elements of our interest rate exposure. If interest rates do not change in the manner anticipated, such transactions may not be effective and our results of operations may be adversely affected.</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High volatility in the yield curve, including sharp movements on and changes in the slope of the curve, can complicate or reduce the efficacy of our balance sheet management practices. Significant changes in the yield curve may reduce our net interest margin and adversely affect our loan and investment portfolios.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yield curve is a reflection of interest rates applicable to short and long-term debt. The yield curve is steep when short-term rates are much lower than long-term rates; it is flat when short-term rates and long-term rates are nearly the same; and it is inverted when short-term rates exceed long-term rates. Historically, the yield curve is usually upward sloping (higher rates for longer terms). However, the yield curve can be relatively flat or inverted (downward sloping), which has happened several times in the past few years. A flat or inverted yield curve, which tends to decrease net interest margin, would adversely impact our lending businesses and investment portfolio. In 2022 and through most of 2023, the Federal Reserve increased rates in response to inflation and,</w:t>
      </w:r>
    </w:p>
    <w:p>
      <w:pPr>
        <w:spacing w:after="0" w:line="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during much of this time, the yield curve was inverted. In September 2024, the yield curve became upward sloping, but remains relatively flat.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Associated From Changes in Economic Conditions and Monetary Policy </w:t>
      </w:r>
      <w:r>
        <w:rPr>
          <w:rFonts w:ascii="Times New Roman" w:cs="Times New Roman" w:eastAsia="Times New Roman" w:hAnsi="Times New Roman"/>
          <w:sz w:val="18"/>
          <w:szCs w:val="18"/>
          <w:color w:val="auto"/>
        </w:rPr>
        <w:t>within this section of the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REPUTATION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Our ability to conduct and grow our businesses, and to obtain and retain clients, is highly dependent upon external perceptions of our business practices and financial stability.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reputation is a key asset for us. Reputation risk, or the risk to our earnings, liquidity and capital from negative public opinion, is inherent in our business. Our reputation is affected principally by our business practices and how those practices are perceived and understood by others. Negative public opinion could adversely affect our ability to keep and attract customers and expose us to adverse legal and regulatory consequences. Negative public opinion could result from our actual or alleged conduct in any number of activities, including lending practices, corporate governance, regulatory compliance, securities compliance, mergers and acquisitions, from sharing or inadequate protection of customer information and from actions taken by government regulators and community organizations in response to that conduct. Negative public opinion could also result from adverse news or publicity that impairs the reputation of the financial services industry generally, such as bank failures, or that relates to parties with whom we have important relationships. Because we conduct most of our business under the “United Community” brand, negative public opinion about one business could affect our 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CREDIT AND COUNTERPARTY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We face the risk that our clients may not repay their loans or other obligations and that the realizable value of collateral may be insufficient to avoid a charge-off.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face risks that other counterparties, in a wide range of situations, may fail to honor their obligations to pay us. In our business some level of credit</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charge-offs is unavoidable and overall levels of credit charge-offs can vary substantially over time. Lending activities are inherently risky. When we lend money or commit to lend, we incur credit risk or the risk of loss if borrowers do not repay their loans or other credit obligations. Credit risk includes, among other things, the quality of our underwriting, the impact of increases in interest rates and changes in the economic conditions in the markets where we operate as well as across the United States.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Rising interest rates, inflation and a weakening economy adversely affect the ability of some borrowers to repay outstanding loans as well as the value of the collateral securing some of these loans. If loan customers with significant loan balances fail to repay their loans, our results of operations, financial condition and capital levels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We are exposed to higher credit and concentration risk from our CRE, commercial and industrial and commercial construction lending.</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credit risk and credit losses can increase if our loans become concentrated to borrowers engaged in the same or similar activities or to borrowers who, as a group, may be uniquely or disproportionately affected by economic or market conditions. As of December 31, 2024, approximately 74% of our loan portfolio consisted of commercial loans, including commercial and industrial, equipment financing, commercial construction and CRE mortgage loans. Our commercial borrowers tend to be small to medium-sized businesses. These types of loans are typically larger than residential real estate loans or consumer loans. During periods of lower economic growth or challenging economic periods, small to medium-sized businesses may be impacted more severely and more quickly than larger businesses. Consequently, the ability of such businesses to repay their loans may deteriorate, and in some cases this deterioration may occur quickly, which would adversely affect our results of operations and financial condition. An increase in non-performing loans could result in a net loss of earnings from these loans, an increase in the provision for loan losses and an increase in loan charge-offs, all of which could have a material adverse effect on our business, financial condition and results of operations.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Deterioration in economic conditions, housing conditions and commodity and real estate values and an increase in unemployment in certain states or locations could result in materially higher credit losses if loans are concentrated in those locations. Our loans are heavily concentrated in our primary markets of Georgia, South Carolina, North Carolina, Tennessee, Florida and Alabama. These markets may have different or weaker performance than other areas of the country and our portfolio may be more negatively impacted than a financial services company with wider geographic diversity.</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the section captioned “Loans” in the “Balance Sheet Review” section of Part II, Item 7. MD&amp;A of this Report for further discussion related to commercial and industrial, construction and CRE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If our allowance for credit losses is not large enough to cover losses in our loan portfolio, our results of operations and financial condition could be materially and adversely affected.</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maintain an ACL, which is a reserve established through a provision for credit losses charged to expense. The ACL reflects our assessment of the current expected losses over the life of the loan portfolio using historical experience, current conditions and reasonable and supportable forecasts. CECL has created more volatility in the level of our ACL because it relies on macroeconomic forecasts. It is possible that CECL may increase the cost of lending in the industry and result in slower loan growth and lower levels of net income. The level of the allowance reflects our continuing evaluation of factors including current economic forecasts, historical loss experience, the volume and types of loans, and specific credit risks. The determination of the appropriate level of the ACL inherently involves subjectivity in our modeling and requires us to make estimates of current credit risks and future trends, all of which may undergo material changes or vary from our historical experience. Deterioration in economic conditions affecting borrowers, changing economic forecasts, new information regarding existing loans, identification of additional problem loans and other factors, both within and outside of our control, may require an increase in the ACL. If we are required to materially increase our level of ACL for any reason, such increase could adversely affect our business, financial condition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r>
        <w:rPr>
          <w:rFonts w:ascii="Times New Roman" w:cs="Times New Roman" w:eastAsia="Times New Roman" w:hAnsi="Times New Roman"/>
          <w:sz w:val="21"/>
          <w:szCs w:val="21"/>
          <w:color w:val="0000FF"/>
        </w:rPr>
        <w: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bank regulatory agencies periodically review our ACL and may require an increase in the provision for credit losses or the recognition of further loan charge-offs, based on judgments different than those of management. Furthermore, if charge-offs in future periods exceed the ACL, we will need additional provisions to increase the ACL. Any increases in the ACL will result in a decrease in net income and, possibly, capital, and may have a material adverse effect on our business, financial condition and results of operations.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See the section captioned “Allowance for Credit Losses” in Part II, Item 7. MD&amp;A of this Report for further discussion related to our process for determining the appropriate level of the ACL.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REGULATORY, LEGISLATIVE AND LEGAL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challenging regulatory environment that restricts our activities.</w:t>
      </w:r>
    </w:p>
    <w:p>
      <w:pPr>
        <w:spacing w:after="0" w:line="2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operate in heavily regulated industries. Our regulatory burdens, including both operating restrictions and ongoing compliance costs, are substantial. We are subject to many banking, deposit, insurance, securities brokerage and underwriting, and consumer lending regulations in addition to the rules applicable to all companies whose securities are publicly traded in the U.S. securities markets. Failure to comply with applicable regulations could result in financial, structural, and operational penalties. In addition, efforts to comply with applicable regulations may increase our costs and/or limit our ability to pursue certain business opportunities. See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in Item 1 of this Report for additional information concerning financial industry regulations. Federal and state regulations significantly limit the types of activities in which we, as a financial institution, may engage. In addition, we are subject to a wide array of other regulations that govern other aspects of how we conduct our business, such as in the areas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employment and intellectual property. Federal and state legislative and regulatory authorities often change these regulations or adopt new ones. Actions could be taken that would further limit the amount of interest or fees we can charge, further restrict our ability to collect loans or realize on collateral, affect the terms or profitability of the products and services we offer, or materially and adversely affect us in other ways. Additionally, we expect the incoming federal administration will implement a regulatory reform agenda that is significantly different than that of the prior administration, affecting the rulemaking, supervision, examination and enforcement priorities of the federal banking agencies.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Failure to maintain certain regulatory capital levels and ratios could result in regulatory actions that would be materially adverse to our shareholders.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U.S. capital standards are discussed under the captions </w:t>
      </w:r>
      <w:r>
        <w:rPr>
          <w:rFonts w:ascii="Times New Roman" w:cs="Times New Roman" w:eastAsia="Times New Roman" w:hAnsi="Times New Roman"/>
          <w:sz w:val="17"/>
          <w:szCs w:val="17"/>
          <w:i w:val="1"/>
          <w:iCs w:val="1"/>
          <w:color w:val="auto"/>
        </w:rPr>
        <w:t>Capital Adequacy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Prompt Corrective Action</w:t>
      </w:r>
      <w:r>
        <w:rPr>
          <w:rFonts w:ascii="Times New Roman" w:cs="Times New Roman" w:eastAsia="Times New Roman" w:hAnsi="Times New Roman"/>
          <w:sz w:val="17"/>
          <w:szCs w:val="17"/>
          <w:color w:val="auto"/>
        </w:rPr>
        <w:t xml:space="preserve"> in Item 1 of this Report and the caption “Capital Resources and Dividends” in Item 7 of this report. Pressures to maintain appropriate capital levels and address business needs in a changing economy could result in certain mandatory and possible additional discretionary actions by regulators that, if undertaken, could be dilutive or otherwise have an adverse effect on our shareholders. Such actions could include: reduction or elimination of dividends; the issuance of common or preferred stock, or securities convertible into stock; or the issuance of any class of stock having rights that are adverse to those of the holders of our existing classes of common or preferred stock. In addition, these requirements could have a negative impact on our ability to lend, grow deposit balances, make acquisitions or make share repurchases or redemptions. Higher capital levels could also lower our return on equity. Additional information concerning these risks and our management of them, all of which is incorporated into this Item 1A by this reference, appears: under the captions </w:t>
      </w:r>
      <w:r>
        <w:rPr>
          <w:rFonts w:ascii="Times New Roman" w:cs="Times New Roman" w:eastAsia="Times New Roman" w:hAnsi="Times New Roman"/>
          <w:sz w:val="17"/>
          <w:szCs w:val="17"/>
          <w:i w:val="1"/>
          <w:iCs w:val="1"/>
          <w:color w:val="auto"/>
        </w:rPr>
        <w:t>Capital Adequacy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Prompt Corrective Action</w:t>
      </w:r>
      <w:r>
        <w:rPr>
          <w:rFonts w:ascii="Times New Roman" w:cs="Times New Roman" w:eastAsia="Times New Roman" w:hAnsi="Times New Roman"/>
          <w:sz w:val="17"/>
          <w:szCs w:val="17"/>
          <w:color w:val="auto"/>
        </w:rPr>
        <w:t xml:space="preserve"> in Item 1 of this report; under the caption “Capital Resources and Dividends” of Part II, Item 7. MD&amp;A; and Note 21 Regulatory Matters, of Part II, Item 8. Financial Statements.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Political dysfunction and volatility within the federal government, both at the regulatory and Congressional level, creates significant potential for major and abrupt shifts in federal policy regarding bank regulation, taxes, and the economy, any of which could have significant and adverse impacts on our business and financial performance.</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Certain of our operations and customers are dependent on the regular operation of the federal or state government or programs they administer. For example, our SBA lending program depends on interaction with the SBA, an independent agency of the federal government. During a lapse in funding, such as has occurred during previous federal government “shutdowns”, the SBA may not be able to engage in such interaction. Similarly, loans we make through USDA lending programs may be delayed or adversely affected by lapses in funding for the USDA.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disputes are an unavoidable part of business, and the outcome of pending or threatened litigation cannot be predicted with any certainty.</w:t>
      </w:r>
    </w:p>
    <w:p>
      <w:pPr>
        <w:spacing w:after="0" w:line="2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face the risk of litigation from clients, associates, vendors, contractual parties, and other persons, either singly or in class actions, and from federal or state regulators. We manage those risks through internal controls, personnel training, insurance, litigation management, our compliance and ethics processes, and other means. However, the commencement, outcome, and magnitude of litigation cannot be predicted or controlled with any certainty. Substantial legal liability or significant regulatory action against us could have material adverse financial effects or cause significant reputational harm to us, which in turn could seriously harm our business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is becoming a major political concern. The laws governing it are new, and are likely to evolve and expand.</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non-regulated, non-banking companies have gathered large amounts of personal details about millions of people, and have the ability to analyze that data and act on that analysis very quickly. This situation has prompted governmental responses. Two prominent responses are the European Union General Data Protection Regulation and the California Consumer Privacy Act. Neither is a banking industry regulation, but both apply to banks in relation to certain clients. Further general regulation to protect data privacy appears likely, and banking industry regulations might be enlarged as well.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610235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t>LIQUIDITY AND FUNDING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Liquidity is essential to our business model and a lack of liquidity, or an increase in the cost of liquidity, could materially impair our ability to fund our operations and jeopardize our results of operation, financial condition and cash flows.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Liquidity represents an institution’s ability to provide funds to satisfy demands from depositors, borrowers and other creditors by either converting assets into cash or accessing new or existing sources of incremental funds. Liquidity risk arises from the possibility that we may be unable to satisfy current or future funding requirements and needs.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Deposit levels may be affected by several factors, including rates paid by competitors, general interest rate levels, returns available to customers on alternative investments, general economic and market conditions, customer concerns about the safety and soundness of our bank, whether real or perceived, or the U.S. banking system in general and other factors. Loan repayments are a relatively stable source of funds but are subject to the borrowers’ ability to repay loans, which can be adversely affected by a number of factors including changes in general economic conditions, adverse trends or events affecting business industry groups or specific businesses, declines in real estate values or markets, business closings or lay-offs, inclement weather, natural disasters and other factors. Furthermore, loans generally are not readily convertible to cash.</w:t>
      </w:r>
    </w:p>
    <w:p>
      <w:pPr>
        <w:spacing w:after="0" w:line="2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anticipate we will continue to rely primarily on deposits, loan repayments, and cash flows from our investment securities to provide liquidity. However, from time to time, secondary sources may be used to augment our primary funding sources. Such secondary sources may include FHLB advances, brokered deposits, repurchase agreements, secured and unsecured federal funds lines of credit from correspondent banks, Federal Reserve borrowings and/or accessing</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equity or debt capital markets. The availability of these secondary funding sources is subject to broad economic conditions, to regulation and to investor assessment of our financial strength and, as such, the cost of funds may fluctuate significantly and/or the availability of such funds may be restricted, thus impacting our net interest income, our immediate liquidity and/or our access to additional liquidity. Additionally, if we fail to remain “well-capitalized” our ability to utilize brokered deposits may be restricted.</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 inability to maintain or raise funds (including the inability to access secondary funding sources) in amounts necessary to meet our liquidity needs would have a substantial negative effect on our liquidity. Our access to funding sources in amounts adequate to finance our activities, or on terms attractive to us, could be impaired by factors that affect us specifically or the financial services industry in general. For example, factors that could detrimentally impact our access to liquidity sources include our financial results, a decrease in the level of our business activity due to a market downturn or adverse regulatory action against us, a reduction in our credit rating, any damage to our reputation, counterparty availability, changes in the activities of our business partners, changes affecting our loan portfolio or other assets, or any other event that could cause a decrease in depositor or investor confidence in our creditworthiness and business. Our access to liquidity could also be impaired by factors that are not specific to us, such as general business conditions, interest rate fluctuations, severe volatility or disruption of the financial markets or negative views and expectations about the prospects for the financial services industry as a whole, or legal, regulatory, accounting, and tax environments governing our funding transactions. In addition, our ability to raise funds is strongly affected by the general state of the U.S. and world economies and financial markets as well as the policies and capabilities of the U.S. government and its agencies, and may become increasingly difficult due to economic and other factors beyond our control. Any such event or failure to manage our liquidity effectively could affect our competitive position, increase our borrowing costs and the interest rates we pay on deposits, limit our access to the capital markets, or cause us to sell investment securities and incur losses from those sales, any or all of which could have a material adverse effect on our results of operations or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downgrade of our credit rating could limit our access to borrowings or increase our borrowing costs.</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Credit ratings are subject to ongoing review by rating agencies, which consider a number of factors, including our financial strength, performance, prospects and operations as well as factors not under our control. Rating agencies could make adjustments to our credit ratings at any time, and there can be no assurance that they will maintain our ratings at current levels or that downgrades will not occur. If rating agencies were to downgrade our credit rating, our borrowing costs would increase or the availability of borrowing sources could be limited. Additionally, a downgrade could occur at a time that is disadvantageous when our need for borrowings is high, further increasing our overall cost of funds. If the downgrade is due to lower earnings performance, elevated credit losses, capital deficiencies or other factors, collateral requirements for secured borrowings could also be elevated which could further limit our borrowing capacity and increase our borrowing costs.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The proportion of our deposit account balances that exceed FDIC insurance limits may expose us to enhanced liquidity risk in times of financial distress.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Uninsured deposits historically have been viewed by the FDIC as less stable than insured deposits. According to statements made by the FDIC staff and the leadership of the federal banking agencies, customers with larger uninsured deposit account balances often are small- and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Moreover, obtaining adequate funding to meet our deposit obligations may be more challenging during periods of elevated prevailing interest rates, such as the present period. Our ability to attract depositors during a time of actual or perceived distress or instability in the marketplace may be limited. Further, interest rates paid for borrowings generally exceed the interest rates paid on deposits. This spread may be exacerbated by higher prevailing interest rates. In addition, because our investment securities lose value when interest rates rise, after-tax proceeds resulting from the sale of such assets may be diminished during periods when interest rates are elevated. Under such circumstances, we may be required to access funding from sources such as the Federal Reserve’s discount window in order to manage our liquidity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ACCOUNTING AND TAX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The preparation of our consolidated financial statements in conformity with U.S. GAAP requires management to make significant assumptions, estimates and judgments that affect the financial statements.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Management must make significant assumptions and estimates and exercise significant judgment in selecting and applying accounting and reporting policies. In some cases, management must select a policy from two or more alternatives, any of which may be reasonable under the circumstances, which may result in reporting materially different results than would have been reported under a different alternative. The estimate that is consistently one of our most critical is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level of the allowance for credit losses. However, other estimates can be highly significant at discrete times or during periods of varying length. Estimates are made at specific points in time. As actual events unfold, estimates are adjusted accordingly. Due to the inherent nature of these estimates, it is possible that, at some time in the future, we may significantly increase the allowance for credit losses and/or sustain credit losses that are significantly higher than the provided allowance, or we may recognize a significant provision for impairment of assets, or we may make some other adjustment that will differ materially from the estimates that we make today. Moreover, in some cases, especially concerning litigation and other contingency matters where critical information is inadequate, often we are unable to make estimates until fairly late in a lengthy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addition, changes in accounting standards or interpretations could negatively affect our reported earnings and financial condition.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accounting standard setters, including the FASB, the SEC and other regulatory agencies, periodically change the financial accounting and reporting standards that govern the preparation of our consolidated financial statements. For additional information, refer to Note 2 to our consolidated financial statements contained in this Report. These changes can be difficult to predict and can materially impact how we record and report our financial condition and results of operations. In some cases, we could be required to apply a new or revised standard retroactively, which would result in the recasting of our prior period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subject to changes in tax laws, regulations and interpretations or challenges to our income tax provision.</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internal controls and procedures may fail or be circumvented.</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Maintaining and adapting our internal controls over financial reporting, disclosure controls and procedures and effective corporate governance policies and procedures (“controls and procedures”) is expensive and requires significant management attention. Moreover, as we continue to grow, our controls and procedures may become more complex and require additional resources to ensure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2" w:name="page33"/>
    <w:bookmarkEnd w:id="32"/>
    <w:p>
      <w:pPr>
        <w:jc w:val="both"/>
        <w:spacing w:after="0" w:line="274" w:lineRule="auto"/>
        <w:rPr>
          <w:sz w:val="20"/>
          <w:szCs w:val="20"/>
          <w:color w:val="auto"/>
        </w:rPr>
      </w:pPr>
      <w:r>
        <w:rPr>
          <w:rFonts w:ascii="Times New Roman" w:cs="Times New Roman" w:eastAsia="Times New Roman" w:hAnsi="Times New Roman"/>
          <w:sz w:val="18"/>
          <w:szCs w:val="18"/>
          <w:color w:val="auto"/>
        </w:rPr>
        <w:t>they remain effective amid dynamic regulatory and other guidance. Failure to implement effective controls and procedures or circumvention of our controls and procedures could harm our business, results of operations and financial condition or cause us to fail to meet our public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GEOGRAPHIC AND CLIMATE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of operating in various jurisdictions.</w:t>
      </w: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success is also influenced heavily by population growth, income levels, loans and deposits and on stability in real estate values in our markets. To a significant degree our banking business is exposed to economic, regulatory, natural disaster, and other risks that primarily impact the southeastern U.S. states where we do most of our traditional banking business. If that region of the U.S. did not grow or was to experience adversity not shared by other parts of the country, for example the risk of hurricanes in our geographic footprint, we would likely experience adversity to a degree not shared by those competitors which have a broader or different regional footprint.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the majority of which is secured by real estate, could reduce our growth rate, affect the ability of our customers to repay their loans and generally affect our financial condition and results of operations. We are less able than larger institutions to spread the risks of unfavorable local economic conditions across a larger number of more diverse economies.</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Natural disasters and weather-related events, exacerbated by climate change, could have a negative impact on our results of operations and financial condition.</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in markets in which natural disasters, including tornadoes, severe storms, fires, floods, hurricanes and earthquakes have occurred. Such natural disasters could significantly affect the local population and economies, the activities of many of our customers and clients, and our business, and could pose physical risks to our properties and those of our customers. Although our banking offices are geographically dispersed throughout portions of the southeastern United States and we maintain insurance coverage for such events, a significant natural disaster in or near one or more of our markets could have a material adverse effect on our financial condition, results of operations or liquidity.</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markets in which we operate also are exposed to the adverse impacts of climate change, as well as uncertainties related to the transition to a low-carbon economy. Climate change presents both immediate and long-term risks to us and our customers and clients, with the risks expected to increase over time. Climate risks can arise from both physical risks (those risks related to the physical effects of climate change) and transition risks (risks related to regulatory, compliance, technological, stakeholder and legal changes from a transition to a low-carbon economy). The physical and transition risks can manifest themselves differently across our risk categories in the short, medium and long terms.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physical risk from climate change could result from increased frequency and/or severity of adverse weather events. For example, adverse weather events could damage or destroy our properties or our counterparties’ properties and other assets and disrupt operations, making it more difficult for counterparties to repay their obligations, whether due to reduced profitability, asset devaluations or otherwise. These events could also increase the volatility in financial markets and increase our counterparty exposures and other financial risks, which may result in lower revenues and higher cost of credit. For example, the cost of property and flood insurance in Florida has increased significantly in recent years, which has increased the cost of doing business. This can hinder profitability of existing customers and creates a higher barrier to entry for new businesses, which could decrease demand for borrowing for potential and existing customers.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Transition risks may arise from changes in regulations or market preferences toward a low-carbon economy, which in turn could have negative impacts on asset values, results of operations or our reputation or that of our customers and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STOCK HOLDING AND GOVERNANCE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The inability of our subsidiaries to declare and pay dividends or other distributions to the Holding Company could adversely affect its liquidity and ability to declare and pay dividends.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our Board has approved the payment of a quarterly cash dividend on our common stock, there can be no assurance whether or when we may pay dividends in the future. Future dividends, if any, will be declared and paid at the Board’s discretion and will depend on a number of factors including, among others, asset quality, earnings performance, liquidity and capital requirements. Our principal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18"/>
          <w:szCs w:val="18"/>
          <w:color w:val="auto"/>
        </w:rPr>
        <w:t>source of funds used to pay cash dividends on our common and preferred stock is dividends that we receive from the Bank. As a South Carolina state-chartered bank, the Bank is subject to limitations on the amount of dividends that it is permitted to pay, as described under “Supervision and Regulation - Payment of Dividends” in Part I, Item 1 of this Report. The federal banking agencies have also issued policy statements which provide that bank holding companies and insured banks should generally only pay dividends out of current earnings. The Federal Reserve may also prevent the payment of a dividend by the Bank if it determines that the payment would be an unsafe and unsound banking practice. The Holding Company and the Bank must also maintain the CET1 capital conservation buffer of 2.5% to avoid becoming subject to restrictions on capital distributions, including dividends. If the Bank is not permitted to pay cash dividends to the Holding Company, it is unlikely that we would be able to continue to pay dividends on our common stock or to pay interest on our indebtedness.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Holders of our indebtedness and of depositary shares related to our Series I preferred stock have rights that are senior to those of our common shareholders.</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At December 31, 2024, we had outstanding senior debentures, subordinated debentures, trust preferred securities and accompanying subordinated debentures and preferred stock totaling $342 million. Payments of the principal and interest on the senior debentures, subordinated debentures and the subordinated debentures accompanying the trust preferred securities and dividends on the preferred stock are senior to payments with respect to shares of our common stock. We also conditionally guarantee payments of the principal and interest on the trust preferred securities. As a result, we must make payments on these debt instruments (including the related trust preferred securities) and preferred shares before any dividends can be paid on our common stock and, in the event of bankruptcy, dissolution or liquidation, the holders of the debt and preferred shares must be satisfied before any distributions can be made on our common stock. We have the right to defer distributions on the subordinated debentures related to the trust preferred securities (and the related guarantee of payments on the trust preferred securities) for up to five years, during which time no dividends may be paid on our common stock. If our financial condition deteriorates or if we do not receive required regulatory approvals, we may be required to defer distributions on the subordinated debentures related to the trust preferred securities (and the related guarantee of payments on the trust preferred securities).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may from time to time issue additional senior or subordinated indebtedness or preferred stock that would have to be repaid before our shareholders would be entitled to receive any of our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can be volatile.</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Stock price volatility may make it more difficult for you to resell your common stock when you want and at prices you find attractive. Our stock price can fluctuate significantly in response to a variety of factors, some of which are unrelated to our financial performance, including, among other things:</w:t>
      </w:r>
    </w:p>
    <w:p>
      <w:pPr>
        <w:spacing w:after="0" w:line="10"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actual or anticipated variations in quarterly results of operations;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recommendations by securities analysts;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news reports relating to trends, concerns and other issues in the financial services industry;</w:t>
      </w:r>
    </w:p>
    <w:p>
      <w:pPr>
        <w:spacing w:after="0" w:line="23"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perceptions in the marketplace regarding us and/or our competitors;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 technology used, or services offered, by competitors;</w:t>
      </w:r>
    </w:p>
    <w:p>
      <w:pPr>
        <w:spacing w:after="0" w:line="2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significant acquisitions or business combinations, strategic partnerships, joint ventures or capital commitments by or involving us or our competitors;</w:t>
      </w:r>
    </w:p>
    <w:p>
      <w:pPr>
        <w:spacing w:after="0" w:line="11" w:lineRule="exact"/>
        <w:rPr>
          <w:rFonts w:ascii="Times New Roman" w:cs="Times New Roman" w:eastAsia="Times New Roman" w:hAnsi="Times New Roman"/>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integrate acquisitions or realize anticipated benefits from acquisitions;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changes in government regulations; or</w:t>
      </w:r>
    </w:p>
    <w:p>
      <w:pPr>
        <w:spacing w:after="0" w:line="2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geopolitical conditions such as acts or threats of war, terrorism, military conflicts, the effects (or perceived effects) of pandemics and trade relations.</w:t>
      </w:r>
    </w:p>
    <w:p>
      <w:pPr>
        <w:spacing w:after="0" w:line="2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General market fluctuations, including real or anticipated changes in the strength of the local economy; industry factors and general economic and political conditions and events, such as economic slowdowns or recessions; interest rate changes, oil price volatility or credit loss trends could also cause our stock price to decrease regardless of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4" w:name="page35"/>
    <w:bookmarkEnd w:id="34"/>
    <w:p>
      <w:pPr>
        <w:spacing w:after="0" w:line="261" w:lineRule="auto"/>
        <w:rPr>
          <w:sz w:val="20"/>
          <w:szCs w:val="20"/>
          <w:color w:val="auto"/>
        </w:rPr>
      </w:pPr>
      <w:r>
        <w:rPr>
          <w:rFonts w:ascii="Times New Roman" w:cs="Times New Roman" w:eastAsia="Times New Roman" w:hAnsi="Times New Roman"/>
          <w:sz w:val="18"/>
          <w:szCs w:val="18"/>
          <w:b w:val="1"/>
          <w:bCs w:val="1"/>
          <w:color w:val="auto"/>
        </w:rPr>
        <w:t>Our corporate organizational documents and the provisions of Georgia law to which we are subject contain certain provisions that could have an anti-takeover effect and may delay, make more difficult or prevent an attempted acquisition of United that you may favor.</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articles of incorporation, as amended (our “articles”), and bylaws, as amended (our “bylaws”), contain various provisions that could have an anti-takeover effect and may delay, discourage or prevent an attempted acquisition or change of control of United. These provisions include:</w:t>
      </w:r>
    </w:p>
    <w:p>
      <w:pPr>
        <w:spacing w:after="0" w:line="221"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allowing the Board to consider the interests of our employees, customers, suppliers and creditors when considering an acquisition proposal;</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that all amendments to the articles and certain portions of the bylaws must be approved by a majority of the outstanding shares of our capital stock entitled to vote;</w:t>
      </w:r>
    </w:p>
    <w:p>
      <w:pPr>
        <w:spacing w:after="0" w:line="1"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3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requiring that any business combination involving United be approved by 75% of the outstanding shares of United’s common stock excluding shares held by stockholders who are deemed to have an interest in the transaction unless the business combination is approved by 75% of United’s directors;</w:t>
      </w:r>
    </w:p>
    <w:p>
      <w:pPr>
        <w:ind w:left="640" w:hanging="316"/>
        <w:spacing w:after="0" w:line="237"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restricting removal of directors except for cause and upon the approval of two-thirds of the outstanding shares of our capital stock entitled to vote;</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that any special meeting of shareholders may be called only by the chairman, chief executive officer, president, chief financial officer, board of directors or the holders of 25% of the outstanding shares of United’s capital stock entitled to vote; and</w:t>
      </w:r>
    </w:p>
    <w:p>
      <w:pPr>
        <w:spacing w:after="0" w:line="1" w:lineRule="exact"/>
        <w:rPr>
          <w:rFonts w:ascii="Times New Roman" w:cs="Times New Roman" w:eastAsia="Times New Roman" w:hAnsi="Times New Roman"/>
          <w:sz w:val="21"/>
          <w:szCs w:val="21"/>
          <w:color w:val="auto"/>
        </w:rPr>
      </w:pPr>
    </w:p>
    <w:p>
      <w:pPr>
        <w:ind w:left="640" w:hanging="316"/>
        <w:spacing w:after="0" w:line="237"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establishing certain advance notice procedures for matters to be considered at an annual meeting of shareholders.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our articles authorize the Board to issue shares of preferred stock without shareholder approval and upon such terms as the Board may determine. The issuance of our preferred stock, while providing desirable flexibility in connection with possible acquisitions, financings and other corporate purposes, could have the effect of making it more difficult for a third party to acquire, or of discouraging a third party from acquiring, a controlling interest in us. In addition, certain provisions of Georgia law, including a provision which restricts certain business combinations between a Georgia corporation and certain affiliated shareholders, may delay, discourage or prevent an attempted acquisition or change in control of United.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Our stockholders may suffer dilution if we raise capital through public or private equity financings to fund our operations, to increase our capital, or to expand.</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raise funds by issuing equity securities or instruments that are convertible into equity securities, the percentage ownership of our current common stockholders will be reduced, the new equity securities may have rights and preferences superior to those of our common or outstanding preferred stock, and additional issuances could be at a sales price which is dilutive to current stockholders. We may issue or be required to issue additional shares of common stock, or securities convertible into, exchangeable for or representing rights to acquire shares of common stock in order to maintain capital at desired or regulatory-required levels. We could also issue additional equity securities directly as consideration in acquisitions of other financial institutions or other investments that we may make that would be dilutive to stockholders in terms of voting power and share-of-ownership, and could be dilutive financially or economically.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OTHER EXTERNAL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Pandemics and outbreaks of communicable diseases, acts of terrorism and other adverse external events may lead to periods of significant volatility in financial and other markets, and could adversely affect our ability to conduct normal business and could harm our clients, businesses, financial condition and results of operations.</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Widespread outbreaks of communicable diseases and acts of terrorism may cause significant disruption in the international and United States economies and financial markets and could have an adverse effect on our business and results of operations. The spread of diseases may result in quarantines, cancellation of events and travel, business and school shutdowns, reduction in business activity and financial transactions, supply chain interruptions, and overall economic and financial market instability. Governments of the states in which we have operations may take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public health issues may result in significant adverse effects for many different types of businesses, including, among others, those in the hospitality (including hotels and lodging) and restaurant industries, and result in layoffs and furloughs of employees nationwide, including the regions in which we operate.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5" w:name="page36"/>
    <w:bookmarkEnd w:id="35"/>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Policy statements and regulations by state and federal bank regulators indicate that financial institutions should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For example, a financial institution’s management is expected to maintain sufficient business continuity planning processes to ensure the rapid recovery, resumption and maintenance of the institution’s operations after a cyberattack involving destructive malware.</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rule issued by federal financial regulatory agencies imposes upon banking organizations and their service providers notification requirements for significant cybersecurity incidents. Specifically, the rule requires banking organizations to notify their primary federal regulator as soon as possible and no later than 36 hours after the discovery of a “computer-security incident” that rises to the level of a “notification incident” as those terms are defined in the rule. Banks’ service providers are required under that rule to notify any affected bank to or on behalf of which the service provider provides services “as soon as possible” after determining that it has experienced an incident that materially disrupts or degrades, or is reasonably likely to materially disrupt or degrade, covered services provided to such bank for as much as four hours.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GLB Act’s Safeguards Rule requires financial institutions to: (i) appoint a qualified individual to oversee and implement their information security programs; (ii) implement additional criteria for information security risk assessments; (iii) implement safeguards identified by assessments, including access controls, data inventory, data disposal, change management, and monitoring, among other things; (iv) implement information system monitoring in the form of either “continuous monitoring” or “periodic penetration testing;” (v) implement additional controls including training for security personnel, periodic assessment of service providers, written incident response plans, and periodic reports from the qualified individual to the board of directors. Additionally, multiple states and Congress are considering laws or regulations which could create new individual privacy rights and impose increased obligations on companies handling personal data.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The regulatory requirements referenced above recognize that, in the ordinary course of business, we rely on electronic communications and information systems to conduct our operations and store sensitive data. “Information systems” means electronic information resources that we own or use, including physical or virtual infrastructure controlled by these information resources, or components thereof, organized for the collection, processing, maintenance, use, sharing, dissemination, or disposition of the information necessary to maintain or support our operations. </w:t>
      </w:r>
      <w:r>
        <w:rPr>
          <w:rFonts w:ascii="Times New Roman" w:cs="Times New Roman" w:eastAsia="Times New Roman" w:hAnsi="Times New Roman"/>
          <w:sz w:val="17"/>
          <w:szCs w:val="17"/>
          <w:color w:val="262626"/>
        </w:rPr>
        <w:t>We face significant and persistent cybersecurity 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62626"/>
        </w:rPr>
        <w:t xml:space="preserve">due to: the breadth of geographies, networks, and systems we must defend against cybersecurity attacks; the complexity, technical sophistication, value, and widespread use of our systems, products and processes; the attractiveness of our systems, products and processes to threat actors (including state-sponsored organizations) seeking to inflict harm on us or our customers; the substantial level of harm that could occur to us and our customers were we to suffer impacts of a material cybersecurity incident; and </w:t>
      </w:r>
      <w:r>
        <w:rPr>
          <w:rFonts w:ascii="Times New Roman" w:cs="Times New Roman" w:eastAsia="Times New Roman" w:hAnsi="Times New Roman"/>
          <w:sz w:val="17"/>
          <w:szCs w:val="17"/>
          <w:color w:val="000000"/>
        </w:rPr>
        <w:t>our use of third-party products, services and components</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000000"/>
        </w:rPr>
        <w:t>Because cybersecurity threats continue to evolve, we have</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000000"/>
        </w:rPr>
        <w:t>been required and may continue to be required to expend significant resources to continue to implement, modify or enhance our protective measures or to investigate and remediate any information security vulnerabilities. Financial expenditures may also be required to meet regulatory changes in the information security and cybersecurity domains. Risks and exposures related to cybersecurity attacks are expected to remain significant for the foreseeable future due to the rapidly evolving nature and sophistication of these threats, as well as the expanding use of internet banking, mobile banking and other technology-based products and services by us and our customers. See “Item 1A. – Risk Factors” in this Report for a further discussion of risks related to cybersecurity.</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underlying controls of our cyber risk management program are based on recognized best practices and standards for cybersecurity and information technology, including frameworks such as the Center for Internet Security’s Critical Security Controls and the Federal Financial Institutions Examination Council’s Cybersecurity Assessment. We periodically engage third-parties to assess our cyber risk program and technical controls. To address cybersecurity threats (defined as potential unauthorized occurrences on or conducted through our information systems that may result in adverse effects on the confidentiality, integrity, or availability of those systems or any information residing in those systems therein), we have implemented an incident and event response program. That program, which is designed to identify, assess, manage, mitigate, and respond to cybersecurity threats, is integrated within our overall enterprise risk management and business continuity frameworks. We employ an in-depth, layered, defensive approach that leverages people,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18"/>
          <w:szCs w:val="18"/>
          <w:color w:val="auto"/>
        </w:rPr>
        <w:t>processes and technology to manage and maintain cybersecurity controls. We also employ a variety of preventative and detective tools to monitor, block, and provide alerts regarding suspicious activity relative to our information systems, as well as to report on any suspected advanced persistent threats. An ongoing enterprise-wide security awareness training program is in place to help protect our data, systems, and networks from malicious attacks and cyber threats. The program is designed to allow for the detection and timely and efficient recovery from cybersecurity incidents (defined as unauthorized occurrences, or a series of related unauthorized occurrences, on or conducted through our information systems that jeopardize the confidentiality, integrity, or availability of those systems or any information residing therein) and events by providing a well-defined, organized approach for handling any potential threats to the confidentiality, integrity, and/or availability of our information systems.</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many instances we rely on third-party providers to facilitate providing products and services to our customers. As a part of our overall cybersecurity risk management framework and, in addition to assessing our own cybersecurity preparedness, </w:t>
      </w:r>
      <w:r>
        <w:rPr>
          <w:rFonts w:ascii="Times New Roman" w:cs="Times New Roman" w:eastAsia="Times New Roman" w:hAnsi="Times New Roman"/>
          <w:sz w:val="18"/>
          <w:szCs w:val="18"/>
          <w:color w:val="262626"/>
        </w:rPr>
        <w:t>we also have a process in place to manage cybersecurity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 xml:space="preserve">associated with third-party service providers. </w:t>
      </w:r>
      <w:r>
        <w:rPr>
          <w:rFonts w:ascii="Times New Roman" w:cs="Times New Roman" w:eastAsia="Times New Roman" w:hAnsi="Times New Roman"/>
          <w:sz w:val="18"/>
          <w:szCs w:val="18"/>
          <w:color w:val="000000"/>
        </w:rPr>
        <w:t>To help mitigate adverse impacts from a cybersecurity incident, we assess third-party vendors as a part of our</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 xml:space="preserve">vendor onboarding and continued due diligence which includes processes to assess information security posture. Depending upon the level of perceived security risk, we </w:t>
      </w:r>
      <w:r>
        <w:rPr>
          <w:rFonts w:ascii="Times New Roman" w:cs="Times New Roman" w:eastAsia="Times New Roman" w:hAnsi="Times New Roman"/>
          <w:sz w:val="18"/>
          <w:szCs w:val="18"/>
          <w:color w:val="262626"/>
        </w:rPr>
        <w:t>may impose security requirements upon a supplier, including: maintaining an effective security management program; abiding by information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62626"/>
        </w:rPr>
        <w:t xml:space="preserve">handling and asset management requirements; and notifying us in the event of any known or suspected cyber incident. We periodically conduct (or engage a third party to conduct) </w:t>
      </w:r>
      <w:r>
        <w:rPr>
          <w:rFonts w:ascii="Times New Roman" w:cs="Times New Roman" w:eastAsia="Times New Roman" w:hAnsi="Times New Roman"/>
          <w:sz w:val="18"/>
          <w:szCs w:val="18"/>
          <w:color w:val="000000"/>
        </w:rPr>
        <w:t>reviews of third-party hosted applications with a specific focus on any sensitive data shared with third parties. The internal business</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owners of hosted applications, depending upon the level of risk, are required to provide a report as to their controls (</w:t>
      </w:r>
      <w:r>
        <w:rPr>
          <w:rFonts w:ascii="Times New Roman" w:cs="Times New Roman" w:eastAsia="Times New Roman" w:hAnsi="Times New Roman"/>
          <w:sz w:val="18"/>
          <w:szCs w:val="18"/>
          <w:i w:val="1"/>
          <w:iCs w:val="1"/>
          <w:color w:val="000000"/>
        </w:rPr>
        <w:t>e.g.,</w:t>
      </w:r>
      <w:r>
        <w:rPr>
          <w:rFonts w:ascii="Times New Roman" w:cs="Times New Roman" w:eastAsia="Times New Roman" w:hAnsi="Times New Roman"/>
          <w:sz w:val="18"/>
          <w:szCs w:val="18"/>
          <w:color w:val="000000"/>
        </w:rPr>
        <w:t xml:space="preserve"> a System and Organization Controls (SOC) 2 or ISO 27001 (Information and Security Certification) or similar report).</w:t>
      </w:r>
    </w:p>
    <w:p>
      <w:pPr>
        <w:spacing w:after="0" w:line="2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information security team in combination with other third-party vendors monitor our information systems for suspicious activity, such as unauthorized intrusions. Suspected or confirmed threats, incidents, or events, however, also may be reported by bank employees, customers, intrusion detection systems, third-party servicers, or government entities. Once reported, cybersecurity incidents are to be brought to the attention of our Information Technology and Security Team. Depending upon the nature and perceived threat level of the reported event, our overall enterprise risk management process would require the involvement of other management and response teams representing other groups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Information Technology, Information Security, Legal/Compliance, Corporate Security, Internal Audit, Human Resources, Finance/Accounting, Corporate Communications, Designated Cyber Coach) within our organization.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Incident and risk event levels each vary from no (or low) risk to crisis (high) risk. The determination of the incident and risk level will dictate the level of personnel that will be responsible for addressing the incident, controlling the effects of the incident and formulating the response to the incident. Responses may include, when appropriate and/or required, notification to regulatory agencies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Federal Reserve, FinCEN, SEC), authorities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F.B.I., Department of Justice), customers, third parties or internal personnel.</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of the management and response teams, within its assigned level, is responsible for providing an orderly response to security incidents and risk events; preventing a serious loss of profits, public confidence, or information assets by providing an immediate, effective, and skillful response to any unexpected event which negatively impacts the confidentiality, integrity, and/or availability of our systems, network, or the non-public personal information of its customers, interruptions to customers’ experiences, or other anomalous situations; taking the steps it deems necessary to contain, mitigate, or resolve a security incident or risk event; and investigating suspected security incidents and risk events in a timely and cost effective manner, reporting findings to management, determining an appropriate course of action, and coordinating communications to customers, regulatory authorities, and law enforcement agencies as necessary.</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a cybersecurity incident, and during its investigation and the formulation of a response, our processes also envision measures designed to contain and/or eradicate the incident and prevent further effects. Once it is determined that the incident has been resolved, we then work to establish appropriate controls (if applicable) to address similar future events and/or prevent another similar event from occurring in the future. We have experienced, and will continue to experience, cyber incidents in the normal course of business. To date, however, we have not experienced any previous cybersecurity incidents that have materially affected or are reasonably likely to materially affect our business strategy, results of operations, or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62626"/>
        </w:rPr>
        <w:t xml:space="preserve">Our cybersecurity program is headed by our Chief Information Security Officer (CISO), who reports to our Chief Information Officer. Our CISO is informed about and monitors prevention, detection, mitigation and remediation efforts through regular communication and reporting from professionals in the information security team, several of whom have extensive records of service in financial institutions and cybersecurity. Our CISO has over 20 years of experience in </w:t>
      </w:r>
      <w:r>
        <w:rPr>
          <w:rFonts w:ascii="Times New Roman" w:cs="Times New Roman" w:eastAsia="Times New Roman" w:hAnsi="Times New Roman"/>
          <w:sz w:val="18"/>
          <w:szCs w:val="18"/>
          <w:color w:val="000000"/>
        </w:rPr>
        <w:t>IT operations/security roles in the financial services industry and</w:t>
      </w:r>
      <w:r>
        <w:rPr>
          <w:rFonts w:ascii="Times New Roman" w:cs="Times New Roman" w:eastAsia="Times New Roman" w:hAnsi="Times New Roman"/>
          <w:sz w:val="18"/>
          <w:szCs w:val="18"/>
          <w:color w:val="262626"/>
        </w:rPr>
        <w:t xml:space="preserve"> holds a cybersecurity certification as a Certified Information Systems Security Professional (“CISSP”). Other members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18"/>
          <w:szCs w:val="18"/>
          <w:color w:val="262626"/>
        </w:rPr>
        <w:t>his team also hold CISSP certifications as well as CompTIA Security+, SANS Institute Cloud Security Essentials, SANS Institute GIAC Certified Enterprise Defender, SANS Institute Security Awareness Professional, Certified Information Security Manager, GIAC Certified Incident Handler, Certified in Risk and Information Systems Control, and GIAC Cyber Threat Intelligence certifications.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its oversight responsibilities over the Company risks and controls, the Board ultimately is responsible for overseeing our cyber and information security risks. The Board has delegated this responsibility to its Risk Committee. At each quarterly meeting of the Risk Committee, our CISO reports to the Risk Committee regarding security testing, training, audits, key cybersecurity metrics, and our efforts to identify, prepare for, prevent, and respond to critical threats. The Risk Committee receives regular updates on the status of our information security program, penetration testing results, infrastructure assessments, threat environment, security operations, operational events, vendor and supply chain security, and application/data security. On an annual basis, the CISO presents a cybersecurity program update to the Risk Committee.</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Holding Company’s principal offices and the Bank’s headquarters, which we own, are located at 200 East Camperdown Way, Greenville, South Carolina. As of December 31, 2024, we operated 199 banking offices located throughout Georgia, South Carolina, North Carolina, Tennessee, Florida and Alabama. We do not own or lease any single physical property that we consider to be materially important to our financial condition or results from operations. Our retail branches, ATMs, ITMs, loan and mortgage production offices and administrative offices remain important to our ability to deliver financial services to a large portion of our clients. For many years, branch usage by clients has slowly declined, and for many years we have slowly consolidated branch locations in response to changing utilization patterns. We expect that long-term trend to continue. We consider our properties to be suitable and adequate for operating our banking business. Notes 7 and 13 to our consolidated financial statements include additional information regarding investments in premises and equipment and leased properties.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ordinary course of operations, we are parties to various legal proceedings and periodic regulatory examinations and investigations. There are no material pending legal proceedings to which we or any of our properties are subject.</w:t>
      </w:r>
    </w:p>
    <w:p>
      <w:pPr>
        <w:spacing w:after="0" w:line="1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left="840" w:right="160" w:hanging="1271"/>
        <w:spacing w:after="0" w:line="27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UNITED’S COMMON EQUITY, RELATED STOCKHOLDER MATTERS AND ISSUER PURCHASES OF EQUITY SECURITIES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Effective August 6, 2024, United transferred the listing of its securities to the NYSE. Our common shares now trade under the symbol “UCB”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Series I depositary shares trade under the symbol UCB PRI. Prior to listing on the NYSE, United’s securities traded on the Nasdaq Global Select Market. At January 31, 2025, there were 9,499 record shareholders of United’s common stock.</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Our Board declared cash dividends totaling $0.94 and $0.92 per share on our common stock in 2024 and 2023, respectively. We currently intend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pay comparable quarterly cash dividends on our common stock, subject to approval by our Board, although we may elect not to pay dividends or to change the amount of such dividends. The payment of dividends is a decision of our Board based upon then-existing circumstances, including our rate of growth, profitability, financial condition, existing and anticipated capital requirements, the amount of funds legally available for the payment of cash dividends, regulatory constraints and such other factors as the Board determines relevant.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 information regarding dividends is included in this Report in Note 1 to our consolidated financial statements in Part II Item 8 Financial Statements and Supplementary Data, under the heading of “Supervision and Regulation” in Part I Item 1. Business and under the heading “Capital Resources and Dividends” in Part II, Item 7. MD&amp;A.</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Securities Authorized for Issuance under Equity Compensation Plans. </w:t>
      </w:r>
      <w:r>
        <w:rPr>
          <w:rFonts w:ascii="Times New Roman" w:cs="Times New Roman" w:eastAsia="Times New Roman" w:hAnsi="Times New Roman"/>
          <w:sz w:val="18"/>
          <w:szCs w:val="18"/>
          <w:color w:val="auto"/>
        </w:rPr>
        <w:t>See Part III, Item 12 for information relating to compensation plans under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United’s equity securities are authorized for issuance.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8" w:name="page39"/>
    <w:bookmarkEnd w:id="38"/>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Share Repurchases</w:t>
      </w:r>
      <w:r>
        <w:rPr>
          <w:rFonts w:ascii="Times New Roman" w:cs="Times New Roman" w:eastAsia="Times New Roman" w:hAnsi="Times New Roman"/>
          <w:sz w:val="18"/>
          <w:szCs w:val="18"/>
          <w:color w:val="auto"/>
        </w:rPr>
        <w:t>. We made no common stock or preferred stock repurchases during the quarter ended December 31, 2024 by or on behalf of United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“affiliated purchaser,” as defined by Rule 10b-18(a)(3) of the Exchange Act.</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18"/>
          <w:szCs w:val="18"/>
          <w:color w:val="auto"/>
        </w:rPr>
        <w:t>Set forth below is a line graph comparing the yearly percentage change in the cumulative total shareholder return on our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the cumulative total return on the Nasdaq Stock Market (U.S. Companies) Index, the NYSE Index and the KBW Nasdaq Regional Banking Index for the five-year period commencing December 31, 2019 and ending on December 31, 2024. This year, we added the NYSE Index to the performance graph below because we transferred the listing of our securities from the Nasdaq Global Select Market to the NYSE during the year. We intend to omit the Nasdaq Stock Market (U.S.) Index from the performance graph in future years. </w:t>
      </w:r>
      <w:r>
        <w:rPr>
          <w:rFonts w:ascii="Times New Roman" w:cs="Times New Roman" w:eastAsia="Times New Roman" w:hAnsi="Times New Roman"/>
          <w:sz w:val="16"/>
          <w:szCs w:val="16"/>
          <w:b w:val="1"/>
          <w:bCs w:val="1"/>
          <w:i w:val="1"/>
          <w:iCs w:val="1"/>
          <w:color w:val="auto"/>
        </w:rPr>
        <w:t>The following performance graph does not constitute soliciting material and should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b w:val="1"/>
          <w:bCs w:val="1"/>
          <w:i w:val="1"/>
          <w:iCs w:val="1"/>
          <w:color w:val="auto"/>
        </w:rPr>
        <w:t>be deemed filed or incorporated by reference into any other Company filing under the Securities Act of 1933 or the Securities Exchange Act of 1934, except to the extent that we specifically incorporate the performance graphs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7620</wp:posOffset>
            </wp:positionV>
            <wp:extent cx="5452110" cy="4038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2110" cy="403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Cumulative Total Return*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44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Community Banks, Inc.</w:t>
            </w: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NYSE Index</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Stock Market (U.S.) Index</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8"/>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KBW Nasdaq Regional Banking Index</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291" w:lineRule="exact"/>
        <w:rPr>
          <w:sz w:val="20"/>
          <w:szCs w:val="20"/>
          <w:color w:val="auto"/>
        </w:rPr>
      </w:pPr>
    </w:p>
    <w:p>
      <w:pPr>
        <w:ind w:left="160" w:hanging="154"/>
        <w:spacing w:after="0" w:line="274" w:lineRule="auto"/>
        <w:tabs>
          <w:tab w:leader="none" w:pos="3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invested on December 31, 2019 in our common stock and above noted indexes. Total return includes reinvestment of dividends at the closing stock price of the common stock on the dividend payment date and the closing values of stock and indexes as of December 31 of each year.</w:t>
      </w:r>
    </w:p>
    <w:p>
      <w:pPr>
        <w:spacing w:after="0" w:line="1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consolidated financial statements and accompanying notes. The discussion of the components of our results of operations focuses on financial trends and events occurring between 2023 and 2024.</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additional information related to financial trends between 2023 and 2022, please see the information under the caption “Management’s Discussion and Analysis of Financial Condition and Results of Operations” in our Annual Report on Form 10-K for the fiscal year ended December 31, 2023, filed with the SEC on February 23, 2024, which information under that caption is incorporated herein by this reference. Historical results of operations are not necessarily predictive of future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core business operations. Operating performance measures include “noninterest income - operating”, “noninterest expenses - operating”, “net income – operating,” “diluted income per common share – operating,” “return on common equity – operating,” “return on tangible common equity – operating,”, “tangible book value per common share”, “return on assets – operating”, “efficiency ratio – operating” and “tangible common equity to tangible assets.” Management has developed internal processes and procedures to accurately capture and account for merger-related and other charges and those charges are reviewed with the Audit Committee of our Board each quarter. Management uses these non-GAAP measures because it believes they may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MD&amp;A.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which as of December 31, 2024, was comprised of 199 banking offices throughout Georgia, South Carolina, North Carolina, Tennessee, Florida and Alabama. Our equipment finance and SBA/USDA lending businesses operate throughout the United States. At December 31, 2024, we had consolidated total assets of $27.7 billion and 2,979 full-time equivalent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Mergers and Acquisitions</w:t>
      </w:r>
    </w:p>
    <w:p>
      <w:pPr>
        <w:spacing w:after="0" w:line="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past two years, we have continued to expand through acquisitions, which are described below. The acquired entities’ results are included in our consolidated results beginning on their respective acquisition dates. We continue to evaluate potential transactions as opportunities arise.</w:t>
      </w:r>
    </w:p>
    <w:p>
      <w:pPr>
        <w:spacing w:after="0" w:line="78" w:lineRule="exact"/>
        <w:rPr>
          <w:sz w:val="20"/>
          <w:szCs w:val="20"/>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December 3, 2024, we announced an agreement to acquire ANB, a bank headquartered in Oakland Park, Florida, located in the Fort Lauderdale metropolitan area. As of December 31, 2024, ANB had total assets of $423 million, loans of $312 million and total deposits of $360 million. The acquisition of ANB is expected to close in the second quarter of 2025, subject to regulatory and ANB shareholder approval.</w:t>
      </w:r>
    </w:p>
    <w:p>
      <w:pPr>
        <w:spacing w:after="0" w:line="71" w:lineRule="exact"/>
        <w:rPr>
          <w:rFonts w:ascii="Times New Roman" w:cs="Times New Roman" w:eastAsia="Times New Roman" w:hAnsi="Times New Roman"/>
          <w:sz w:val="18"/>
          <w:szCs w:val="18"/>
          <w:i w:val="1"/>
          <w:iCs w:val="1"/>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2023, we completed the acquisition of First Miami, which operated three offices in the Miami metropolitan area. We acquired $1.02 billion of assets, including goodwill, and assumed $930 million of liabilities in the acquisition, which included $577 million in loans and $865 million in deposits. In addition to traditional banking products, First Miami offered private banking, trust and wealth management services.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2023, we completed the acquisition of Progress, which operated 13 offices primarily located in Alabama and the Florida Panhandle. We acquired $1.90 billion of assets, including goodwill, and assumed $1.60 billion of liabilities in the acquisition, which included $1.44 billion in loans and $1.33 billion in deposits.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Other Activities</w:t>
      </w:r>
    </w:p>
    <w:p>
      <w:pPr>
        <w:spacing w:after="0" w:line="111"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2024, we officially moved our holding company headquarters from Blairsville, Georgia to Greenville, South Carolina.</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2024, the Bank changed its primary federal regulator from the FDIC to the Federal Reserve.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6, 2024, we transferred the listing of our securities from the Nasdaq Global Select Market to the NYSE.</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we completed the sale of FinTrust for total consideration of $16.2 million comprised of cash and contingent consideration to be received over the next five years. We recognized a loss on the sale of $5.39 million, which is included in noninterest expense for the year ended December 31, 2024.</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of 2024, we sold $303 million of manufactured housing loans, which was substantially all of that portfolio. As a result of the sale, we recorded a a pre-tax loss on sale of the loans of $27.2 million, reflected in noninterest income, and we also recorded a charge-off of $11.0 million. Our manufactured housing loan portfolio came to us through the 2022 Reliant acquisition, and we discontinued originating those loans in the third quarter of 2023. Selling the portfolio reduced risk and allowed us to redirect our management and capital resources to activities that better align with our strategic objectives.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reported net income of $252 million in 2024 compared to $188 million in 2023. The following provides highlights of our financial results for 2024:</w:t>
      </w:r>
    </w:p>
    <w:p>
      <w:pPr>
        <w:spacing w:after="0" w:line="111" w:lineRule="exact"/>
        <w:rPr>
          <w:sz w:val="20"/>
          <w:szCs w:val="20"/>
          <w:color w:val="auto"/>
        </w:rPr>
      </w:pPr>
    </w:p>
    <w:p>
      <w:pPr>
        <w:jc w:val="both"/>
        <w:ind w:left="640" w:hanging="316"/>
        <w:spacing w:after="0" w:line="271" w:lineRule="auto"/>
        <w:tabs>
          <w:tab w:leader="none" w:pos="635" w:val="left"/>
        </w:tabs>
        <w:numPr>
          <w:ilvl w:val="0"/>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Net interest revenue increased $9.60 million, which reflects the impact of higher interest rates on investment securities and loans, organic loan growth and reduction in interest expense on borrowed funds as we significantly reduced our utilization of wholesale funding during 2024 compared to 2023. Net interest revenue for 2024 also includes an additional six months of net interest revenue from the loans and deposits acquired from First Miami, which closed on July 1, 2023. During 2024, our net interest margin decreased six basis points to 3.29%, which reflects steeper increases in deposit rates compared to that of loans. See section titled Net Interest Revenue and Tables 2 and 3 of MD&amp;A for further detail on net interest revenue.</w:t>
      </w:r>
    </w:p>
    <w:p>
      <w:pPr>
        <w:spacing w:after="0" w:line="9" w:lineRule="exact"/>
        <w:rPr>
          <w:rFonts w:ascii="Times New Roman" w:cs="Times New Roman" w:eastAsia="Times New Roman" w:hAnsi="Times New Roman"/>
          <w:sz w:val="17"/>
          <w:szCs w:val="17"/>
          <w:b w:val="1"/>
          <w:bCs w:val="1"/>
          <w:i w:val="1"/>
          <w:iCs w:val="1"/>
          <w:color w:val="auto"/>
        </w:rPr>
      </w:pPr>
    </w:p>
    <w:p>
      <w:pPr>
        <w:jc w:val="both"/>
        <w:ind w:left="640" w:hanging="316"/>
        <w:spacing w:after="0" w:line="251" w:lineRule="auto"/>
        <w:tabs>
          <w:tab w:leader="none" w:pos="63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recorded a provision for credit losses of $51.0 million compared to $89.4 million for 2023. The decrease in provision for credit losses for 2024 is indicative of slower loan growth, a reduction in unfunded commitments, lower net charge-offs and lack of acquisition-related provision expense, partly offset by a special provision of $9.89 million related to expected losses in western North Carolina, which was severely affected by Hurricane Helene. Provision expense for 2023 included $14.5 million related to the establishment of the ACL for the acquired First Miami and Progress non-PCD loans and unfunded commitments and one commercial loan relationship charge-off of $19.0 million. See Table 4 of MD&amp;A for further information regarding the provision for loan losses.</w:t>
      </w:r>
    </w:p>
    <w:p>
      <w:pPr>
        <w:spacing w:after="0" w:line="26"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9" w:lineRule="auto"/>
        <w:tabs>
          <w:tab w:leader="none" w:pos="63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Noninterest income for 2024 increased $49.3 million, or 65%, compared to 2023, which included a $51.7 million AFS bond portfolio restructuring loss in 2023. During 2024, we had an increase in mortgage gains and related fees of $8.35 million, which was primarily driven by an increase in mortgage loan gains of $6.42 million and a $2.52 million increase in mortgage servicing income, which includes fair value adjustments to our mortgage servicing asset. We also recognized $7.82 million in other investment income, compared to negligible net losses in 2023. We had an increase in other noninterest income of $7.78 million in 2024 due to several factors, primarily a $2.40 million lease termination gain on one of our corporate office locations and a $2.27 million gain on extinguishment on one of our subordinated debentures. These increases were offset by net losses on sales of other loans of $21.3 million in 2024, due to the manufactured housing loan sale loss, compared to gains of $9.15 million in 2023. See Tables 5 through 7 of MD&amp;A for further detail on noninterest income.</w:t>
      </w:r>
    </w:p>
    <w:p>
      <w:pPr>
        <w:spacing w:after="0" w:line="31"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0" w:lineRule="auto"/>
        <w:tabs>
          <w:tab w:leader="none" w:pos="63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Noninterest expenses increased $6.89 million, or 1%, compared to 2023. This reflected a $21.6 million increase in salaries and employee benefits, primarily resulting from increases in salaries, higher group medical insurance costs and the inclusion of First Miami employees for the full year in 2024. FDIC assessment and other regulatory charges decreased $6.47 million primarily as a result of 2023’s accrued expense related to the estimated special assessment implemented by the FDIC. Merger-related and other charges decreased $18.6 million compared to 2023, due to less merger activity in 2024 compared to 2023, which included merger costs related to the acquisitions (and related systems conversions) of First Miami and Progress. The increase in other noninterest expense of $5.05 million is mostly driven by the loss on the FinTrust sale. See Table 8 of MD&amp;A for further detail on noninterest expense.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GAAP and conform to general practices within the banking industry. Application of these principles requires management to make estimates, assumptions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Estimates, assumptions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policies inherently have a greater reliance on the use of estimates, assumptions or judgments and as such, have a greater possibility of producing results that could be materially different than originally reported. We have identified the determination of our ACL and fair value measurements to be the accounting areas that require the most subjective or complex judgments, estimates and assumptions, and where changes in those judgments, estimates and assumptions (based on new or additional information, changes in the economic climate and/or market interest rates, etc.) could have a significant effect on our financial statements. Therefore, we consider these policies, discussed below, to be critical accounting estimates and discuss them directly with the Audit Committee of our Board.</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most significant accounting policies are presented in Note 1 to the accompanying consolidated financial statements. These policies, along with the disclosures presented in the other notes to the consolidated financial statements and in this MD&amp;A, provide information on how significant assets and liabilities are valued in the financial statements and how those values are determined.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ACL represents management’s current estimate of credit losses for the remaining estimated life of financial instruments, with particular applicability on our balance sheet to loans and unfunded loan commitments. Estimating the amount of the ACL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many factors affecting the ACL; some are quantitative while others require qualitative judgment. For example, our ACL model is particularly sensitive to our recent charge-off experience and changes in the forecasted unemployment rate. Although management believes its process for determining the allowance adequately considers all the potential factors that could potentially result in credit losses, the process includes subjective elements and is susceptible to significant change. To the extent actual outcomes are worse than management estimates, additional provision for credit losses could be required that could adversely affect our earnings or financial position in future periods.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One of the most significant estimates and judgments influencing the results of the ACL calculation is the macroeconomic forecast. Changes in the economic forecast could significantly affect estimated expected credit losses and lead to materially different amounts from one period to the next. At December 31, 2024, we used a baseline economic forecast in our ACL calculation that was generally consistent with economists’ consensus. To provide additional context regarding the sensitivity of the ACL, we simulated our ACL process while considering a more pessimistic forecast of expected economic outcomes. In this downside scenario, the unemployment rate is expected to peak at 7.1% in 2025 compared to 4.1% in the baseline scenario. The change in real GDP, on an annual basis, is 0.4% in 2025 in the downside scenario compared to 2.2% in the baseline scenario. Excluding consideration of qualitative adjustments, this sensitivity analysis would result in a hypothetical increase to our ACL of $39.7 million at December 31, 2024. This scenario does not reflect our current expectations at December 31, 2024, nor does it capture all the potential unknowns that could arise in the forecast period. It is meant for informational purposes as an approximation of a possible outcome under hypothetical downside conditions.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2" w:name="page43"/>
    <w:bookmarkEnd w:id="42"/>
    <w:p>
      <w:pPr>
        <w:jc w:val="both"/>
        <w:spacing w:after="0" w:line="274" w:lineRule="auto"/>
        <w:rPr>
          <w:sz w:val="20"/>
          <w:szCs w:val="20"/>
          <w:color w:val="auto"/>
        </w:rPr>
      </w:pPr>
      <w:r>
        <w:rPr>
          <w:rFonts w:ascii="Times New Roman" w:cs="Times New Roman" w:eastAsia="Times New Roman" w:hAnsi="Times New Roman"/>
          <w:sz w:val="18"/>
          <w:szCs w:val="18"/>
          <w:color w:val="auto"/>
        </w:rPr>
        <w:t>Additional information on the loan portfolio and ACL can be found in the sections of MD&amp;A titled “Asset Quality and Risk Elements” and “Nonperforming Assets.” Note 1 to the consolidated financial statements includes additional information on accounting policies related to the ACL.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business combinations, we measure and record assets acquired and liabilities assumed at fair value at the date of acquisition, including identifiable intangible assets. Note 1 to the consolidated financial statements includes additional information on accounting policies and estimates related to acquisition activities.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2024, the percentage of our total assets measured at fair value on a recurring basis was 17%, the majority of which are based on either quoted market prices or market prices for similar instruments. See Note 14 “Fair Value Measurements” in the consolidated financial statements herein for additional disclosures regarding the fair value of our assets and liabilities, including a description of the fair value hierarchy.</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fair values for AFS and HTM securities are generally based upon quoted market prices or observable market prices for similar instruments. Management utilizes a third-party pricing service to assist with determining the fair value of our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have elected the fair value option for the majority of our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as such is categorized as level 2.</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derivatives primarily to manage our interest rate risk or to help our customers manage their interest rate risk. The fair values of derivative financial instruments are determined based on quoted market prices, dealer quotes and internal pricing models that are primarily sensitive to market observable data. However, we do evaluate the level of these observable inputs and there are some instances where we have determined that the inputs are not directly observable.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 a servicing rights asset upon the sale of residential mortgage loans and SBA/USDA loans sold with servicing retained. Servicing right assets are carried at fair value. Given the nature of these SBA/USDA and residential mortgage servicing assets, the key valuation inputs are unobservable and we disclose them as a level 3 item.</w:t>
      </w:r>
    </w:p>
    <w:p>
      <w:pPr>
        <w:spacing w:after="0" w:line="20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As part of the FinTrust sale, we recognized a receivable for contingent consideration. The contingent consideration receivable is measured at fair value using a probability-weighted discounted cash flow approach which includes significant unobservable inputs classified within Level 3 of the fair value hierarchy.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2024, we had level 3 assets, those valued using unobservable inputs, of $65.3 million. The total level 3 assets consisted of $39.3 million in residential mortgage servicing rights, $11.7 million in derivative assets, $7.47 million in contingent consideration receivables, $4.70 million in servicing rights for SBA/USDA loans and $2.23 million of AFS debt securities. We also had level 3 derivative liabilities totaling $12.3 million.</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time to time, we may record assets at fair value on a nonrecurring basis, usually as a result of the write-downs of individual assets due to impairment. In particular, nonaccrual loans may be carried at the fair value of collateral if repayment is expected solely from the collateral. Although management believes its processes for determining the fair value of collateral-dependent loans are appropriate, the processes require management judgment and assumptions and the value of such assets at the time they are revalued or divested may be significantly different from management’s determination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 Selected Financial Information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SUMMARY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1,377,741</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1,237,107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813,155</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550,373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419,342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60,798</w:t>
            </w:r>
          </w:p>
        </w:tc>
      </w:tr>
      <w:tr>
        <w:trPr>
          <w:trHeight w:val="20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interest revenue</w:t>
            </w:r>
          </w:p>
        </w:tc>
        <w:tc>
          <w:tcPr>
            <w:tcW w:w="320" w:type="dxa"/>
            <w:vAlign w:val="bottom"/>
          </w:tcPr>
          <w:p>
            <w:pPr>
              <w:spacing w:after="0"/>
              <w:rPr>
                <w:sz w:val="17"/>
                <w:szCs w:val="17"/>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827,368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817,765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752,357</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63,913</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124,756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75,483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137,707</w:t>
            </w:r>
          </w:p>
        </w:tc>
      </w:tr>
      <w:tr>
        <w:trPr>
          <w:trHeight w:val="207"/>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901,173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803,818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826,151</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578,167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571,273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470,149</w:t>
            </w:r>
          </w:p>
        </w:tc>
      </w:tr>
      <w:tr>
        <w:trPr>
          <w:trHeight w:val="207"/>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323,006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232,545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356,002</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70,609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45,001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78,530</w:t>
            </w:r>
          </w:p>
        </w:tc>
      </w:tr>
      <w:tr>
        <w:trPr>
          <w:trHeight w:val="207"/>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187,544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277,472</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items</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88,894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19,375</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of non-operating items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(4,246)</w:t>
            </w:r>
          </w:p>
        </w:tc>
      </w:tr>
      <w:tr>
        <w:trPr>
          <w:trHeight w:val="179"/>
        </w:trPr>
        <w:tc>
          <w:tcPr>
            <w:tcW w:w="6980" w:type="dxa"/>
            <w:vAlign w:val="bottom"/>
          </w:tcPr>
          <w:p>
            <w:pPr>
              <w:ind w:left="220"/>
              <w:spacing w:after="0" w:line="179" w:lineRule="exact"/>
              <w:rPr>
                <w:sz w:val="20"/>
                <w:szCs w:val="20"/>
                <w:color w:val="auto"/>
              </w:rPr>
            </w:pPr>
            <w:r>
              <w:rPr>
                <w:rFonts w:ascii="Times New Roman" w:cs="Times New Roman" w:eastAsia="Times New Roman" w:hAnsi="Times New Roman"/>
                <w:sz w:val="16"/>
                <w:szCs w:val="16"/>
                <w:b w:val="1"/>
                <w:bCs w:val="1"/>
                <w:color w:val="auto"/>
              </w:rPr>
              <w:t xml:space="preserve">Net income - operating </w:t>
            </w:r>
            <w:r>
              <w:rPr>
                <w:rFonts w:ascii="Times New Roman" w:cs="Times New Roman" w:eastAsia="Times New Roman" w:hAnsi="Times New Roman"/>
                <w:sz w:val="20"/>
                <w:szCs w:val="20"/>
                <w:b w:val="1"/>
                <w:bCs w:val="1"/>
                <w:color w:val="auto"/>
                <w:vertAlign w:val="superscript"/>
              </w:rPr>
              <w:t>(1)*</w:t>
            </w:r>
          </w:p>
        </w:tc>
        <w:tc>
          <w:tcPr>
            <w:tcW w:w="320" w:type="dxa"/>
            <w:vAlign w:val="bottom"/>
            <w:tcBorders>
              <w:bottom w:val="single" w:sz="8" w:color="auto"/>
            </w:tcBorders>
          </w:tcPr>
          <w:p>
            <w:pPr>
              <w:jc w:val="right"/>
              <w:ind w:right="141"/>
              <w:spacing w:after="0" w:line="17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20"/>
              <w:spacing w:after="0" w:line="179" w:lineRule="exact"/>
              <w:rPr>
                <w:sz w:val="20"/>
                <w:szCs w:val="20"/>
                <w:color w:val="auto"/>
              </w:rPr>
            </w:pPr>
            <w:r>
              <w:rPr>
                <w:rFonts w:ascii="Times New Roman" w:cs="Times New Roman" w:eastAsia="Times New Roman" w:hAnsi="Times New Roman"/>
                <w:sz w:val="16"/>
                <w:szCs w:val="16"/>
                <w:b w:val="1"/>
                <w:bCs w:val="1"/>
                <w:color w:val="auto"/>
              </w:rPr>
              <w:t>283,963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7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20"/>
              <w:spacing w:after="0" w:line="179" w:lineRule="exact"/>
              <w:rPr>
                <w:sz w:val="20"/>
                <w:szCs w:val="20"/>
                <w:color w:val="auto"/>
              </w:rPr>
            </w:pPr>
            <w:r>
              <w:rPr>
                <w:rFonts w:ascii="Times New Roman" w:cs="Times New Roman" w:eastAsia="Times New Roman" w:hAnsi="Times New Roman"/>
                <w:sz w:val="16"/>
                <w:szCs w:val="16"/>
                <w:b w:val="1"/>
                <w:bCs w:val="1"/>
                <w:color w:val="auto"/>
              </w:rPr>
              <w:t>254,949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20"/>
              <w:spacing w:after="0" w:line="179" w:lineRule="exact"/>
              <w:rPr>
                <w:sz w:val="20"/>
                <w:szCs w:val="20"/>
                <w:color w:val="auto"/>
              </w:rPr>
            </w:pPr>
            <w:r>
              <w:rPr>
                <w:rFonts w:ascii="Times New Roman" w:cs="Times New Roman" w:eastAsia="Times New Roman" w:hAnsi="Times New Roman"/>
                <w:sz w:val="16"/>
                <w:szCs w:val="16"/>
                <w:b w:val="1"/>
                <w:bCs w:val="1"/>
                <w:color w:val="auto"/>
              </w:rPr>
              <w:t>292,601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8"/>
        </w:trPr>
        <w:tc>
          <w:tcPr>
            <w:tcW w:w="69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PERFORMANCE MEASURES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1"/>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Per common share: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 GAAP</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Diluted net income - operating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r>
      <w:tr>
        <w:trPr>
          <w:trHeight w:val="212"/>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cash dividends declared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0.86</w:t>
            </w: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Book value</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24.38</w:t>
            </w:r>
          </w:p>
        </w:tc>
      </w:tr>
      <w:tr>
        <w:trPr>
          <w:trHeight w:val="214"/>
        </w:trPr>
        <w:tc>
          <w:tcPr>
            <w:tcW w:w="698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Tangible book value </w:t>
            </w:r>
            <w:r>
              <w:rPr>
                <w:rFonts w:ascii="Times New Roman" w:cs="Times New Roman" w:eastAsia="Times New Roman" w:hAnsi="Times New Roman"/>
                <w:sz w:val="20"/>
                <w:szCs w:val="20"/>
                <w:color w:val="auto"/>
                <w:vertAlign w:val="superscript"/>
              </w:rPr>
              <w:t>(3)*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17.13</w:t>
            </w:r>
          </w:p>
        </w:tc>
      </w:tr>
      <w:tr>
        <w:trPr>
          <w:trHeight w:val="211"/>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Key Performance Ratios: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698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Return on common equity - GAAP </w:t>
            </w:r>
            <w:r>
              <w:rPr>
                <w:rFonts w:ascii="Times New Roman" w:cs="Times New Roman" w:eastAsia="Times New Roman" w:hAnsi="Times New Roman"/>
                <w:sz w:val="20"/>
                <w:szCs w:val="20"/>
                <w:color w:val="auto"/>
                <w:vertAlign w:val="superscript"/>
              </w:rPr>
              <w:t>(2)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9.54 %</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Return on common equity - operating </w:t>
            </w:r>
            <w:r>
              <w:rPr>
                <w:rFonts w:ascii="Times New Roman" w:cs="Times New Roman" w:eastAsia="Times New Roman" w:hAnsi="Times New Roman"/>
                <w:sz w:val="20"/>
                <w:szCs w:val="20"/>
                <w:color w:val="auto"/>
                <w:vertAlign w:val="superscript"/>
              </w:rPr>
              <w:t>(1)(2)*</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10.07</w:t>
            </w:r>
          </w:p>
        </w:tc>
      </w:tr>
      <w:tr>
        <w:trPr>
          <w:trHeight w:val="212"/>
        </w:trPr>
        <w:tc>
          <w:tcPr>
            <w:tcW w:w="698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Return on tangible common equity - operating </w:t>
            </w:r>
            <w:r>
              <w:rPr>
                <w:rFonts w:ascii="Times New Roman" w:cs="Times New Roman" w:eastAsia="Times New Roman" w:hAnsi="Times New Roman"/>
                <w:sz w:val="20"/>
                <w:szCs w:val="20"/>
                <w:color w:val="auto"/>
                <w:vertAlign w:val="superscript"/>
              </w:rPr>
              <w:t>(1)(2)(3)*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14.04</w:t>
            </w: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Return on assets - GAAP</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r>
      <w:tr>
        <w:trPr>
          <w:trHeight w:val="214"/>
        </w:trPr>
        <w:tc>
          <w:tcPr>
            <w:tcW w:w="698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Return on assets - operating </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w:t>
            </w: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interest margin (FTE)</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3.38</w:t>
            </w:r>
          </w:p>
        </w:tc>
      </w:tr>
      <w:tr>
        <w:trPr>
          <w:trHeight w:val="214"/>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Efficiency ratio - GAAP</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52.31</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Efficiency ratio - operating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56.17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50.16</w:t>
            </w:r>
          </w:p>
        </w:tc>
      </w:tr>
      <w:tr>
        <w:trPr>
          <w:trHeight w:val="212"/>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to total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11.25</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Tangible common equity to tangible assets </w:t>
            </w:r>
            <w:r>
              <w:rPr>
                <w:rFonts w:ascii="Times New Roman" w:cs="Times New Roman" w:eastAsia="Times New Roman" w:hAnsi="Times New Roman"/>
                <w:sz w:val="20"/>
                <w:szCs w:val="20"/>
                <w:color w:val="auto"/>
                <w:vertAlign w:val="superscript"/>
              </w:rPr>
              <w:t>(3)*</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7.88</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NPAs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115,635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92,877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44,281</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206,998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159,357</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charge-offs</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57,690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52,243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9,654</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 to loans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charge-offs to average loans</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0.07</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NPAs to total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r>
      <w:tr>
        <w:trPr>
          <w:trHeight w:val="212"/>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AT PERIOD END </w:t>
            </w:r>
            <w:r>
              <w:rPr>
                <w:rFonts w:ascii="Times New Roman" w:cs="Times New Roman" w:eastAsia="Times New Roman" w:hAnsi="Times New Roman"/>
                <w:sz w:val="16"/>
                <w:szCs w:val="16"/>
                <w:b w:val="1"/>
                <w:bCs w:val="1"/>
                <w:i w:val="1"/>
                <w:iCs w:val="1"/>
                <w:color w:val="auto"/>
              </w:rPr>
              <w:t>($ 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15,335</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6,228</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24,009</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23,461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19,877</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2,701</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Common shares outstanding </w:t>
            </w:r>
            <w:r>
              <w:rPr>
                <w:rFonts w:ascii="Times New Roman" w:cs="Times New Roman" w:eastAsia="Times New Roman" w:hAnsi="Times New Roman"/>
                <w:sz w:val="16"/>
                <w:szCs w:val="16"/>
                <w:i w:val="1"/>
                <w:iCs w:val="1"/>
                <w:color w:val="auto"/>
              </w:rPr>
              <w:t>(thousands)</w:t>
            </w: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119,010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106,223</w:t>
            </w:r>
          </w:p>
        </w:tc>
      </w:tr>
    </w:tbl>
    <w:p>
      <w:pPr>
        <w:spacing w:after="0" w:line="308" w:lineRule="exact"/>
        <w:rPr>
          <w:sz w:val="20"/>
          <w:szCs w:val="20"/>
          <w:color w:val="auto"/>
        </w:rPr>
      </w:pPr>
    </w:p>
    <w:p>
      <w:pPr>
        <w:ind w:firstLine="6"/>
        <w:spacing w:after="0" w:line="309" w:lineRule="auto"/>
        <w:tabs>
          <w:tab w:leader="none" w:pos="13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Excludes non-operating items as detailed on Non-GAAP Performance Measures Reconciliation on next page</w:t>
      </w:r>
      <w:r>
        <w:rPr>
          <w:rFonts w:ascii="Calibri" w:cs="Calibri" w:eastAsia="Calibri" w:hAnsi="Calibri"/>
          <w:sz w:val="12"/>
          <w:szCs w:val="12"/>
          <w:color w:val="auto"/>
        </w:rPr>
        <w:t>.</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Net income less preferred stock dividends, divided by average realized common equity, which excludes AOCI. </w:t>
      </w:r>
      <w:r>
        <w:rPr>
          <w:rFonts w:ascii="Times New Roman" w:cs="Times New Roman" w:eastAsia="Times New Roman" w:hAnsi="Times New Roman"/>
          <w:sz w:val="8"/>
          <w:szCs w:val="8"/>
          <w:color w:val="auto"/>
        </w:rPr>
        <w:t>(3)</w:t>
      </w:r>
      <w:r>
        <w:rPr>
          <w:rFonts w:ascii="Times New Roman" w:cs="Times New Roman" w:eastAsia="Times New Roman" w:hAnsi="Times New Roman"/>
          <w:sz w:val="12"/>
          <w:szCs w:val="12"/>
          <w:color w:val="auto"/>
        </w:rPr>
        <w:t xml:space="preserve"> Excludes effect of acquisition related intangibles and associated amortization.</w:t>
      </w:r>
    </w:p>
    <w:p>
      <w:pPr>
        <w:spacing w:after="0" w:line="1" w:lineRule="exact"/>
        <w:rPr>
          <w:sz w:val="20"/>
          <w:szCs w:val="20"/>
          <w:color w:val="auto"/>
        </w:rPr>
      </w:pPr>
    </w:p>
    <w:p>
      <w:pPr>
        <w:ind w:firstLine="6"/>
        <w:spacing w:after="0" w:line="290" w:lineRule="auto"/>
        <w:tabs>
          <w:tab w:leader="none" w:pos="11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measure. See reconciliation of non-GAAP measures to related GAAP financial measures on the following page. For more information, see “GAAP Reconciliation and Explanation” in the MD&amp;A section of this Report.</w:t>
      </w:r>
    </w:p>
    <w:p>
      <w:pPr>
        <w:sectPr>
          <w:pgSz w:w="11900" w:h="16838" w:orient="portrait"/>
          <w:cols w:equalWidth="0" w:num="1">
            <w:col w:w="11240"/>
          </w:cols>
          <w:pgMar w:left="320" w:top="9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44" w:name="page45"/>
    <w:bookmarkEnd w:id="44"/>
    <w:p>
      <w:pPr>
        <w:ind w:left="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 (Continued) - Non-GAAP Performance Measures Reconciliation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Information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 reconciliation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 (GAAP)</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124,756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75,483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137,707</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manufactured housing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8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portfolio restructuring loss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51,689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Noninterest income - operating</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149,565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127,172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137,707</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expenses reconciliation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expenses (GAAP)</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578,167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571,273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470,149</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FinTrust (goodwill impairment)</w:t>
            </w:r>
          </w:p>
        </w:tc>
        <w:tc>
          <w:tcPr>
            <w:tcW w:w="28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special assessment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(27,210)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(19,375)</w:t>
            </w:r>
          </w:p>
        </w:tc>
      </w:tr>
      <w:tr>
        <w:trPr>
          <w:trHeight w:val="232"/>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 expenses - operating</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562,708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534,068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450,774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reconciliation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(GAAP)</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252,397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187,544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277,472</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manufactured housing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Bond portfolio restructuring loss</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51,689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FinTrust (goodwill impairment)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special assessment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27,210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19,375</w:t>
            </w: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of non-operating items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(4,246)</w:t>
            </w:r>
          </w:p>
        </w:tc>
      </w:tr>
      <w:tr>
        <w:trPr>
          <w:trHeight w:val="207"/>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 operating</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283,963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254,949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292,601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per common share reconciliation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 (GAAP)</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manufactured housing loans</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portfolio restructuring loss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8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FinTrust (goodwill impairment)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FDIC special assessment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0.14</w:t>
            </w:r>
          </w:p>
        </w:tc>
      </w:tr>
      <w:tr>
        <w:trPr>
          <w:trHeight w:val="207"/>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income per common share - operating</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Book value per common share reconciliation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(GAAP)</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24.38</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goodwill and other intangibles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(7.25)</w:t>
            </w:r>
          </w:p>
        </w:tc>
      </w:tr>
      <w:tr>
        <w:trPr>
          <w:trHeight w:val="232"/>
        </w:trPr>
        <w:tc>
          <w:tcPr>
            <w:tcW w:w="7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Tangible book value per common share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tangible common equity reconciliation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common equity (GAAP)</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9.54 %</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manufactured housing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Bond portfolio restructuring loss</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FinTrust (goodwill impairment)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special assessment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0.53</w:t>
            </w:r>
          </w:p>
        </w:tc>
      </w:tr>
      <w:tr>
        <w:trPr>
          <w:trHeight w:val="20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common equity - operating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10.07</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goodwill and other intangibles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3.97</w:t>
            </w:r>
          </w:p>
        </w:tc>
      </w:tr>
      <w:tr>
        <w:trPr>
          <w:trHeight w:val="232"/>
        </w:trPr>
        <w:tc>
          <w:tcPr>
            <w:tcW w:w="7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Return on tangible common equity - operating</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14.04 %</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45" w:name="page46"/>
    <w:bookmarkEnd w:id="45"/>
    <w:p>
      <w:pPr>
        <w:ind w:left="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 (Continued) - Non-GAAP Performance Measures Reconciliation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Information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assets reconciliation</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assets (GAAP)</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1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manufactured housing loans</w:t>
            </w: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Bond portfolio restructuring loss</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FinTrust (goodwill impairment)</w:t>
            </w: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special assessment</w:t>
            </w: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0.06</w:t>
            </w:r>
          </w:p>
        </w:tc>
      </w:tr>
      <w:tr>
        <w:trPr>
          <w:trHeight w:val="232"/>
        </w:trPr>
        <w:tc>
          <w:tcPr>
            <w:tcW w:w="7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Return on assets - operating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0.94 %</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Efficiency ratio reconciliation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 (GAAP)</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52.31 %</w:t>
            </w:r>
          </w:p>
        </w:tc>
      </w:tr>
      <w:tr>
        <w:trPr>
          <w:trHeight w:val="21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manufactured housing loans</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FinTrust (goodwill impairment)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FDIC special assessment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(0.90)</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(2.15)</w:t>
            </w:r>
          </w:p>
        </w:tc>
      </w:tr>
      <w:tr>
        <w:trPr>
          <w:trHeight w:val="207"/>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Efficiency ratio - operating</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57.15 %</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56.17 %</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50.16 %</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8"/>
        </w:trPr>
        <w:tc>
          <w:tcPr>
            <w:tcW w:w="7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1"/>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to tangible assets reconciliation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to total assets (GAAP)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11.25 %</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goodwill and other intangibles</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(2.97)</w:t>
            </w: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preferred equity</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(0.40)</w:t>
            </w:r>
          </w:p>
        </w:tc>
      </w:tr>
      <w:tr>
        <w:trPr>
          <w:trHeight w:val="207"/>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Tangible common equity to tangible assets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8.36 %</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7.88 %</w:t>
            </w:r>
          </w:p>
        </w:tc>
      </w:tr>
      <w:tr>
        <w:trPr>
          <w:trHeight w:val="20"/>
        </w:trPr>
        <w:tc>
          <w:tcPr>
            <w:tcW w:w="7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revenue. Management seeks to optimize this revenue while balancing interest rate, credit, and liquidity risks. The banking industry uses two key ratios to measure relative profitability of net interest revenue, which are the net interest spread and the net interest margin. The net interest spread measures the difference between the average yield on interest-earning assets and the average rate paid on interest-bearing liabilities. The net interest spread eliminates the effect of noninterest-earning assets as well as noninterest-bearing deposits and other noninterest-bearing funding sources and gives a direct perspective on the effect of market interest rate movements. The net interest margin is an indication of the profitability of a company’s balance sheet and is defined as net interest revenue as a percentage of total average interest-earning assets, which includes the positive effect of funding a portion of interest-earning assets with noninterest-bearing deposits and shareholders’ equity.</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FTE net interest revenue for 2024 was $832 million, compared to $822 million for 2023. The increase in net interest revenue from 2023 to 2024, which is further discussed below, reflects an additional six months of net interest revenue from the loans and deposits acquired from First Miami, which closed on July 1, 2023. The net interest spread was 2.27% and 2.40% for 2024 and 2023, respectively, while the net interest margin was 3.29% and 3.35%, respectively. The following tables indicate the relationship between interest revenue and expense and the average amounts of assets and liabilities, which provide further insight into net interest spread and net interest margin for the periods indicated. The following discussion provides additional detail on the average balances and net interest revenue for the years ended December 31, 2024 and 2023.</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2024, we reported a $141 million, or 11%, increase in FTE interest revenue compared to 2023. The increase was primarily driven by increases in average rates earned on loans and taxable securities. Growth in average loans for the year ended December 31, 2024 of $548 million, or 3%, compared to 2023 also contributed to the increase in interest revenue. The growth in average loans reflects organic loan growth and average loans acquired from First Miami for the full year of 2024. Loan interest revenue includes $18.4 million of purchased loan accretion, compared to $19.4 million in 2023. During the fourth quarter of 2023 and in early 2024, we entered into fair value hedges on certain loans, which contributed an additional $10.0 million in loan interest revenue in 2024. In addition, interest revenue from our securities portfolio increased $36.6 million, which reflects the effect of higher interest rates and a $4.33 million increase in interest revenue from the fair value hedges on our AFS securities portfolio.</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Interest expense increased $131 million in 2024 compared to 2023 as a result of several factors including higher rates paid on deposits combined with interest-bearing deposit growth and a less favorable deposit composition. These contributors to interest expense were partially offset by a decrease in utilization of wholesale funding, including brokered deposits, the average balance of which decreased $372 million, and a $5.59 million decrease in average long-term debt as we redeemed two of our trust preferred securities and one subordinated debt issuance in late 2024. The average rate paid on interest-bearing deposits increased 58 basis points, which accounted for $88.7 million of the increase in deposit interest expense in 2024 compared to 2023. The average balance of customer interest-bearing deposits increased $1.83 billion for the year ended December 31, 2024 compared to 2023, driven by organic growth, the migration of noninterest-bearing deposits, as well as the full-year impact of deposits acquired from of First Miami. In 2024, 73% of our average total customer deposit composition was comprised of interest-bearing deposits, compared to 68% in 2023.</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interest spread decreased 13 basis points while our net interest margin decreased six basis points. The decreases in the interest rate spread and margin reflect a steeper increase in rates paid on deposits compared to rates earned on loans, partially mitigated by gains on fair value hedges of certain of our loans and AFS securities. In addition, interest-bearing deposit growth contributed to the increase in interest expense, decreasing our net interest revenue and contributing to net interest margin compression.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7" w:name="page48"/>
    <w:bookmarkEnd w:id="47"/>
    <w:p>
      <w:pPr>
        <w:ind w:left="10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Margin Analysis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(dollars in thousands, (FTE))</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2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00" w:type="dxa"/>
            <w:vAlign w:val="bottom"/>
          </w:tcPr>
          <w:p>
            <w:pPr>
              <w:jc w:val="right"/>
              <w:ind w:right="127"/>
              <w:spacing w:after="0" w:line="144" w:lineRule="exact"/>
              <w:rPr>
                <w:sz w:val="20"/>
                <w:szCs w:val="20"/>
                <w:color w:val="auto"/>
              </w:rPr>
            </w:pPr>
            <w:r>
              <w:rPr>
                <w:rFonts w:ascii="Times New Roman" w:cs="Times New Roman" w:eastAsia="Times New Roman" w:hAnsi="Times New Roman"/>
                <w:sz w:val="15"/>
                <w:szCs w:val="15"/>
                <w:b w:val="1"/>
                <w:bCs w:val="1"/>
                <w:color w:val="auto"/>
              </w:rPr>
              <w:t>Avg.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2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00" w:type="dxa"/>
            <w:vAlign w:val="bottom"/>
          </w:tcPr>
          <w:p>
            <w:pPr>
              <w:ind w:left="220"/>
              <w:spacing w:after="0" w:line="144" w:lineRule="exact"/>
              <w:rPr>
                <w:sz w:val="20"/>
                <w:szCs w:val="20"/>
                <w:color w:val="auto"/>
              </w:rPr>
            </w:pPr>
            <w:r>
              <w:rPr>
                <w:rFonts w:ascii="Times New Roman" w:cs="Times New Roman" w:eastAsia="Times New Roman" w:hAnsi="Times New Roman"/>
                <w:sz w:val="15"/>
                <w:szCs w:val="15"/>
                <w:b w:val="1"/>
                <w:bCs w:val="1"/>
                <w:color w:val="auto"/>
              </w:rPr>
              <w:t>Avg.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00" w:type="dxa"/>
            <w:vAlign w:val="bottom"/>
          </w:tcPr>
          <w:p>
            <w:pPr>
              <w:ind w:left="220"/>
              <w:spacing w:after="0" w:line="144" w:lineRule="exact"/>
              <w:rPr>
                <w:sz w:val="20"/>
                <w:szCs w:val="20"/>
                <w:color w:val="auto"/>
              </w:rPr>
            </w:pPr>
            <w:r>
              <w:rPr>
                <w:rFonts w:ascii="Times New Roman" w:cs="Times New Roman" w:eastAsia="Times New Roman" w:hAnsi="Times New Roman"/>
                <w:sz w:val="15"/>
                <w:szCs w:val="15"/>
                <w:b w:val="1"/>
                <w:bCs w:val="1"/>
                <w:color w:val="auto"/>
              </w:rPr>
              <w:t>Avg.</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0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Rate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0" w:type="dxa"/>
            <w:vAlign w:val="bottom"/>
          </w:tcPr>
          <w:p>
            <w:pPr>
              <w:spacing w:after="0"/>
              <w:rPr>
                <w:sz w:val="1"/>
                <w:szCs w:val="1"/>
                <w:color w:val="auto"/>
              </w:rPr>
            </w:pPr>
          </w:p>
        </w:tc>
      </w:tr>
      <w:tr>
        <w:trPr>
          <w:trHeight w:val="195"/>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Interest-earning assets: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 xml:space="preserve">Loans, net of unearned income (FTE) </w:t>
            </w:r>
            <w:r>
              <w:rPr>
                <w:rFonts w:ascii="Times New Roman" w:cs="Times New Roman" w:eastAsia="Times New Roman" w:hAnsi="Times New Roman"/>
                <w:sz w:val="19"/>
                <w:szCs w:val="19"/>
                <w:color w:val="auto"/>
                <w:vertAlign w:val="superscript"/>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18,124,179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1,146,440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6.33 %</w:t>
            </w:r>
          </w:p>
        </w:tc>
        <w:tc>
          <w:tcPr>
            <w:tcW w:w="2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17,576,424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1,042,578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w w:val="98"/>
              </w:rPr>
              <w:t>5.93 %</w:t>
            </w:r>
          </w:p>
        </w:tc>
        <w:tc>
          <w:tcPr>
            <w:tcW w:w="2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14,571,746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673,491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w w:val="98"/>
              </w:rPr>
              <w:t>4.62 %</w:t>
            </w:r>
          </w:p>
        </w:tc>
        <w:tc>
          <w:tcPr>
            <w:tcW w:w="0" w:type="dxa"/>
            <w:vAlign w:val="bottom"/>
          </w:tcPr>
          <w:p>
            <w:pPr>
              <w:spacing w:after="0"/>
              <w:rPr>
                <w:sz w:val="1"/>
                <w:szCs w:val="1"/>
                <w:color w:val="auto"/>
              </w:rPr>
            </w:pPr>
          </w:p>
        </w:tc>
      </w:tr>
      <w:tr>
        <w:trPr>
          <w:trHeight w:val="199"/>
        </w:trPr>
        <w:tc>
          <w:tcPr>
            <w:tcW w:w="2760" w:type="dxa"/>
            <w:vAlign w:val="bottom"/>
          </w:tcPr>
          <w:p>
            <w:pPr>
              <w:ind w:left="140"/>
              <w:spacing w:after="0" w:line="199" w:lineRule="exact"/>
              <w:rPr>
                <w:sz w:val="20"/>
                <w:szCs w:val="20"/>
                <w:color w:val="auto"/>
              </w:rPr>
            </w:pPr>
            <w:r>
              <w:rPr>
                <w:rFonts w:ascii="Times New Roman" w:cs="Times New Roman" w:eastAsia="Times New Roman" w:hAnsi="Times New Roman"/>
                <w:sz w:val="15"/>
                <w:szCs w:val="15"/>
                <w:color w:val="auto"/>
              </w:rPr>
              <w:t xml:space="preserve">Taxable securities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6,172,942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199,789</w:t>
            </w:r>
          </w:p>
        </w:tc>
        <w:tc>
          <w:tcPr>
            <w:tcW w:w="100" w:type="dxa"/>
            <w:vAlign w:val="bottom"/>
          </w:tcPr>
          <w:p>
            <w:pPr>
              <w:spacing w:after="0"/>
              <w:rPr>
                <w:sz w:val="17"/>
                <w:szCs w:val="17"/>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5,929,687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162,505</w:t>
            </w:r>
          </w:p>
        </w:tc>
        <w:tc>
          <w:tcPr>
            <w:tcW w:w="10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6,284,603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121,501</w:t>
            </w:r>
          </w:p>
        </w:tc>
        <w:tc>
          <w:tcPr>
            <w:tcW w:w="10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5"/>
                <w:szCs w:val="15"/>
                <w:color w:val="auto"/>
              </w:rPr>
              <w:t xml:space="preserve">Tax-exempt securities (FTE) </w:t>
            </w:r>
            <w:r>
              <w:rPr>
                <w:rFonts w:ascii="Times New Roman" w:cs="Times New Roman" w:eastAsia="Times New Roman" w:hAnsi="Times New Roman"/>
                <w:sz w:val="19"/>
                <w:szCs w:val="19"/>
                <w:color w:val="auto"/>
                <w:vertAlign w:val="superscript"/>
              </w:rPr>
              <w:t>(1)(3)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362,655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381,731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9,796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496,327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2.79</w:t>
            </w:r>
          </w:p>
        </w:tc>
        <w:tc>
          <w:tcPr>
            <w:tcW w:w="0" w:type="dxa"/>
            <w:vAlign w:val="bottom"/>
          </w:tcPr>
          <w:p>
            <w:pPr>
              <w:spacing w:after="0"/>
              <w:rPr>
                <w:sz w:val="1"/>
                <w:szCs w:val="1"/>
                <w:color w:val="auto"/>
              </w:rPr>
            </w:pPr>
          </w:p>
        </w:tc>
      </w:tr>
      <w:tr>
        <w:trPr>
          <w:trHeight w:val="146"/>
        </w:trPr>
        <w:tc>
          <w:tcPr>
            <w:tcW w:w="2760" w:type="dxa"/>
            <w:vAlign w:val="bottom"/>
          </w:tcPr>
          <w:p>
            <w:pPr>
              <w:ind w:left="140"/>
              <w:spacing w:after="0" w:line="146" w:lineRule="exact"/>
              <w:rPr>
                <w:sz w:val="20"/>
                <w:szCs w:val="20"/>
                <w:color w:val="auto"/>
              </w:rPr>
            </w:pPr>
            <w:r>
              <w:rPr>
                <w:rFonts w:ascii="Times New Roman" w:cs="Times New Roman" w:eastAsia="Times New Roman" w:hAnsi="Times New Roman"/>
                <w:sz w:val="15"/>
                <w:szCs w:val="15"/>
                <w:color w:val="auto"/>
              </w:rPr>
              <w:t>Federal funds sold and other interest-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623,426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26,652</w:t>
            </w:r>
          </w:p>
        </w:tc>
        <w:tc>
          <w:tcPr>
            <w:tcW w:w="100" w:type="dxa"/>
            <w:vAlign w:val="bottom"/>
          </w:tcPr>
          <w:p>
            <w:pPr>
              <w:spacing w:after="0"/>
              <w:rPr>
                <w:sz w:val="12"/>
                <w:szCs w:val="12"/>
                <w:color w:val="auto"/>
              </w:rPr>
            </w:pPr>
          </w:p>
        </w:tc>
        <w:tc>
          <w:tcPr>
            <w:tcW w:w="70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642,499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26,397</w:t>
            </w:r>
          </w:p>
        </w:tc>
        <w:tc>
          <w:tcPr>
            <w:tcW w:w="100" w:type="dxa"/>
            <w:vAlign w:val="bottom"/>
          </w:tcPr>
          <w:p>
            <w:pPr>
              <w:spacing w:after="0"/>
              <w:rPr>
                <w:sz w:val="12"/>
                <w:szCs w:val="12"/>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1,065,057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9,104</w:t>
            </w:r>
          </w:p>
        </w:tc>
        <w:tc>
          <w:tcPr>
            <w:tcW w:w="100" w:type="dxa"/>
            <w:vAlign w:val="bottom"/>
          </w:tcPr>
          <w:p>
            <w:pPr>
              <w:spacing w:after="0"/>
              <w:rPr>
                <w:sz w:val="12"/>
                <w:szCs w:val="12"/>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0.85</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earning assets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interest-earning assets (FTE)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25,283,202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1,382,033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5.47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24,530,341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1,241,276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22,417,733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817,961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3.65</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Noninterest-earning assets: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due from banks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239,574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Premises and equipment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394,127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355,139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288,044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6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5"/>
                <w:szCs w:val="15"/>
                <w:color w:val="auto"/>
              </w:rPr>
              <w:t xml:space="preserve">Other assets </w:t>
            </w:r>
            <w:r>
              <w:rPr>
                <w:rFonts w:ascii="Times New Roman" w:cs="Times New Roman" w:eastAsia="Times New Roman" w:hAnsi="Times New Roman"/>
                <w:sz w:val="19"/>
                <w:szCs w:val="19"/>
                <w:color w:val="auto"/>
                <w:vertAlign w:val="superscript"/>
              </w:rPr>
              <w:t>(3)</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1,611,405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1,517,940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1,275,263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27,291,177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26,451,978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24,050,748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Interest-bearing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Interest-bearing deposits: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NOW and 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6,014,052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175,534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2.92</w:t>
            </w:r>
          </w:p>
        </w:tc>
        <w:tc>
          <w:tcPr>
            <w:tcW w:w="2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5,161,071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125,336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2.43</w:t>
            </w:r>
          </w:p>
        </w:tc>
        <w:tc>
          <w:tcPr>
            <w:tcW w:w="2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4,486,263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0.39</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Money market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6,188,579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214,742</w:t>
            </w:r>
          </w:p>
        </w:tc>
        <w:tc>
          <w:tcPr>
            <w:tcW w:w="10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5,462,677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156,397</w:t>
            </w:r>
          </w:p>
        </w:tc>
        <w:tc>
          <w:tcPr>
            <w:tcW w:w="1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2.86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4,900,667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18,274</w:t>
            </w:r>
          </w:p>
        </w:tc>
        <w:tc>
          <w:tcPr>
            <w:tcW w:w="1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0.37</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Savings deposits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1,146,305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0.24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1,312,469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2,866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0.22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1,482,599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0.05</w:t>
            </w: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Time deposits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3,519,461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140,229</w:t>
            </w:r>
          </w:p>
        </w:tc>
        <w:tc>
          <w:tcPr>
            <w:tcW w:w="10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3,106,989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100,973</w:t>
            </w:r>
          </w:p>
        </w:tc>
        <w:tc>
          <w:tcPr>
            <w:tcW w:w="1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1,693,307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5,152</w:t>
            </w:r>
          </w:p>
        </w:tc>
        <w:tc>
          <w:tcPr>
            <w:tcW w:w="1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0.30</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Brokered time deposits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50,359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224,914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10,002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61,636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interest-bearing deposits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16,918,756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535,519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107"/>
              <w:spacing w:after="0"/>
              <w:rPr>
                <w:sz w:val="20"/>
                <w:szCs w:val="20"/>
                <w:color w:val="auto"/>
              </w:rPr>
            </w:pPr>
            <w:r>
              <w:rPr>
                <w:rFonts w:ascii="Times New Roman" w:cs="Times New Roman" w:eastAsia="Times New Roman" w:hAnsi="Times New Roman"/>
                <w:sz w:val="15"/>
                <w:szCs w:val="15"/>
                <w:color w:val="auto"/>
              </w:rPr>
              <w:t>3.17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15,268,120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395,574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2.59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12,624,472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42,099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0.33</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5"/>
                <w:szCs w:val="15"/>
                <w:color w:val="auto"/>
              </w:rPr>
              <w:t>Federal funds purchased and other</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5.31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75,965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3,195</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3.90</w:t>
            </w: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borrowings</w:t>
            </w: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FHLB advances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124,425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5,761</w:t>
            </w:r>
          </w:p>
        </w:tc>
        <w:tc>
          <w:tcPr>
            <w:tcW w:w="1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1,424</w:t>
            </w:r>
          </w:p>
        </w:tc>
        <w:tc>
          <w:tcPr>
            <w:tcW w:w="1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4.18</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319,163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324,753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14,812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323,102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5.19</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borrowed funds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321,635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14,854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107"/>
              <w:spacing w:after="0"/>
              <w:rPr>
                <w:sz w:val="20"/>
                <w:szCs w:val="20"/>
                <w:color w:val="auto"/>
              </w:rPr>
            </w:pPr>
            <w:r>
              <w:rPr>
                <w:rFonts w:ascii="Times New Roman" w:cs="Times New Roman" w:eastAsia="Times New Roman" w:hAnsi="Times New Roman"/>
                <w:sz w:val="15"/>
                <w:szCs w:val="15"/>
                <w:color w:val="auto"/>
              </w:rPr>
              <w:t>4.62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525,143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23,768</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4.53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370,133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18,699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interest-bearing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17,240,391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550,373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3.19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15,793,263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419,342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12,994,605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60,798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0.47</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Noninterest-bearing liabilities: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6,299,019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7,091,034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7,967,321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409,547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397,337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377,221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23,948,957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23,281,634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21,339,147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3,342,220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3,170,344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2,711,601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27,291,177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26,451,978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24,050,748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color w:val="auto"/>
              </w:rPr>
              <w:t>Net interest revenue (FTE)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831,660</w:t>
            </w: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CCEEFF"/>
              <w:bottom w:val="single" w:sz="8" w:color="CCEEFF"/>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821,934</w:t>
            </w: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757,163</w:t>
            </w: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60" w:type="dxa"/>
            <w:vAlign w:val="bottom"/>
            <w:tcBorders>
              <w:bottom w:val="single" w:sz="8" w:color="CCEEFF"/>
            </w:tcBorders>
            <w:shd w:val="clear" w:color="auto" w:fill="CCEEFF"/>
          </w:tcPr>
          <w:p>
            <w:pPr>
              <w:ind w:left="140"/>
              <w:spacing w:after="0" w:line="165" w:lineRule="exact"/>
              <w:rPr>
                <w:sz w:val="20"/>
                <w:szCs w:val="20"/>
                <w:color w:val="auto"/>
              </w:rPr>
            </w:pPr>
            <w:r>
              <w:rPr>
                <w:rFonts w:ascii="Times New Roman" w:cs="Times New Roman" w:eastAsia="Times New Roman" w:hAnsi="Times New Roman"/>
                <w:sz w:val="15"/>
                <w:szCs w:val="15"/>
                <w:color w:val="auto"/>
              </w:rPr>
              <w:t>Net interest-rate spread (FTE)</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2.27 %</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260"/>
              <w:spacing w:after="0" w:line="165" w:lineRule="exact"/>
              <w:rPr>
                <w:sz w:val="20"/>
                <w:szCs w:val="20"/>
                <w:color w:val="auto"/>
              </w:rPr>
            </w:pPr>
            <w:r>
              <w:rPr>
                <w:rFonts w:ascii="Times New Roman" w:cs="Times New Roman" w:eastAsia="Times New Roman" w:hAnsi="Times New Roman"/>
                <w:sz w:val="15"/>
                <w:szCs w:val="15"/>
                <w:color w:val="auto"/>
                <w:w w:val="98"/>
              </w:rPr>
              <w:t>2.40 %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260"/>
              <w:spacing w:after="0" w:line="165" w:lineRule="exact"/>
              <w:rPr>
                <w:sz w:val="20"/>
                <w:szCs w:val="20"/>
                <w:color w:val="auto"/>
              </w:rPr>
            </w:pPr>
            <w:r>
              <w:rPr>
                <w:rFonts w:ascii="Times New Roman" w:cs="Times New Roman" w:eastAsia="Times New Roman" w:hAnsi="Times New Roman"/>
                <w:sz w:val="15"/>
                <w:szCs w:val="15"/>
                <w:color w:val="auto"/>
                <w:w w:val="98"/>
              </w:rPr>
              <w:t>3.18 %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6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 xml:space="preserve">Net interest margin (FTE) </w:t>
            </w:r>
            <w:r>
              <w:rPr>
                <w:rFonts w:ascii="Times New Roman" w:cs="Times New Roman" w:eastAsia="Times New Roman" w:hAnsi="Times New Roman"/>
                <w:sz w:val="19"/>
                <w:szCs w:val="19"/>
                <w:color w:val="auto"/>
                <w:vertAlign w:val="superscript"/>
              </w:rPr>
              <w:t>(4)</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w w:val="98"/>
              </w:rPr>
              <w:t>3.35 %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w w:val="98"/>
              </w:rPr>
              <w:t>3.38 %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260" w:hanging="260"/>
        <w:spacing w:after="0" w:line="229" w:lineRule="auto"/>
        <w:tabs>
          <w:tab w:leader="none" w:pos="254"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Interest revenue on tax-exempt securities and loans has been increased to reflect comparable interest on taxable securities and loans. The FTE adjustments totaled $4.29 million, $4.17 million, and $4.81 million, respectively, for 2024, 2023, and 2022. </w:t>
      </w:r>
      <w:r>
        <w:rPr>
          <w:rFonts w:ascii="Times New Roman" w:cs="Times New Roman" w:eastAsia="Times New Roman" w:hAnsi="Times New Roman"/>
          <w:sz w:val="14"/>
          <w:szCs w:val="14"/>
          <w:color w:val="auto"/>
        </w:rPr>
        <w:t>The tax rate used to calculate the adjustment was 25% in 2024 and 26% in 2023 and 2022, reflecting the statutory federal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income tax rate and the federal tax adjusted state income tax rate.</w:t>
      </w:r>
    </w:p>
    <w:p>
      <w:pPr>
        <w:ind w:left="260" w:hanging="260"/>
        <w:spacing w:after="0" w:line="189" w:lineRule="auto"/>
        <w:tabs>
          <w:tab w:leader="none" w:pos="26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the average balance of loans outstanding are loans where the accrual of interest has been discontinued.</w:t>
      </w:r>
    </w:p>
    <w:p>
      <w:pPr>
        <w:ind w:left="260" w:hanging="260"/>
        <w:spacing w:after="0" w:line="213" w:lineRule="auto"/>
        <w:tabs>
          <w:tab w:leader="none" w:pos="254"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Unrealized gains and losses on AFS securities, including those related to the transfer from AFS to HTM, have been reclassified to other assets. Pretax unrealized losses of $306 million, $424 million, and $277 million in 2024, 2023, and 2022, respectively, are included in other assets for purposes of this presentation.</w:t>
      </w:r>
    </w:p>
    <w:p>
      <w:pPr>
        <w:ind w:left="260" w:hanging="260"/>
        <w:spacing w:after="0" w:line="185" w:lineRule="auto"/>
        <w:tabs>
          <w:tab w:leader="none" w:pos="26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Net interest margin is taxable equivalent net interest revenue divided by average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914" w:right="339" w:bottom="1440" w:gutter="0" w:footer="0" w:header="0"/>
        </w:sectPr>
      </w:pPr>
    </w:p>
    <w:bookmarkStart w:id="48" w:name="page49"/>
    <w:bookmarkEnd w:id="48"/>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resulting from changes in the average outstanding balances (volume) of interest-earning assets and interest-bearing liabilities and the rates we earned and paid on such assets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 Change in Interest Revenue and Interest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(FTE))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2024 Compared to 2023</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2023 Compared to 2022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5"/>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22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500" w:type="dxa"/>
            <w:vAlign w:val="bottom"/>
            <w:gridSpan w:val="7"/>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Increase (decrease) due to changes</w:t>
            </w:r>
          </w:p>
        </w:tc>
        <w:tc>
          <w:tcPr>
            <w:tcW w:w="220" w:type="dxa"/>
            <w:vAlign w:val="bottom"/>
          </w:tcPr>
          <w:p>
            <w:pPr>
              <w:spacing w:after="0"/>
              <w:rPr>
                <w:sz w:val="13"/>
                <w:szCs w:val="13"/>
                <w:color w:val="auto"/>
              </w:rPr>
            </w:pPr>
          </w:p>
        </w:tc>
        <w:tc>
          <w:tcPr>
            <w:tcW w:w="92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changes in</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89"/>
              </w:rPr>
              <w:t>in</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60" w:type="dxa"/>
            <w:vAlign w:val="bottom"/>
          </w:tcPr>
          <w:p>
            <w:pPr>
              <w:spacing w:after="0"/>
              <w:rPr>
                <w:sz w:val="17"/>
                <w:szCs w:val="17"/>
                <w:color w:val="auto"/>
              </w:rPr>
            </w:pP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92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6"/>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33,180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70,682</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103,862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155,447</w:t>
            </w:r>
          </w:p>
        </w:tc>
        <w:tc>
          <w:tcPr>
            <w:tcW w:w="38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213,640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369,087</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41,004</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17,293</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38,789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140,293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283,022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423,315</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105,039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108,024</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135,791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138,123</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95,821</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9,334</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51,266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139,945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336,337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353,475</w:t>
            </w: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Federal funds purchased and other short-term</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2,688</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4,337</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5,069</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41,519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334,507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358,544</w:t>
            </w:r>
          </w:p>
        </w:tc>
        <w:tc>
          <w:tcPr>
            <w:tcW w:w="0" w:type="dxa"/>
            <w:vAlign w:val="bottom"/>
          </w:tcPr>
          <w:p>
            <w:pPr>
              <w:spacing w:after="0"/>
              <w:rPr>
                <w:sz w:val="1"/>
                <w:szCs w:val="1"/>
                <w:color w:val="auto"/>
              </w:rPr>
            </w:pPr>
          </w:p>
        </w:tc>
      </w:tr>
      <w:tr>
        <w:trPr>
          <w:trHeight w:val="205"/>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Increase in net interest revenue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9,726</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116,256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64,771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variance attributable jointly to volume and rate changes is allocated to the volume and rate variance in proportion to the relationship of the absolute dollar amount of the change in each.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is determined using our CECL model that relies on reasonable and supportable forecasts and historical loss information to determine the balance of the ACL and resulting provision for credit losses. We recorded a provision for credit losses of $51.0 million in 2024, compared to $89.4 million in 2023. The amount of provision recorded in each period was the amount required such that the total ACL reflected the appropriate balance as determined by management reflecting expected life of loan losses.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credit losses for 2024 included $9.89 million to establish an additional allowance for loans to borrowers in counties in western North Carolina that were most severely affected by Hurricane Helene in late September 2024. The provision for credit losses for 2023 included the initial provisions for credit losses on Progress and First Miami non-PCD loans and unfunded commitments totaling $14.5 million and provided for a $19.0 million loss related to one relationship with a wholesale oil distributor.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following table shows the main components of provision expense for the periods indicated.</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Provision for Credit Losses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Borders>
              <w:bottom w:val="single" w:sz="8" w:color="CCEEFF"/>
            </w:tcBorders>
          </w:tcPr>
          <w:p>
            <w:pPr>
              <w:spacing w:after="0"/>
              <w:rPr>
                <w:sz w:val="18"/>
                <w:szCs w:val="18"/>
                <w:color w:val="auto"/>
              </w:rPr>
            </w:pPr>
          </w:p>
        </w:tc>
      </w:tr>
      <w:tr>
        <w:trPr>
          <w:trHeight w:val="195"/>
        </w:trPr>
        <w:tc>
          <w:tcPr>
            <w:tcW w:w="7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Components of provision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762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Allowance established for Hurricane Helene impacted areas of North Carolina</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9,891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2"/>
          </w:tcPr>
          <w:p>
            <w:pPr>
              <w:jc w:val="right"/>
              <w:ind w:right="12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6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Acquisition related non-PCD loan and unfunded commitment provision</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w:t>
            </w:r>
          </w:p>
        </w:tc>
        <w:tc>
          <w:tcPr>
            <w:tcW w:w="1160" w:type="dxa"/>
            <w:vAlign w:val="bottom"/>
            <w:shd w:val="clear" w:color="auto" w:fill="CCEEFF"/>
          </w:tcPr>
          <w:p>
            <w:pPr>
              <w:spacing w:after="0"/>
              <w:rPr>
                <w:sz w:val="18"/>
                <w:szCs w:val="18"/>
                <w:color w:val="auto"/>
              </w:rPr>
            </w:pPr>
          </w:p>
        </w:tc>
      </w:tr>
      <w:tr>
        <w:trPr>
          <w:trHeight w:val="210"/>
        </w:trPr>
        <w:tc>
          <w:tcPr>
            <w:tcW w:w="762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Individually significant loan losses during period</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19,026</w:t>
            </w:r>
          </w:p>
        </w:tc>
        <w:tc>
          <w:tcPr>
            <w:tcW w:w="1160" w:type="dxa"/>
            <w:vAlign w:val="bottom"/>
          </w:tcPr>
          <w:p>
            <w:pPr>
              <w:spacing w:after="0"/>
              <w:rPr>
                <w:sz w:val="18"/>
                <w:szCs w:val="18"/>
                <w:color w:val="auto"/>
              </w:rPr>
            </w:pPr>
          </w:p>
        </w:tc>
      </w:tr>
      <w:tr>
        <w:trPr>
          <w:trHeight w:val="214"/>
        </w:trPr>
        <w:tc>
          <w:tcPr>
            <w:tcW w:w="76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Unfunded commitments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160" w:type="dxa"/>
            <w:vAlign w:val="bottom"/>
            <w:shd w:val="clear" w:color="auto" w:fill="CCEEFF"/>
          </w:tcPr>
          <w:p>
            <w:pPr>
              <w:spacing w:after="0"/>
              <w:rPr>
                <w:sz w:val="18"/>
                <w:szCs w:val="18"/>
                <w:color w:val="auto"/>
              </w:rPr>
            </w:pPr>
          </w:p>
        </w:tc>
      </w:tr>
      <w:tr>
        <w:trPr>
          <w:trHeight w:val="210"/>
        </w:trPr>
        <w:tc>
          <w:tcPr>
            <w:tcW w:w="762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6"/>
                <w:szCs w:val="16"/>
                <w:color w:val="auto"/>
              </w:rPr>
              <w:t>Other (i.e., loan growth, net charge-off coverage and change in forecast)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46,726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61,058</w:t>
            </w:r>
          </w:p>
        </w:tc>
        <w:tc>
          <w:tcPr>
            <w:tcW w:w="1160" w:type="dxa"/>
            <w:vAlign w:val="bottom"/>
            <w:tcBorders>
              <w:bottom w:val="single" w:sz="8" w:color="CCEEFF"/>
            </w:tcBorders>
          </w:tcPr>
          <w:p>
            <w:pPr>
              <w:spacing w:after="0"/>
              <w:rPr>
                <w:sz w:val="18"/>
                <w:szCs w:val="18"/>
                <w:color w:val="auto"/>
              </w:rPr>
            </w:pPr>
          </w:p>
        </w:tc>
      </w:tr>
      <w:tr>
        <w:trPr>
          <w:trHeight w:val="232"/>
        </w:trPr>
        <w:tc>
          <w:tcPr>
            <w:tcW w:w="762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Total provision expense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50,951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provision for credit losses for 2024 decreased due to slower loan growth, which was partly offset by an increase in net charge-offs mainly within our equipment finance and commercial and industrial loan portfolios. See Table 13 Net Charge-offs in MD&amp;A for further detail.</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and “Critical Accounting Estimates” sections of this Report, as well as Note 1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5 - Noninterest 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2024-2023</w:t>
            </w:r>
          </w:p>
        </w:tc>
      </w:tr>
      <w:tr>
        <w:trPr>
          <w:trHeight w:val="195"/>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 and fees:</w:t>
            </w: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Overdraft fees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13,523</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11,737</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ATM and debit card interchange fees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16,132</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11,209</w:t>
            </w:r>
          </w:p>
        </w:tc>
        <w:tc>
          <w:tcPr>
            <w:tcW w:w="154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38,163</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32,524</w:t>
            </w:r>
          </w:p>
        </w:tc>
        <w:tc>
          <w:tcPr>
            <w:tcW w:w="15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23,594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gains from sales of other loans,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10,730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lending and loan servicing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10,005</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losses,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derivatives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2,180</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r>
      <w:tr>
        <w:trPr>
          <w:trHeight w:val="21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investment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6,603</w:t>
            </w:r>
          </w:p>
        </w:tc>
        <w:tc>
          <w:tcPr>
            <w:tcW w:w="15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3,758</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11,999</w:t>
            </w:r>
          </w:p>
        </w:tc>
        <w:tc>
          <w:tcPr>
            <w:tcW w:w="154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89</w:t>
            </w:r>
          </w:p>
        </w:tc>
      </w:tr>
      <w:tr>
        <w:trPr>
          <w:trHeight w:val="205"/>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26,563</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r>
      <w:tr>
        <w:trPr>
          <w:trHeight w:val="207"/>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137,707</w:t>
            </w:r>
          </w:p>
        </w:tc>
        <w:tc>
          <w:tcPr>
            <w:tcW w:w="15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65</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 fees for 2024 increased compared to 2023, driven by higher overdraft transaction volume.</w:t>
      </w: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Mortgage loan gains and related fees consist primarily of fees earned on mortgage originations, gains on the sale of mortgages in the secondary market, mortgage derivative hedging gains and losses, fair value adjustments to our mortgage loans held for sale and fees earned from servicing mortgages for others, including fair value adjustments on our mortgage servicing asset. The change in mortgage income is strongly tied to the interest rate environment and industry conditions. We recognize the majority of income on mortgages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when customers enter into mortgage rate lock commitments, making our mortgage rate lock volume a significant driver of mortgage gains in any given period.</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 in mortgage loan gains and related fees was primarily a result of an increase in mortgage loan gains of $6.42 million and an increase in mortgage servicing income, which includes fair value adjustments to our mortgage servicing asset, of $2.52 million. The increase in mortgage loan gains resulted from higher sales volume as we sold a higher percentage of our mortgage production in 2024 compared to 2023. As reflected in the following table, mortgage origination and rate lock demand declined slightly, but remained relatively stable from 2023 to 2024 as mortgage interest rates remained elevated during 2024.</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6 - Selected Mortgage Metrics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4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6"/>
        </w:trPr>
        <w:tc>
          <w:tcPr>
            <w:tcW w:w="510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Mortgage rate locks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1,145,719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1,166,823</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(2)%</w:t>
            </w:r>
          </w:p>
        </w:tc>
        <w:tc>
          <w:tcPr>
            <w:tcW w:w="2300" w:type="dxa"/>
            <w:vAlign w:val="bottom"/>
            <w:tcBorders>
              <w:top w:val="single" w:sz="8" w:color="CCEEFF"/>
            </w:tcBorders>
            <w:shd w:val="clear" w:color="auto" w:fill="CCEEFF"/>
          </w:tcPr>
          <w:p>
            <w:pPr>
              <w:spacing w:after="0"/>
              <w:rPr>
                <w:sz w:val="17"/>
                <w:szCs w:val="17"/>
                <w:color w:val="auto"/>
              </w:rPr>
            </w:pPr>
          </w:p>
        </w:tc>
      </w:tr>
      <w:tr>
        <w:trPr>
          <w:trHeight w:val="210"/>
        </w:trPr>
        <w:tc>
          <w:tcPr>
            <w:tcW w:w="51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 of mortgage rate locks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(2)</w:t>
            </w:r>
          </w:p>
        </w:tc>
        <w:tc>
          <w:tcPr>
            <w:tcW w:w="2300" w:type="dxa"/>
            <w:vAlign w:val="bottom"/>
          </w:tcPr>
          <w:p>
            <w:pPr>
              <w:spacing w:after="0"/>
              <w:rPr>
                <w:sz w:val="18"/>
                <w:szCs w:val="18"/>
                <w:color w:val="auto"/>
              </w:rPr>
            </w:pPr>
          </w:p>
        </w:tc>
      </w:tr>
      <w:tr>
        <w:trPr>
          <w:trHeight w:val="214"/>
        </w:trPr>
        <w:tc>
          <w:tcPr>
            <w:tcW w:w="5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0"/>
        </w:trPr>
        <w:tc>
          <w:tcPr>
            <w:tcW w:w="51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Mortgage loans sold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605,880</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443,316</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37</w:t>
            </w:r>
          </w:p>
        </w:tc>
        <w:tc>
          <w:tcPr>
            <w:tcW w:w="2300" w:type="dxa"/>
            <w:vAlign w:val="bottom"/>
          </w:tcPr>
          <w:p>
            <w:pPr>
              <w:spacing w:after="0"/>
              <w:rPr>
                <w:sz w:val="18"/>
                <w:szCs w:val="18"/>
                <w:color w:val="auto"/>
              </w:rPr>
            </w:pPr>
          </w:p>
        </w:tc>
      </w:tr>
      <w:tr>
        <w:trPr>
          <w:trHeight w:val="214"/>
        </w:trPr>
        <w:tc>
          <w:tcPr>
            <w:tcW w:w="510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 of mortgage loans sold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29</w:t>
            </w:r>
          </w:p>
        </w:tc>
        <w:tc>
          <w:tcPr>
            <w:tcW w:w="2300" w:type="dxa"/>
            <w:vAlign w:val="bottom"/>
            <w:shd w:val="clear" w:color="auto" w:fill="CCEEFF"/>
          </w:tcPr>
          <w:p>
            <w:pPr>
              <w:spacing w:after="0"/>
              <w:rPr>
                <w:sz w:val="18"/>
                <w:szCs w:val="18"/>
                <w:color w:val="auto"/>
              </w:rPr>
            </w:pPr>
          </w:p>
        </w:tc>
      </w:tr>
      <w:tr>
        <w:trPr>
          <w:trHeight w:val="212"/>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510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0"/>
        </w:trPr>
        <w:tc>
          <w:tcPr>
            <w:tcW w:w="510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751,510</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789,869</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w:t>
            </w:r>
          </w:p>
        </w:tc>
        <w:tc>
          <w:tcPr>
            <w:tcW w:w="2300" w:type="dxa"/>
            <w:vAlign w:val="bottom"/>
          </w:tcPr>
          <w:p>
            <w:pPr>
              <w:spacing w:after="0"/>
              <w:rPr>
                <w:sz w:val="18"/>
                <w:szCs w:val="18"/>
                <w:color w:val="auto"/>
              </w:rPr>
            </w:pPr>
          </w:p>
        </w:tc>
      </w:tr>
      <w:tr>
        <w:trPr>
          <w:trHeight w:val="212"/>
        </w:trPr>
        <w:tc>
          <w:tcPr>
            <w:tcW w:w="51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Refinances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118,748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113,151</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2300" w:type="dxa"/>
            <w:vAlign w:val="bottom"/>
            <w:shd w:val="clear" w:color="auto" w:fill="CCEEFF"/>
          </w:tcPr>
          <w:p>
            <w:pPr>
              <w:spacing w:after="0"/>
              <w:rPr>
                <w:sz w:val="18"/>
                <w:szCs w:val="18"/>
                <w:color w:val="auto"/>
              </w:rPr>
            </w:pPr>
          </w:p>
        </w:tc>
      </w:tr>
      <w:tr>
        <w:trPr>
          <w:trHeight w:val="207"/>
        </w:trPr>
        <w:tc>
          <w:tcPr>
            <w:tcW w:w="510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870,258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903,020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(4)</w:t>
            </w:r>
          </w:p>
        </w:tc>
        <w:tc>
          <w:tcPr>
            <w:tcW w:w="2300" w:type="dxa"/>
            <w:vAlign w:val="bottom"/>
          </w:tcPr>
          <w:p>
            <w:pPr>
              <w:spacing w:after="0"/>
              <w:rPr>
                <w:sz w:val="18"/>
                <w:szCs w:val="18"/>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r>
      <w:tr>
        <w:trPr>
          <w:trHeight w:val="178"/>
        </w:trPr>
        <w:tc>
          <w:tcPr>
            <w:tcW w:w="5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08"/>
        </w:trPr>
        <w:tc>
          <w:tcPr>
            <w:tcW w:w="51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(3)</w:t>
            </w:r>
          </w:p>
        </w:tc>
        <w:tc>
          <w:tcPr>
            <w:tcW w:w="2300" w:type="dxa"/>
            <w:vAlign w:val="bottom"/>
          </w:tcPr>
          <w:p>
            <w:pPr>
              <w:spacing w:after="0"/>
              <w:rPr>
                <w:sz w:val="18"/>
                <w:szCs w:val="18"/>
                <w:color w:val="auto"/>
              </w:rPr>
            </w:pPr>
          </w:p>
        </w:tc>
      </w:tr>
    </w:tbl>
    <w:p>
      <w:pPr>
        <w:spacing w:after="0" w:line="3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Wealth management fees for 2024 were flat compared to 2023. Our total assets under management and advisement as of December 31, 2024 and 2023, were $3.15 billion and $5.29 billion, respectively. The decrease reflects the sale of FinTrust, which closed October 1, 2024.</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based on market conditions. In addition, during 2024, we sold substantially all of our manufactured housing loan portfolio. This portfolio was part of the 2022 Reliant acquisition and had been in runoff mode following our decision to cease originations in 2023. The sale reduced risk and allowed us to redirect resources to activities that better align with our strategic objectives. The following table presents loans sold and the corresponding gains and losses recognized for the periods indicated.</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7 - Other Loan Sales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20"/>
                <w:szCs w:val="20"/>
                <w:color w:val="auto"/>
              </w:rPr>
            </w:pPr>
          </w:p>
        </w:tc>
        <w:tc>
          <w:tcPr>
            <w:tcW w:w="1380" w:type="dxa"/>
            <w:vAlign w:val="bottom"/>
          </w:tcPr>
          <w:p>
            <w:pPr>
              <w:spacing w:after="0"/>
              <w:rPr>
                <w:sz w:val="20"/>
                <w:szCs w:val="20"/>
                <w:color w:val="auto"/>
              </w:rPr>
            </w:pPr>
          </w:p>
        </w:tc>
      </w:tr>
      <w:tr>
        <w:trPr>
          <w:trHeight w:val="204"/>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180" w:type="dxa"/>
            <w:vAlign w:val="bottom"/>
          </w:tcPr>
          <w:p>
            <w:pPr>
              <w:spacing w:after="0"/>
              <w:rPr>
                <w:sz w:val="17"/>
                <w:szCs w:val="17"/>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8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Gain</w:t>
            </w:r>
          </w:p>
        </w:tc>
        <w:tc>
          <w:tcPr>
            <w:tcW w:w="1380" w:type="dxa"/>
            <w:vAlign w:val="bottom"/>
          </w:tcPr>
          <w:p>
            <w:pPr>
              <w:spacing w:after="0"/>
              <w:rPr>
                <w:sz w:val="17"/>
                <w:szCs w:val="17"/>
                <w:color w:val="auto"/>
              </w:rPr>
            </w:pPr>
          </w:p>
        </w:tc>
      </w:tr>
      <w:tr>
        <w:trPr>
          <w:trHeight w:val="206"/>
        </w:trPr>
        <w:tc>
          <w:tcPr>
            <w:tcW w:w="4520" w:type="dxa"/>
            <w:vAlign w:val="bottom"/>
            <w:tcBorders>
              <w:top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Manufactured housing loan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CCEEFF"/>
            </w:tcBorders>
            <w:shd w:val="clear" w:color="auto" w:fill="CCEEFF"/>
          </w:tcPr>
          <w:p>
            <w:pPr>
              <w:spacing w:after="0"/>
              <w:rPr>
                <w:sz w:val="17"/>
                <w:szCs w:val="17"/>
                <w:color w:val="auto"/>
              </w:rPr>
            </w:pPr>
          </w:p>
        </w:tc>
      </w:tr>
      <w:tr>
        <w:trPr>
          <w:trHeight w:val="210"/>
        </w:trPr>
        <w:tc>
          <w:tcPr>
            <w:tcW w:w="45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1380" w:type="dxa"/>
            <w:vAlign w:val="bottom"/>
          </w:tcPr>
          <w:p>
            <w:pPr>
              <w:spacing w:after="0"/>
              <w:rPr>
                <w:sz w:val="18"/>
                <w:szCs w:val="18"/>
                <w:color w:val="auto"/>
              </w:rPr>
            </w:pPr>
          </w:p>
        </w:tc>
      </w:tr>
      <w:tr>
        <w:trPr>
          <w:trHeight w:val="214"/>
        </w:trPr>
        <w:tc>
          <w:tcPr>
            <w:tcW w:w="45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380" w:type="dxa"/>
            <w:vAlign w:val="bottom"/>
            <w:shd w:val="clear" w:color="auto" w:fill="CCEEFF"/>
          </w:tcPr>
          <w:p>
            <w:pPr>
              <w:spacing w:after="0"/>
              <w:rPr>
                <w:sz w:val="18"/>
                <w:szCs w:val="18"/>
                <w:color w:val="auto"/>
              </w:rPr>
            </w:pPr>
          </w:p>
        </w:tc>
      </w:tr>
      <w:tr>
        <w:trPr>
          <w:trHeight w:val="205"/>
        </w:trPr>
        <w:tc>
          <w:tcPr>
            <w:tcW w:w="45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431,634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200,051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138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fourth quarter of 2023, we sold $316 million in AFS securities for a loss of $51.7 million with the strategic rationale of reducing long duration securities with lower yields and replacing them with higher yielding shorter duration securities to mitigate interest rate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noninterest income for 2024 compared to 2023 was primarily driven by the following factors:</w:t>
      </w:r>
    </w:p>
    <w:p>
      <w:pPr>
        <w:spacing w:after="0" w:line="124" w:lineRule="exact"/>
        <w:rPr>
          <w:sz w:val="20"/>
          <w:szCs w:val="20"/>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recorded $7.82 million in other investment income, compared to nominal net losses in 2023. The increase is mostly attributable to our equity investments, for which we recorded net gains of $2.42 million, compared to net losses of $6.68 million in 2023. Additionally, we recorded higher gains on mutual funds, while we recorded lower equity method income from limited partnership investments.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1" w:name="page52"/>
    <w:bookmarkEnd w:id="51"/>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BOLI income primarily resulted from higher death benefits recognized in 2024 compared to 2023.</w:t>
      </w:r>
    </w:p>
    <w:p>
      <w:pPr>
        <w:spacing w:after="0" w:line="124"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management income increased 34% compared to 2023, which reflects our continued investment in both talent and product offerings related to this line of business.</w:t>
      </w:r>
    </w:p>
    <w:p>
      <w:pPr>
        <w:spacing w:after="0" w:line="8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increased in 2024 primarily due to a lease termination gain of $2.40 million resulting from exiting one of our corporate offices, a gain on extinguishment of debt of $2.27 million and a $937,000 positive change in collateral charges related to our derivative positions. The gain on extinguishment of debt resulted from the write-off of remaining premium associated with $60.0 million of subordinated debt we redeemed during the fourth quarter of 2024. The subordinated debt was assumed as part of the 2022 Reliant acquisition and the associated premium was the remaining unamortized balance of a purchase accounting adjustment recorded at acquisition.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8 - Noninterest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2024-2023</w:t>
            </w:r>
          </w:p>
        </w:tc>
      </w:tr>
      <w:tr>
        <w:trPr>
          <w:trHeight w:val="20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340,043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318,464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276,205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36,247</w:t>
            </w:r>
          </w:p>
        </w:tc>
        <w:tc>
          <w:tcPr>
            <w:tcW w:w="15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38,234</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20,166</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9,350</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12,583</w:t>
            </w:r>
          </w:p>
        </w:tc>
        <w:tc>
          <w:tcPr>
            <w:tcW w:w="15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8,749</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8,384</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9,894</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6,826</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19,375</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24,136</w:t>
            </w:r>
          </w:p>
        </w:tc>
        <w:tc>
          <w:tcPr>
            <w:tcW w:w="154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r>
      <w:tr>
        <w:trPr>
          <w:trHeight w:val="232"/>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578,167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571,273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470,149</w:t>
            </w:r>
          </w:p>
        </w:tc>
        <w:tc>
          <w:tcPr>
            <w:tcW w:w="154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Salaries and employee benefits for 2024 increased $21.6 million compared to 2023. The increase was driven by higher total compensation including merit increases along with higher group medical insurance costs. The increase in salaries was also driven by the inclusion of First Miami employees for the full year in 2024. Full time equivalent headcount totaled 2,979 at December 31, 2024, down 5% from 3,121 at December 31, 2023, which is partly attributable to the sale of FinTrust and reduction in staff dedicated to the manufactured housing loan portfolio.</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increase in occupancy costs was attributable to higher repairs and maintenance costs and depreciation expense, partially offset by a reduction in rent expense. The increase in depreciation expense was partially driven by the addition of our new Greenville headquarters building, which was completed in March 2024. The new headquarters building allowed for the consolidation of multiple leased office space locations, which contributed to the decrease in rent expense. The increase in occupancy cost for 2024 was also partially attributable to an additional six months of expense related to branches acquired in the First Miami transaction compared to 2023.</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Communications and equipment expense increased primarily due to incremental software contract costs and the growth in our network. We also recorded higher depreciation expense related to software and equipment placed into service during 2024, which included technology equipment for our new Greenville headquarters building, the implementation of a new syndicated loan platform, and new signage associated with our rebranding.</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FDIC assessments and other regulatory charges were elevated during 2023 due to a $10.0 million accrual of the FDIC special assessment that was assessed to recover losses resulting from the 2023 bank failures. FDIC assessments and other regulatory charges for 2024 reflects an additional $1.74 million of accrued expense related to the final determination of the FDIC special assessment and higher expense due to the increase in our assessment base.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other noninterest expense for 2024 was primarily attributable to a $5.39 million loss on the sale of FinTrust. The majority of the loss was recognized as a $5.10 million write-down to FinTrust’s goodwill during the second quarter of 2024 when the business was transferred to held for sale. The impairment reflected the reduction of FinTrust’s book value to the estimated fair value of the sales consideration. We recorded an incremental loss of approximately $293,000 when the sale closed during the fourth quarter of 2024.</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Merger-related and other charges for 2024 primarily consisted of costs associated with our rebranding, branch closure costs, and expenses related to the sale of FinTrust. Merger-related and other charges for 2023 related to the acquisitions and system conversions of Progress and First Miami.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effective tax rates for 2024 and 2023 were 21.9% and 19.4%, respectively. Our effective tax rate for 2023 was unusually low, reflecting a drop in earnings before income taxes as a result of losses from restructuring our bond portfolio. The effective tax rate decreased as tax exempt revenue represented a larger proportion of pre-tax income. Also in 2023, we had a larger amount of tax credits from solar tax equity investments. See Note 19 for a reconciliation of income taxes calculated at our statutory federal income tax rate to income tax expense recognized in our consolidated statements of income. Reconciling items generally consist of state income taxes, as well as the effect of tax exempt income and non-deductible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Total assets at December 31, 2024 and December 31, 2023 were $27.7 billion and $27.3 billion, respectively. Total liabilities at December 31, 2024 and December 31, 2023 were $24.3 billion and $24.0 billion, respectively. Shareholders’ equity totaled $3.43 billion and $3.26 billion at December 31, 2024 and 2023, respectively. The following discussion of the major components of our balance sheet highlights significant activity resulting in the change in our financial condition between December 31, 2023 and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At December 31, 2024, total loans were $18.2 billion compared to $18.3 billion at December 31, 2023. The following presents the composition of our loan portfolio as of the dates indicated.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Loan Portfolio Composition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2540</wp:posOffset>
            </wp:positionV>
            <wp:extent cx="5250180" cy="2827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50180" cy="282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table provides a disaggregation of our Income Producing CRE portfolio, which totaled $4.36 billion as of December 31, 2024. Common risks for this loan category include declines in general economic conditions, declines in real estate value, declines in occupancy rates, and lack of suitable alternative use for the property. Over the past few years, the cost of renting CRE has risen substantially due to increased levels of inflation and a relatively high interest rate environment. This can increase the risk of lower occupancy rates for our borrowers. Additionally, demand for office space has declined as many companies have reduced the sizes of their offices to account for hybrid and remote work arrangements. We monitor our income producing CRE portfolio through debt covenant monitoring and performing annual review procedures. Our office income producing CRE portfolio totaled $792 million as of December 31, 2024. The average loan size within this category was $1.42 million and the largest loan was $16.5 million. Senior care loans, which we no longer originate, totaled $259 million at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 CRE - Income Producing Portfolio Composition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2540</wp:posOffset>
            </wp:positionV>
            <wp:extent cx="5250180" cy="2827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50180" cy="282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our 25 largest credit relationships consisted of loans and loan commitments ranging from $38.3 million to $79.2 million, with an aggregate total credit exposure of $1.19 billion, including $282 million in unfunded commitments and $904 million in balances outstanding, excluding participations sold. As of December 31, 2023, our 25 largest credit relationships consisted of loans and loan commitments ranging from $38.9 million to $81.6 million, with an aggregate total credit exposure of $1.16 billion, including $332 million in unfunded commitments and $832 million in balances outstanding, excluding participations sold.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following table sets forth the maturity distribution of our loan portfolio, including the interest rate sensitivity for loans maturing after one year.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 Loan Portfolio Maturity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Rate Structure for</w:t>
            </w: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ind w:left="180"/>
              <w:spacing w:after="0" w:line="159" w:lineRule="exact"/>
              <w:rPr>
                <w:sz w:val="20"/>
                <w:szCs w:val="20"/>
                <w:color w:val="auto"/>
              </w:rPr>
            </w:pPr>
            <w:r>
              <w:rPr>
                <w:rFonts w:ascii="Times New Roman" w:cs="Times New Roman" w:eastAsia="Times New Roman" w:hAnsi="Times New Roman"/>
                <w:sz w:val="16"/>
                <w:szCs w:val="16"/>
                <w:b w:val="1"/>
                <w:bCs w:val="1"/>
                <w:color w:val="auto"/>
              </w:rPr>
              <w:t>Loans Maturing Over</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621"/>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One Year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220" w:type="dxa"/>
            <w:vAlign w:val="bottom"/>
          </w:tcPr>
          <w:p>
            <w:pPr>
              <w:spacing w:after="0"/>
              <w:rPr>
                <w:sz w:val="13"/>
                <w:szCs w:val="13"/>
                <w:color w:val="auto"/>
              </w:rPr>
            </w:pPr>
          </w:p>
        </w:tc>
        <w:tc>
          <w:tcPr>
            <w:tcW w:w="840" w:type="dxa"/>
            <w:vAlign w:val="bottom"/>
          </w:tcPr>
          <w:p>
            <w:pPr>
              <w:jc w:val="right"/>
              <w:ind w:right="321"/>
              <w:spacing w:after="0" w:line="152" w:lineRule="exact"/>
              <w:rPr>
                <w:sz w:val="20"/>
                <w:szCs w:val="20"/>
                <w:color w:val="auto"/>
              </w:rPr>
            </w:pPr>
            <w:r>
              <w:rPr>
                <w:rFonts w:ascii="Times New Roman" w:cs="Times New Roman" w:eastAsia="Times New Roman" w:hAnsi="Times New Roman"/>
                <w:sz w:val="16"/>
                <w:szCs w:val="16"/>
                <w:b w:val="1"/>
                <w:bCs w:val="1"/>
                <w:color w:val="auto"/>
              </w:rPr>
              <w:t>2 - 5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1"/>
              <w:spacing w:after="0" w:line="152" w:lineRule="exact"/>
              <w:rPr>
                <w:sz w:val="20"/>
                <w:szCs w:val="20"/>
                <w:color w:val="auto"/>
              </w:rPr>
            </w:pPr>
            <w:r>
              <w:rPr>
                <w:rFonts w:ascii="Times New Roman" w:cs="Times New Roman" w:eastAsia="Times New Roman" w:hAnsi="Times New Roman"/>
                <w:sz w:val="16"/>
                <w:szCs w:val="16"/>
                <w:b w:val="1"/>
                <w:bCs w:val="1"/>
                <w:color w:val="auto"/>
                <w:w w:val="96"/>
              </w:rPr>
              <w:t>6 - 15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9"/>
              </w:rPr>
              <w:t>After 15</w:t>
            </w:r>
          </w:p>
        </w:tc>
        <w:tc>
          <w:tcPr>
            <w:tcW w:w="2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3"/>
                <w:szCs w:val="13"/>
                <w:color w:val="auto"/>
              </w:rPr>
            </w:pPr>
          </w:p>
        </w:tc>
        <w:tc>
          <w:tcPr>
            <w:tcW w:w="94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6"/>
                <w:szCs w:val="16"/>
                <w:b w:val="1"/>
                <w:bCs w:val="1"/>
                <w:color w:val="auto"/>
              </w:rPr>
              <w:t>Fixed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Variable Rate</w:t>
            </w: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or Less</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307,759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1,545,042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1,348,503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196,913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2,148,417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942,041</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869,940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2,422,805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174,637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1,616,544</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1,201,415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1,032,497</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891,336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1,225,790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2,293,413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7,286,388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3,419,118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506,805</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6,782,135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4,430,176</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29,456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3,011,175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2,140,261</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936,116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1,050,859</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129,411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26,817</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125,450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0" w:type="dxa"/>
            <w:vAlign w:val="bottom"/>
          </w:tcPr>
          <w:p>
            <w:pPr>
              <w:spacing w:after="0"/>
              <w:rPr>
                <w:sz w:val="1"/>
                <w:szCs w:val="1"/>
                <w:color w:val="auto"/>
              </w:rPr>
            </w:pPr>
          </w:p>
        </w:tc>
      </w:tr>
      <w:tr>
        <w:trPr>
          <w:trHeight w:val="207"/>
        </w:trPr>
        <w:tc>
          <w:tcPr>
            <w:tcW w:w="3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2,360,160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7,499,299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3,722,587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4,586,607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8,158,520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7,649,973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4"/>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fixed versus variable determination does not reflect the portfolio layer fair value hedges on certain loans.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approved portfolio concentration limits, establishing credit policies and procedures and enforcing the consistent application of these policies and procedures.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reviews of classified performing and non-performing loans, FDMs,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credit and risk rating policies and procedures.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ACL reflects management’s assessment of the life of loan expected credit losses in the loan portfolio and unfunded loan commitments. This assessment involves uncertainty and judgment and is subject to change in future periods. The amount of any changes could be significant if the assessment of loan quality or collateral values changes substantially with respect to one or more loan relationships or portfolios or if there is a significant change in the reasonable and supportable forecast used to model our expected credit losses. The allocation of the ACL is based on reasonable and supportable forecasts, historical data, subjective judgment and estimates and therefore, may not be predictive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Estimates section for additional information on the ACL.</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total ACL for loans at December 31, 2024 decreased by $1.07 million compared to December 31, 2023 and the ACL for loans as a percentage of total loans remained constant. During the third quarter of 2024, we established an additional allowance of $9.89 million related to expected loan losses in nine counties in western North Carolina severely affected by Hurricane Helene, which we maintained as of December 31, 2024 as we continue to monitor the impact of the hurricane on our borrowers. Over half of this allowance was allocated to the residential mortgage portfolio. As of December 31, 2024, we had $27.9 million in loans with hurricane-related short-term payment deferrals. Additionally, there was an increase in the ACL for equipment financing loans driven mostly by loan growth and recent charge-off history. These increases were partly offset by the $9.89 million decrease in ACL for manufactured housing loans, as we sold substantially all of that portfolio during the third quarter of 2024. Our ACL for unfunded commitments decreased mostly due to a decrease in our construction commitments.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ACL for each of the past three years.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 Allocation of ACL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ACL</w:t>
            </w:r>
          </w:p>
        </w:tc>
        <w:tc>
          <w:tcPr>
            <w:tcW w:w="126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each category to</w:t>
            </w:r>
          </w:p>
        </w:tc>
        <w:tc>
          <w:tcPr>
            <w:tcW w:w="300" w:type="dxa"/>
            <w:vAlign w:val="bottom"/>
          </w:tcPr>
          <w:p>
            <w:pPr>
              <w:spacing w:after="0"/>
              <w:rPr>
                <w:sz w:val="13"/>
                <w:szCs w:val="13"/>
                <w:color w:val="auto"/>
              </w:rPr>
            </w:pPr>
          </w:p>
        </w:tc>
        <w:tc>
          <w:tcPr>
            <w:tcW w:w="118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ACL</w:t>
            </w:r>
          </w:p>
        </w:tc>
        <w:tc>
          <w:tcPr>
            <w:tcW w:w="128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each category to</w:t>
            </w:r>
          </w:p>
        </w:tc>
        <w:tc>
          <w:tcPr>
            <w:tcW w:w="300" w:type="dxa"/>
            <w:vAlign w:val="bottom"/>
          </w:tcPr>
          <w:p>
            <w:pPr>
              <w:spacing w:after="0"/>
              <w:rPr>
                <w:sz w:val="13"/>
                <w:szCs w:val="13"/>
                <w:color w:val="auto"/>
              </w:rPr>
            </w:pPr>
          </w:p>
        </w:tc>
        <w:tc>
          <w:tcPr>
            <w:tcW w:w="1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ACL</w:t>
            </w:r>
          </w:p>
        </w:tc>
        <w:tc>
          <w:tcPr>
            <w:tcW w:w="11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each category to</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total loans</w:t>
            </w:r>
          </w:p>
        </w:tc>
        <w:tc>
          <w:tcPr>
            <w:tcW w:w="3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 loans</w:t>
            </w:r>
          </w:p>
        </w:tc>
        <w:tc>
          <w:tcPr>
            <w:tcW w:w="3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loans</w:t>
            </w:r>
          </w:p>
        </w:tc>
        <w:tc>
          <w:tcPr>
            <w:tcW w:w="0" w:type="dxa"/>
            <w:vAlign w:val="bottom"/>
          </w:tcPr>
          <w:p>
            <w:pPr>
              <w:spacing w:after="0"/>
              <w:rPr>
                <w:sz w:val="1"/>
                <w:szCs w:val="1"/>
                <w:color w:val="auto"/>
              </w:rPr>
            </w:pPr>
          </w:p>
        </w:tc>
      </w:tr>
      <w:tr>
        <w:trPr>
          <w:trHeight w:val="206"/>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23,542</w:t>
            </w: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19,834</w:t>
            </w: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41,427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47,755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32,082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35,441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30,890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16,370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21,741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20,120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47,415</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33,383</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23,395</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160,526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157,311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118,935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32,259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28,219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11,247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9,647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8,707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10,339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206,998</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208,071</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159,357</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6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6"/>
                <w:szCs w:val="16"/>
                <w:color w:val="auto"/>
              </w:rPr>
              <w:t>ACL - unfunded commitments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21"/>
              <w:spacing w:after="0" w:line="177" w:lineRule="exact"/>
              <w:rPr>
                <w:sz w:val="20"/>
                <w:szCs w:val="20"/>
                <w:color w:val="auto"/>
              </w:rPr>
            </w:pPr>
            <w:r>
              <w:rPr>
                <w:rFonts w:ascii="Times New Roman" w:cs="Times New Roman" w:eastAsia="Times New Roman" w:hAnsi="Times New Roman"/>
                <w:sz w:val="16"/>
                <w:szCs w:val="16"/>
                <w:color w:val="auto"/>
              </w:rPr>
              <w:t>10,391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21"/>
              <w:spacing w:after="0" w:line="177" w:lineRule="exact"/>
              <w:rPr>
                <w:sz w:val="20"/>
                <w:szCs w:val="20"/>
                <w:color w:val="auto"/>
              </w:rPr>
            </w:pPr>
            <w:r>
              <w:rPr>
                <w:rFonts w:ascii="Times New Roman" w:cs="Times New Roman" w:eastAsia="Times New Roman" w:hAnsi="Times New Roman"/>
                <w:sz w:val="16"/>
                <w:szCs w:val="16"/>
                <w:color w:val="auto"/>
              </w:rPr>
              <w:t>16,057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21"/>
              <w:spacing w:after="0" w:line="177" w:lineRule="exact"/>
              <w:rPr>
                <w:sz w:val="20"/>
                <w:szCs w:val="20"/>
                <w:color w:val="auto"/>
              </w:rPr>
            </w:pPr>
            <w:r>
              <w:rPr>
                <w:rFonts w:ascii="Times New Roman" w:cs="Times New Roman" w:eastAsia="Times New Roman" w:hAnsi="Times New Roman"/>
                <w:sz w:val="16"/>
                <w:szCs w:val="16"/>
                <w:color w:val="auto"/>
              </w:rPr>
              <w:t>21,163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217,389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224,128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180,520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loans as a percentage of total loans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charge-offs to average loans for each of the past three years.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 Net Charge-offs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Net Charge-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Net Charge-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Net Charge-</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Net Charge-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Net Charge-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Net Charge-</w:t>
            </w:r>
          </w:p>
        </w:tc>
        <w:tc>
          <w:tcPr>
            <w:tcW w:w="0" w:type="dxa"/>
            <w:vAlign w:val="bottom"/>
          </w:tcPr>
          <w:p>
            <w:pPr>
              <w:spacing w:after="0"/>
              <w:rPr>
                <w:sz w:val="1"/>
                <w:szCs w:val="1"/>
                <w:color w:val="auto"/>
              </w:rPr>
            </w:pPr>
          </w:p>
        </w:tc>
      </w:tr>
      <w:tr>
        <w:trPr>
          <w:trHeight w:val="154"/>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Offs to</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Offs to</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Offs to</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5"/>
                <w:szCs w:val="15"/>
                <w:b w:val="1"/>
                <w:bCs w:val="1"/>
                <w:color w:val="auto"/>
              </w:rPr>
              <w:t>Offs</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Average Loans</w:t>
            </w:r>
          </w:p>
        </w:tc>
        <w:tc>
          <w:tcPr>
            <w:tcW w:w="100" w:type="dxa"/>
            <w:vAlign w:val="bottom"/>
          </w:tcPr>
          <w:p>
            <w:pPr>
              <w:spacing w:after="0"/>
              <w:rPr>
                <w:sz w:val="12"/>
                <w:szCs w:val="12"/>
                <w:color w:val="auto"/>
              </w:rPr>
            </w:pPr>
          </w:p>
        </w:tc>
        <w:tc>
          <w:tcPr>
            <w:tcW w:w="90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5"/>
                <w:szCs w:val="15"/>
                <w:b w:val="1"/>
                <w:bCs w:val="1"/>
                <w:color w:val="auto"/>
              </w:rPr>
              <w:t>Offs</w:t>
            </w:r>
          </w:p>
        </w:tc>
        <w:tc>
          <w:tcPr>
            <w:tcW w:w="14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5"/>
              <w:spacing w:after="0" w:line="146" w:lineRule="exact"/>
              <w:rPr>
                <w:sz w:val="20"/>
                <w:szCs w:val="20"/>
                <w:color w:val="auto"/>
              </w:rPr>
            </w:pPr>
            <w:r>
              <w:rPr>
                <w:rFonts w:ascii="Times New Roman" w:cs="Times New Roman" w:eastAsia="Times New Roman" w:hAnsi="Times New Roman"/>
                <w:sz w:val="15"/>
                <w:szCs w:val="15"/>
                <w:b w:val="1"/>
                <w:bCs w:val="1"/>
                <w:color w:val="auto"/>
              </w:rPr>
              <w:t>Offs</w:t>
            </w: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98"/>
        </w:trPr>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Loans</w:t>
            </w:r>
          </w:p>
        </w:tc>
        <w:tc>
          <w:tcPr>
            <w:tcW w:w="100" w:type="dxa"/>
            <w:vAlign w:val="bottom"/>
          </w:tcPr>
          <w:p>
            <w:pPr>
              <w:spacing w:after="0"/>
              <w:rPr>
                <w:sz w:val="17"/>
                <w:szCs w:val="17"/>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Loans</w:t>
            </w:r>
          </w:p>
        </w:tc>
        <w:tc>
          <w:tcPr>
            <w:tcW w:w="11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Loans</w:t>
            </w: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Loans</w:t>
            </w:r>
          </w:p>
        </w:tc>
        <w:tc>
          <w:tcPr>
            <w:tcW w:w="100" w:type="dxa"/>
            <w:vAlign w:val="bottom"/>
          </w:tcPr>
          <w:p>
            <w:pPr>
              <w:spacing w:after="0"/>
              <w:rPr>
                <w:sz w:val="17"/>
                <w:szCs w:val="17"/>
                <w:color w:val="auto"/>
              </w:rPr>
            </w:pPr>
          </w:p>
        </w:tc>
        <w:tc>
          <w:tcPr>
            <w:tcW w:w="92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Loans</w:t>
            </w:r>
          </w:p>
        </w:tc>
        <w:tc>
          <w:tcPr>
            <w:tcW w:w="0" w:type="dxa"/>
            <w:vAlign w:val="bottom"/>
          </w:tcPr>
          <w:p>
            <w:pPr>
              <w:spacing w:after="0"/>
              <w:rPr>
                <w:sz w:val="1"/>
                <w:szCs w:val="1"/>
                <w:color w:val="auto"/>
              </w:rPr>
            </w:pPr>
          </w:p>
        </w:tc>
      </w:tr>
      <w:tr>
        <w:trPr>
          <w:trHeight w:val="192"/>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Owner occupied CRE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3,302,948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3,166,495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w w:val="98"/>
              </w:rPr>
              <w:t>0.02 %</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2,662,600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producing CRE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4,193,032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3,581</w:t>
            </w:r>
          </w:p>
        </w:tc>
        <w:tc>
          <w:tcPr>
            <w:tcW w:w="100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0.09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3,834,585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5,939</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0.15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3,283,107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4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(0.01)</w:t>
            </w:r>
          </w:p>
        </w:tc>
        <w:tc>
          <w:tcPr>
            <w:tcW w:w="0" w:type="dxa"/>
            <w:vAlign w:val="bottom"/>
          </w:tcPr>
          <w:p>
            <w:pPr>
              <w:spacing w:after="0"/>
              <w:rPr>
                <w:sz w:val="1"/>
                <w:szCs w:val="1"/>
                <w:color w:val="auto"/>
              </w:rPr>
            </w:pPr>
          </w:p>
        </w:tc>
      </w:tr>
      <w:tr>
        <w:trPr>
          <w:trHeight w:val="157"/>
        </w:trPr>
        <w:tc>
          <w:tcPr>
            <w:tcW w:w="16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5"/>
                <w:szCs w:val="15"/>
                <w:color w:val="auto"/>
              </w:rPr>
              <w:t>Commercial &amp;</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industrial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2,349,933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13,839</w:t>
            </w:r>
          </w:p>
        </w:tc>
        <w:tc>
          <w:tcPr>
            <w:tcW w:w="10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2,483,931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21,059</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0.85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2,271,279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6,460</w:t>
            </w:r>
          </w:p>
        </w:tc>
        <w:tc>
          <w:tcPr>
            <w:tcW w:w="1040" w:type="dxa"/>
            <w:vAlign w:val="bottom"/>
            <w:gridSpan w:val="2"/>
            <w:shd w:val="clear" w:color="auto" w:fill="CCEEFF"/>
          </w:tcPr>
          <w:p>
            <w:pPr>
              <w:jc w:val="center"/>
              <w:ind w:left="345"/>
              <w:spacing w:after="0"/>
              <w:rPr>
                <w:sz w:val="20"/>
                <w:szCs w:val="20"/>
                <w:color w:val="auto"/>
              </w:rPr>
            </w:pPr>
            <w:r>
              <w:rPr>
                <w:rFonts w:ascii="Times New Roman" w:cs="Times New Roman" w:eastAsia="Times New Roman" w:hAnsi="Times New Roman"/>
                <w:sz w:val="15"/>
                <w:szCs w:val="15"/>
                <w:color w:val="auto"/>
                <w:w w:val="98"/>
              </w:rPr>
              <w:t>0.28</w:t>
            </w:r>
          </w:p>
        </w:tc>
        <w:tc>
          <w:tcPr>
            <w:tcW w:w="0" w:type="dxa"/>
            <w:vAlign w:val="bottom"/>
          </w:tcPr>
          <w:p>
            <w:pPr>
              <w:spacing w:after="0"/>
              <w:rPr>
                <w:sz w:val="1"/>
                <w:szCs w:val="1"/>
                <w:color w:val="auto"/>
              </w:rPr>
            </w:pPr>
          </w:p>
        </w:tc>
      </w:tr>
      <w:tr>
        <w:trPr>
          <w:trHeight w:val="155"/>
        </w:trPr>
        <w:tc>
          <w:tcPr>
            <w:tcW w:w="16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Commercial</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1,865,786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1,800,307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1,502,093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04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(0.04)</w:t>
            </w: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Equipment financing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22,943</w:t>
            </w:r>
          </w:p>
        </w:tc>
        <w:tc>
          <w:tcPr>
            <w:tcW w:w="10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1,503,826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20,162</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1.34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1,217,993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3,953</w:t>
            </w:r>
          </w:p>
        </w:tc>
        <w:tc>
          <w:tcPr>
            <w:tcW w:w="1040" w:type="dxa"/>
            <w:vAlign w:val="bottom"/>
            <w:gridSpan w:val="2"/>
            <w:shd w:val="clear" w:color="auto" w:fill="CCEEFF"/>
          </w:tcPr>
          <w:p>
            <w:pPr>
              <w:jc w:val="center"/>
              <w:ind w:left="345"/>
              <w:spacing w:after="0"/>
              <w:rPr>
                <w:sz w:val="20"/>
                <w:szCs w:val="20"/>
                <w:color w:val="auto"/>
              </w:rPr>
            </w:pPr>
            <w:r>
              <w:rPr>
                <w:rFonts w:ascii="Times New Roman" w:cs="Times New Roman" w:eastAsia="Times New Roman" w:hAnsi="Times New Roman"/>
                <w:sz w:val="15"/>
                <w:szCs w:val="15"/>
                <w:color w:val="auto"/>
                <w:w w:val="98"/>
              </w:rPr>
              <w:t>0.32</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Residential mortgage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3,233,863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2,900,916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2,007,843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4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(0.01)</w:t>
            </w:r>
          </w:p>
        </w:tc>
        <w:tc>
          <w:tcPr>
            <w:tcW w:w="0" w:type="dxa"/>
            <w:vAlign w:val="bottom"/>
          </w:tcPr>
          <w:p>
            <w:pPr>
              <w:spacing w:after="0"/>
              <w:rPr>
                <w:sz w:val="1"/>
                <w:szCs w:val="1"/>
                <w:color w:val="auto"/>
              </w:rPr>
            </w:pPr>
          </w:p>
        </w:tc>
      </w:tr>
      <w:tr>
        <w:trPr>
          <w:trHeight w:val="201"/>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equity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991,460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935,596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(2,878)</w:t>
            </w:r>
          </w:p>
        </w:tc>
        <w:tc>
          <w:tcPr>
            <w:tcW w:w="10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802,674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040" w:type="dxa"/>
            <w:vAlign w:val="bottom"/>
            <w:gridSpan w:val="2"/>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auto"/>
                <w:w w:val="99"/>
              </w:rPr>
              <w:t>(0.08)</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Residential 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223,399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100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0.12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436,513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0.21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394,413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04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(0.06)</w:t>
            </w:r>
          </w:p>
        </w:tc>
        <w:tc>
          <w:tcPr>
            <w:tcW w:w="0" w:type="dxa"/>
            <w:vAlign w:val="bottom"/>
          </w:tcPr>
          <w:p>
            <w:pPr>
              <w:spacing w:after="0"/>
              <w:rPr>
                <w:sz w:val="1"/>
                <w:szCs w:val="1"/>
                <w:color w:val="auto"/>
              </w:rPr>
            </w:pPr>
          </w:p>
        </w:tc>
      </w:tr>
      <w:tr>
        <w:trPr>
          <w:trHeight w:val="201"/>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Manufactured housing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203,735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14,388</w:t>
            </w:r>
          </w:p>
        </w:tc>
        <w:tc>
          <w:tcPr>
            <w:tcW w:w="10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7.06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337,712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3,859</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1.14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285,556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40" w:type="dxa"/>
            <w:vAlign w:val="bottom"/>
            <w:gridSpan w:val="2"/>
            <w:shd w:val="clear" w:color="auto" w:fill="CCEEFF"/>
          </w:tcPr>
          <w:p>
            <w:pPr>
              <w:jc w:val="center"/>
              <w:ind w:left="345"/>
              <w:spacing w:after="0"/>
              <w:rPr>
                <w:sz w:val="20"/>
                <w:szCs w:val="20"/>
                <w:color w:val="auto"/>
              </w:rPr>
            </w:pPr>
            <w:r>
              <w:rPr>
                <w:rFonts w:ascii="Times New Roman" w:cs="Times New Roman" w:eastAsia="Times New Roman" w:hAnsi="Times New Roman"/>
                <w:sz w:val="15"/>
                <w:szCs w:val="15"/>
                <w:color w:val="auto"/>
                <w:w w:val="98"/>
              </w:rPr>
              <w:t>0.27</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183,003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2,691</w:t>
            </w:r>
          </w:p>
        </w:tc>
        <w:tc>
          <w:tcPr>
            <w:tcW w:w="100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176,543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1.74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2,260</w:t>
            </w:r>
          </w:p>
        </w:tc>
        <w:tc>
          <w:tcPr>
            <w:tcW w:w="1040" w:type="dxa"/>
            <w:vAlign w:val="bottom"/>
            <w:gridSpan w:val="2"/>
          </w:tcPr>
          <w:p>
            <w:pPr>
              <w:jc w:val="center"/>
              <w:ind w:left="345"/>
              <w:spacing w:after="0"/>
              <w:rPr>
                <w:sz w:val="20"/>
                <w:szCs w:val="20"/>
                <w:color w:val="auto"/>
              </w:rPr>
            </w:pPr>
            <w:r>
              <w:rPr>
                <w:rFonts w:ascii="Times New Roman" w:cs="Times New Roman" w:eastAsia="Times New Roman" w:hAnsi="Times New Roman"/>
                <w:sz w:val="15"/>
                <w:szCs w:val="15"/>
                <w:color w:val="auto"/>
                <w:w w:val="98"/>
              </w:rPr>
              <w:t>1.57</w:t>
            </w:r>
          </w:p>
        </w:tc>
        <w:tc>
          <w:tcPr>
            <w:tcW w:w="0" w:type="dxa"/>
            <w:vAlign w:val="bottom"/>
          </w:tcPr>
          <w:p>
            <w:pPr>
              <w:spacing w:after="0"/>
              <w:rPr>
                <w:sz w:val="1"/>
                <w:szCs w:val="1"/>
                <w:color w:val="auto"/>
              </w:rPr>
            </w:pPr>
          </w:p>
        </w:tc>
      </w:tr>
      <w:tr>
        <w:trPr>
          <w:trHeight w:val="219"/>
        </w:trPr>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18,124,179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57,690</w:t>
            </w:r>
          </w:p>
        </w:tc>
        <w:tc>
          <w:tcPr>
            <w:tcW w:w="1000" w:type="dxa"/>
            <w:vAlign w:val="bottom"/>
            <w:tcBorders>
              <w:top w:val="single" w:sz="8" w:color="CCEEFF"/>
              <w:bottom w:val="single" w:sz="8" w:color="CCEEFF"/>
            </w:tcBorders>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17,576,424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52,243</w:t>
            </w:r>
          </w:p>
        </w:tc>
        <w:tc>
          <w:tcPr>
            <w:tcW w:w="1040" w:type="dxa"/>
            <w:vAlign w:val="bottom"/>
            <w:tcBorders>
              <w:top w:val="single" w:sz="8" w:color="CCEEFF"/>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14,571,746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9,654</w:t>
            </w:r>
          </w:p>
        </w:tc>
        <w:tc>
          <w:tcPr>
            <w:tcW w:w="1040" w:type="dxa"/>
            <w:vAlign w:val="bottom"/>
            <w:tcBorders>
              <w:top w:val="single" w:sz="8" w:color="CCEEFF"/>
              <w:bottom w:val="single" w:sz="8" w:color="CCEEFF"/>
            </w:tcBorders>
            <w:gridSpan w:val="2"/>
            <w:shd w:val="clear" w:color="auto" w:fill="CCEEFF"/>
          </w:tcPr>
          <w:p>
            <w:pPr>
              <w:jc w:val="center"/>
              <w:ind w:left="345"/>
              <w:spacing w:after="0"/>
              <w:rPr>
                <w:sz w:val="20"/>
                <w:szCs w:val="20"/>
                <w:color w:val="auto"/>
              </w:rPr>
            </w:pPr>
            <w:r>
              <w:rPr>
                <w:rFonts w:ascii="Times New Roman" w:cs="Times New Roman" w:eastAsia="Times New Roman" w:hAnsi="Times New Roman"/>
                <w:sz w:val="15"/>
                <w:szCs w:val="15"/>
                <w:color w:val="auto"/>
                <w:w w:val="98"/>
              </w:rPr>
              <w:t>0.07</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both 2024 and 2023, we had individually significant charge-off events that contributed to elevated total net charge-offs. In 2024, we recorded $11.0 million in manufactured housing loan charge-offs in connection with the sale of the majority of that portfolio during the third quarter. In 2023, we recorded a $19.0 million charge-off related to one relationship with a wholesale oil distributor that was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part of a $218 million nationally syndicated credit, in which our participation was 8.7%.</w:t>
      </w: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2024 and 2023, equipment financing charge-offs were elevated partly due to charge-offs related to the long-haul trucking industry, which totaled $7.35 million in 2024 and $8.47 million in 2023. As economic stress began affecting the long-haul space, we ceased originations in January of 2023. As a result, this portfolio balance decreased to $25.6 million at December 31, 2024, down approximately 50% from December 31, 2023. The long-haul trucking equipment segment comprises a small portion of the portfolio and is deemed not representative of the entire equipment financing portfolio. Excluding long-haul trucking, equipment financing losses increased to 1.01% in 2024 from 0.82% in 2023, as inflation and other economic factors added financial stress to small businesses in general.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NPAs, which consist of nonaccrual loans and OREO and repossessed assets, for the periods indicated.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NPAs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80" w:type="dxa"/>
            <w:vAlign w:val="bottom"/>
            <w:tcBorders>
              <w:bottom w:val="single" w:sz="8" w:color="CCEEFF"/>
            </w:tcBorders>
          </w:tcPr>
          <w:p>
            <w:pPr>
              <w:spacing w:after="0"/>
              <w:rPr>
                <w:sz w:val="18"/>
                <w:szCs w:val="18"/>
                <w:color w:val="auto"/>
              </w:rPr>
            </w:pPr>
          </w:p>
        </w:tc>
      </w:tr>
      <w:tr>
        <w:trPr>
          <w:trHeight w:val="208"/>
        </w:trPr>
        <w:tc>
          <w:tcPr>
            <w:tcW w:w="54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Nonaccrual loans held for investment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113,579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91,687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44,232</w:t>
            </w:r>
          </w:p>
        </w:tc>
        <w:tc>
          <w:tcPr>
            <w:tcW w:w="1580" w:type="dxa"/>
            <w:vAlign w:val="bottom"/>
            <w:shd w:val="clear" w:color="auto" w:fill="CCEEFF"/>
          </w:tcPr>
          <w:p>
            <w:pPr>
              <w:spacing w:after="0"/>
              <w:rPr>
                <w:sz w:val="18"/>
                <w:szCs w:val="18"/>
                <w:color w:val="auto"/>
              </w:rPr>
            </w:pPr>
          </w:p>
        </w:tc>
      </w:tr>
      <w:tr>
        <w:trPr>
          <w:trHeight w:val="210"/>
        </w:trPr>
        <w:tc>
          <w:tcPr>
            <w:tcW w:w="542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w:t>
            </w:r>
          </w:p>
        </w:tc>
        <w:tc>
          <w:tcPr>
            <w:tcW w:w="1580" w:type="dxa"/>
            <w:vAlign w:val="bottom"/>
            <w:tcBorders>
              <w:bottom w:val="single" w:sz="8" w:color="CCEEFF"/>
            </w:tcBorders>
          </w:tcPr>
          <w:p>
            <w:pPr>
              <w:spacing w:after="0"/>
              <w:rPr>
                <w:sz w:val="18"/>
                <w:szCs w:val="18"/>
                <w:color w:val="auto"/>
              </w:rPr>
            </w:pPr>
          </w:p>
        </w:tc>
      </w:tr>
      <w:tr>
        <w:trPr>
          <w:trHeight w:val="232"/>
        </w:trPr>
        <w:tc>
          <w:tcPr>
            <w:tcW w:w="542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NPAs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115,635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92,877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44,281</w:t>
            </w: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159"/>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12"/>
        </w:trPr>
        <w:tc>
          <w:tcPr>
            <w:tcW w:w="54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Nonaccrual loans to total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0.29 %</w:t>
            </w:r>
          </w:p>
        </w:tc>
        <w:tc>
          <w:tcPr>
            <w:tcW w:w="1580" w:type="dxa"/>
            <w:vAlign w:val="bottom"/>
            <w:shd w:val="clear" w:color="auto" w:fill="CCEEFF"/>
          </w:tcPr>
          <w:p>
            <w:pPr>
              <w:spacing w:after="0"/>
              <w:rPr>
                <w:sz w:val="18"/>
                <w:szCs w:val="18"/>
                <w:color w:val="auto"/>
              </w:rPr>
            </w:pPr>
          </w:p>
        </w:tc>
      </w:tr>
      <w:tr>
        <w:trPr>
          <w:trHeight w:val="210"/>
        </w:trPr>
        <w:tc>
          <w:tcPr>
            <w:tcW w:w="54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NPAs to total assets</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0.18</w:t>
            </w:r>
          </w:p>
        </w:tc>
        <w:tc>
          <w:tcPr>
            <w:tcW w:w="1580" w:type="dxa"/>
            <w:vAlign w:val="bottom"/>
          </w:tcPr>
          <w:p>
            <w:pPr>
              <w:spacing w:after="0"/>
              <w:rPr>
                <w:sz w:val="18"/>
                <w:szCs w:val="18"/>
                <w:color w:val="auto"/>
              </w:rPr>
            </w:pPr>
          </w:p>
        </w:tc>
      </w:tr>
      <w:tr>
        <w:trPr>
          <w:trHeight w:val="214"/>
        </w:trPr>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08"/>
        </w:trPr>
        <w:tc>
          <w:tcPr>
            <w:tcW w:w="54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3.60</w:t>
            </w:r>
          </w:p>
        </w:tc>
        <w:tc>
          <w:tcPr>
            <w:tcW w:w="1580" w:type="dxa"/>
            <w:vAlign w:val="bottom"/>
          </w:tcPr>
          <w:p>
            <w:pPr>
              <w:spacing w:after="0"/>
              <w:rPr>
                <w:sz w:val="18"/>
                <w:szCs w:val="18"/>
                <w:color w:val="auto"/>
              </w:rPr>
            </w:pPr>
          </w:p>
        </w:tc>
      </w:tr>
    </w:tbl>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nonaccrual loans since December 31, 2023 was primarily driven by net increases in commercial and industrial, residential mortgage, and owner occupied CRE nonaccrual loans, which contributed $15.9 million, $10.7 million, and $8.58 million to the net increase, respectively. For commercial and industrial and owner occupied CRE loans, much of the increase was driven by a small population of borrowers with loans in excess of $1.00 million moving to nonaccrual status during 2024. We also had one commercial construction borrower with loans totaling $4.03 million move to nonaccrual status during the year. These additions were partially offset by nonaccrual loan repayments, payoffs, charge-offs and loans returning to accrual status. Additionally, manufactured housing nonaccrual loans decreased $14.4 million compared to December 31, 2023, as a result of the sale of substantially all of this portfolio during the third quarter of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as of the dates presented. Effective duration represents the expected change in the price of a security when rates change by 100 basis points.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Table 15 - Investment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9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7"/>
              </w:rPr>
              <w:t>Carrying Value</w:t>
            </w:r>
          </w:p>
        </w:tc>
        <w:tc>
          <w:tcPr>
            <w:tcW w:w="9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3"/>
                <w:szCs w:val="13"/>
                <w:color w:val="auto"/>
              </w:rPr>
            </w:pPr>
          </w:p>
        </w:tc>
        <w:tc>
          <w:tcPr>
            <w:tcW w:w="1200" w:type="dxa"/>
            <w:vAlign w:val="bottom"/>
            <w:gridSpan w:val="2"/>
          </w:tcPr>
          <w:p>
            <w:pPr>
              <w:jc w:val="right"/>
              <w:ind w:right="121"/>
              <w:spacing w:after="0" w:line="158" w:lineRule="exact"/>
              <w:rPr>
                <w:sz w:val="20"/>
                <w:szCs w:val="20"/>
                <w:color w:val="auto"/>
              </w:rPr>
            </w:pPr>
            <w:r>
              <w:rPr>
                <w:rFonts w:ascii="Times New Roman" w:cs="Times New Roman" w:eastAsia="Times New Roman" w:hAnsi="Times New Roman"/>
                <w:sz w:val="16"/>
                <w:szCs w:val="16"/>
                <w:b w:val="1"/>
                <w:bCs w:val="1"/>
                <w:color w:val="auto"/>
              </w:rPr>
              <w:t>2024 - 2023</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portfolio</w:t>
            </w: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portfolio</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6"/>
        </w:trPr>
        <w:tc>
          <w:tcPr>
            <w:tcW w:w="3960" w:type="dxa"/>
            <w:vAlign w:val="bottom"/>
            <w:tcBorders>
              <w:top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4,436,291</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3,331,084</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1,105,207</w:t>
            </w:r>
          </w:p>
        </w:tc>
        <w:tc>
          <w:tcPr>
            <w:tcW w:w="10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2,368,107</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2,490,848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(122,741)</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6,804,398</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5,821,932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982,466</w:t>
            </w: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 years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 years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During 2024, we purchased $1.94 billion in AFS securities, continuing our strategy of investing excess funds in our AFS portfolio. During the fourth quarter of 2024, we sold $176 million in AFS securities for a loss of $3.32 million with the strategic intent of replacing them with higher-yielding securities.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2023 and 2024, we entered into fair value hedges on a portion of our AFS securities portfolio in order to partially mitigate the impact of any potential future unrealized losses on our tangible common equity. Gains and losses related to the hedges and hedged items are reflected in investment securities interest income. The changes in the fair value of the hedges and the hedged items substantially offset each other. See Note 8 to the financial statements for further detail.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 Investment Securities Portfolio Composition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14605</wp:posOffset>
            </wp:positionV>
            <wp:extent cx="5250180" cy="2827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50180" cy="282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2024, HTM debt securities had a fair value of $1.94 billion, indicating net unrealized losses of $424 million. Additional unrealized losses on HTM debt securities of $59.5 million (pre-tax) were included in AOCI as a result of the transfer of AFS debt securities to HTM in 2022. Unrealized losses were primarily attributable to changes in interest rates.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Mortgage-backed securities, which include both U.S. government sponsored agency and non-agency securities, make up the largest portion of our investment securities portfolio. These securities rely on the underlying pools of mortgage loans to provide a cash flow of principal and interest. The actual maturities of these securities will differ from the contractual maturities because the loans underlying the securities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may occur. Prepayments tend to slow and the weighted average</w:t>
      </w:r>
    </w:p>
    <w:p>
      <w:pPr>
        <w:sectPr>
          <w:pgSz w:w="11900" w:h="16838" w:orient="portrait"/>
          <w:cols w:equalWidth="0" w:num="1">
            <w:col w:w="11240"/>
          </w:cols>
          <w:pgMar w:left="320" w:top="1153"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type w:val="continuous"/>
        </w:sectPr>
      </w:pPr>
    </w:p>
    <w:bookmarkStart w:id="58" w:name="page59"/>
    <w:bookmarkEnd w:id="58"/>
    <w:p>
      <w:pPr>
        <w:jc w:val="both"/>
        <w:spacing w:after="0" w:line="274" w:lineRule="auto"/>
        <w:rPr>
          <w:sz w:val="20"/>
          <w:szCs w:val="20"/>
          <w:color w:val="auto"/>
        </w:rPr>
      </w:pPr>
      <w:r>
        <w:rPr>
          <w:rFonts w:ascii="Times New Roman" w:cs="Times New Roman" w:eastAsia="Times New Roman" w:hAnsi="Times New Roman"/>
          <w:sz w:val="18"/>
          <w:szCs w:val="18"/>
          <w:color w:val="auto"/>
        </w:rPr>
        <w:t>life extends. This is referred to as extension risk, which can lead to lower levels of liquidity due to the delay of cash receipts and can result in the holding of a below market yielding asset for a longer period of time.</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For U.S. Treasury and Government Agency securities, we include a zero loss assumption. At December 31, 2024, calculated credit losses on HTM debt securities were deemed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December 31, 2024, there was no ACL related to the AFS debt securities portfolio. Unrealized losses at December 31, 2024 primarily reflected the effect of changes in interest rates.</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hold certain equity investments, which are included in other assets on the consolidated balance sheet. These investments include equity investments with readily determinable fair values, FHLB stock, and beginning in 2024, Federal Reserve stock as a result of becoming a Federal Reserve state member bank. As of December 31, 2024, we had $88.0 million in Federal Reserve stock.</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table presents the amortized cost of securities by contractual maturity of investment securities and weighted-average yields on a FTE basis. Weighted-average yield for each maturity range includes coupon interest, discount accretion and premium amortization and has been calculated using the amortized cost of each security in that range. The composition and maturity / repricing distribution of the securities portfolio is subject to change depending on rate sensitivity, capital and liquidity needs. Expected maturities may differ from contractual maturities because issuers and borrowers may have the right to call or prepay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17 - Contractual Maturity and Weighted-Average Yield of AFS and HTM Debt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Maturity By Years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1 or Less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7"/>
              </w:rPr>
              <w:t>1 to 5</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6 to 10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Over 10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9"/>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 Yield</w:t>
            </w:r>
          </w:p>
        </w:tc>
        <w:tc>
          <w:tcPr>
            <w:tcW w:w="100" w:type="dxa"/>
            <w:vAlign w:val="bottom"/>
          </w:tcPr>
          <w:p>
            <w:pPr>
              <w:spacing w:after="0"/>
              <w:rPr>
                <w:sz w:val="11"/>
                <w:szCs w:val="11"/>
                <w:color w:val="auto"/>
              </w:rPr>
            </w:pPr>
          </w:p>
        </w:tc>
        <w:tc>
          <w:tcPr>
            <w:tcW w:w="92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WA Yield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 Yield</w:t>
            </w:r>
          </w:p>
        </w:tc>
        <w:tc>
          <w:tcPr>
            <w:tcW w:w="100" w:type="dxa"/>
            <w:vAlign w:val="bottom"/>
          </w:tcPr>
          <w:p>
            <w:pPr>
              <w:spacing w:after="0"/>
              <w:rPr>
                <w:sz w:val="11"/>
                <w:szCs w:val="11"/>
                <w:color w:val="auto"/>
              </w:rPr>
            </w:pPr>
          </w:p>
        </w:tc>
        <w:tc>
          <w:tcPr>
            <w:tcW w:w="800" w:type="dxa"/>
            <w:vAlign w:val="bottom"/>
          </w:tcPr>
          <w:p>
            <w:pPr>
              <w:jc w:val="right"/>
              <w:ind w:right="49"/>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 Yield</w:t>
            </w:r>
          </w:p>
        </w:tc>
        <w:tc>
          <w:tcPr>
            <w:tcW w:w="120" w:type="dxa"/>
            <w:vAlign w:val="bottom"/>
          </w:tcPr>
          <w:p>
            <w:pPr>
              <w:spacing w:after="0"/>
              <w:rPr>
                <w:sz w:val="11"/>
                <w:szCs w:val="11"/>
                <w:color w:val="auto"/>
              </w:rPr>
            </w:pPr>
          </w:p>
        </w:tc>
        <w:tc>
          <w:tcPr>
            <w:tcW w:w="920" w:type="dxa"/>
            <w:vAlign w:val="bottom"/>
            <w:gridSpan w:val="3"/>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 Yield</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AFS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248,229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263,765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511,994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3.67 %</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615</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43,859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178,642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111,031</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334,147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3,089</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35,533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66,847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69,572</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175,041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MBS, Agency &amp; GSE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24,783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60,565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1,985,073</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2,070,433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MBS, Non-agency</w:t>
            </w: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2,886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299,432</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302,318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MBS, Agency &amp; GSE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99,310</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360,266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192,277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192,449</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844,302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MBS, Non-agency</w:t>
            </w: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5,045</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8,278</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13,144</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112,802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37,304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819</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164,069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6,331</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8,630</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233,712</w:t>
            </w:r>
          </w:p>
        </w:tc>
        <w:tc>
          <w:tcPr>
            <w:tcW w:w="820" w:type="dxa"/>
            <w:vAlign w:val="bottom"/>
            <w:tcBorders>
              <w:bottom w:val="single" w:sz="8" w:color="CCEEFF"/>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248,673</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7"/>
        </w:trPr>
        <w:tc>
          <w:tcPr>
            <w:tcW w:w="2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AFS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369,444</w:t>
            </w:r>
          </w:p>
        </w:tc>
        <w:tc>
          <w:tcPr>
            <w:tcW w:w="8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847,339</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547,151</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2,900,366</w:t>
            </w:r>
          </w:p>
        </w:tc>
        <w:tc>
          <w:tcPr>
            <w:tcW w:w="8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4,664,300</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HTM</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19,896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19,896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1.40 %</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75,389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23,765</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99,154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4,700</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25,613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67,508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191,671</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289,492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MBS, Agency &amp; GSE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252</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7,754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10,390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1,263,778</w:t>
            </w:r>
          </w:p>
        </w:tc>
        <w:tc>
          <w:tcPr>
            <w:tcW w:w="8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1,282,174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MBS, Agency &amp; GSE</w:t>
            </w: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19,099</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9,190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221,019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413,083</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662,391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Supranational entities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2"/>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HTM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24,051</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62,453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389,306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1,892,297</w:t>
            </w:r>
          </w:p>
        </w:tc>
        <w:tc>
          <w:tcPr>
            <w:tcW w:w="8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2,368,107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December 31, 2024 and December 31, 2023, the net carrying amount of goodwill was $907 million and $920 million, respectively. The decrease in goodwill during 2024 resulted from the impairment and subsequent derecognition of FinTrust’s goodwill resulting from the sale of the business, partly offset by a measurement period adjustment related to the First Miami acquisition.</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2024, we entered into an agreement to sell FinTrust, our registered investment advisor, with the transaction completed on October 1, 2024. Because the fair value of the consideration was less than the carrying amount of FinTrust, we recorded a $5.10 million write-down of FinTrust’s goodwill in the second quarter of 2024. We do not believe that this goodwill impairment loss is an indicator of impairment of the remaining goodwill on our balance sheet. Upon completion of the sale, the remainder of goodwill related to FinTrust of $9.06 million was derecognized.</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during the first quarter of 2024, we recorded a measurement period adjustment to the acquisition date fair values of other assets and other liabilities recorded for First Miami. The adjustment related to the lack of realizability of certain tax credits, which resulted in a net increase in goodwill of $1.34 million.</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goodwill, we have core deposit intangible assets, and through most of 2024, we also had customer relationship intangible assets. These represent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December 31, 2023, net customer relationship intangibles totaled $6.49 million. When we closed on the sale of FinTrust, the related customer relationship intangible of $6.02 million was derecognized. The remainder of our customer relationship intangibles fully amortized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Since December 31, 2023, customer deposits increased $145 million, which was mostly driven by an increase in money market deposit accounts with offsetting decreases in other customer deposit types. This was driven by higher demand for money market accounts, which are more liquid than time deposits and offer a higher interest rate than demand and savings accounts. As of December 31, 2024, we had approximately $9.56 billion in uninsured deposits, of which $3.12 billion was collateralized by investment securities. The following table sets forth the deposit composition for the periods indicated.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18 - Deposits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Customer Deposit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Customer Deposit</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Composition</w:t>
            </w: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Composition</w:t>
            </w:r>
          </w:p>
        </w:tc>
        <w:tc>
          <w:tcPr>
            <w:tcW w:w="0" w:type="dxa"/>
            <w:vAlign w:val="bottom"/>
          </w:tcPr>
          <w:p>
            <w:pPr>
              <w:spacing w:after="0"/>
              <w:rPr>
                <w:sz w:val="1"/>
                <w:szCs w:val="1"/>
                <w:color w:val="auto"/>
              </w:rPr>
            </w:pPr>
          </w:p>
        </w:tc>
      </w:tr>
      <w:tr>
        <w:trPr>
          <w:trHeight w:val="206"/>
        </w:trPr>
        <w:tc>
          <w:tcPr>
            <w:tcW w:w="396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6,534,307</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6,141,342</w:t>
            </w:r>
          </w:p>
        </w:tc>
        <w:tc>
          <w:tcPr>
            <w:tcW w:w="176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6,155,193</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27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7,498,735</w:t>
            </w:r>
          </w:p>
        </w:tc>
        <w:tc>
          <w:tcPr>
            <w:tcW w:w="17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6,808,394</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Time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3,441,424</w:t>
            </w:r>
          </w:p>
        </w:tc>
        <w:tc>
          <w:tcPr>
            <w:tcW w:w="176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3,649,498</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customer deposits</w:t>
            </w: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23,292,683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23,147,392</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6"/>
                <w:szCs w:val="16"/>
                <w:color w:val="auto"/>
              </w:rPr>
              <w:t>Brokered deposits</w:t>
            </w: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168,292</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163,219</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9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following table sets forth the scheduled maturities of time deposits greater than $250,000.</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19 - Maturities of Time Deposits Greater than $250,000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6"/>
                <w:szCs w:val="16"/>
                <w:color w:val="auto"/>
              </w:rPr>
              <w:t>Three months or less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570,526</w:t>
            </w:r>
          </w:p>
        </w:tc>
        <w:tc>
          <w:tcPr>
            <w:tcW w:w="2820" w:type="dxa"/>
            <w:vAlign w:val="bottom"/>
            <w:shd w:val="clear" w:color="auto" w:fill="CCEEFF"/>
          </w:tcPr>
          <w:p>
            <w:pPr>
              <w:spacing w:after="0"/>
              <w:rPr>
                <w:sz w:val="18"/>
                <w:szCs w:val="18"/>
                <w:color w:val="auto"/>
              </w:rPr>
            </w:pPr>
          </w:p>
        </w:tc>
      </w:tr>
      <w:tr>
        <w:trPr>
          <w:trHeight w:val="210"/>
        </w:trPr>
        <w:tc>
          <w:tcPr>
            <w:tcW w:w="696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Over three through six months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240,549</w:t>
            </w:r>
          </w:p>
        </w:tc>
        <w:tc>
          <w:tcPr>
            <w:tcW w:w="2820" w:type="dxa"/>
            <w:vAlign w:val="bottom"/>
          </w:tcPr>
          <w:p>
            <w:pPr>
              <w:spacing w:after="0"/>
              <w:rPr>
                <w:sz w:val="18"/>
                <w:szCs w:val="18"/>
                <w:color w:val="auto"/>
              </w:rPr>
            </w:pPr>
          </w:p>
        </w:tc>
      </w:tr>
      <w:tr>
        <w:trPr>
          <w:trHeight w:val="214"/>
        </w:trPr>
        <w:tc>
          <w:tcPr>
            <w:tcW w:w="696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6"/>
                <w:szCs w:val="16"/>
                <w:color w:val="auto"/>
              </w:rPr>
              <w:t>Over six months through twelve months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210,111</w:t>
            </w:r>
          </w:p>
        </w:tc>
        <w:tc>
          <w:tcPr>
            <w:tcW w:w="2820" w:type="dxa"/>
            <w:vAlign w:val="bottom"/>
            <w:shd w:val="clear" w:color="auto" w:fill="CCEEFF"/>
          </w:tcPr>
          <w:p>
            <w:pPr>
              <w:spacing w:after="0"/>
              <w:rPr>
                <w:sz w:val="18"/>
                <w:szCs w:val="18"/>
                <w:color w:val="auto"/>
              </w:rPr>
            </w:pPr>
          </w:p>
        </w:tc>
      </w:tr>
      <w:tr>
        <w:trPr>
          <w:trHeight w:val="210"/>
        </w:trPr>
        <w:tc>
          <w:tcPr>
            <w:tcW w:w="6960" w:type="dxa"/>
            <w:vAlign w:val="bottom"/>
            <w:tcBorders>
              <w:bottom w:val="single" w:sz="8" w:color="CCEEFF"/>
            </w:tcBorders>
          </w:tcPr>
          <w:p>
            <w:pPr>
              <w:ind w:left="2960"/>
              <w:spacing w:after="0"/>
              <w:rPr>
                <w:sz w:val="20"/>
                <w:szCs w:val="20"/>
                <w:color w:val="auto"/>
              </w:rPr>
            </w:pPr>
            <w:r>
              <w:rPr>
                <w:rFonts w:ascii="Times New Roman" w:cs="Times New Roman" w:eastAsia="Times New Roman" w:hAnsi="Times New Roman"/>
                <w:sz w:val="16"/>
                <w:szCs w:val="16"/>
                <w:color w:val="auto"/>
              </w:rPr>
              <w:t>Over one year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41,694</w:t>
            </w:r>
          </w:p>
        </w:tc>
        <w:tc>
          <w:tcPr>
            <w:tcW w:w="2820" w:type="dxa"/>
            <w:vAlign w:val="bottom"/>
            <w:tcBorders>
              <w:bottom w:val="single" w:sz="8" w:color="CCEEFF"/>
            </w:tcBorders>
          </w:tcPr>
          <w:p>
            <w:pPr>
              <w:spacing w:after="0"/>
              <w:rPr>
                <w:sz w:val="18"/>
                <w:szCs w:val="18"/>
                <w:color w:val="auto"/>
              </w:rPr>
            </w:pPr>
          </w:p>
        </w:tc>
      </w:tr>
      <w:tr>
        <w:trPr>
          <w:trHeight w:val="232"/>
        </w:trPr>
        <w:tc>
          <w:tcPr>
            <w:tcW w:w="6960" w:type="dxa"/>
            <w:vAlign w:val="bottom"/>
            <w:tcBorders>
              <w:bottom w:val="single" w:sz="8" w:color="CCEEFF"/>
            </w:tcBorders>
            <w:shd w:val="clear" w:color="auto" w:fill="CCEEFF"/>
          </w:tcPr>
          <w:p>
            <w:pPr>
              <w:ind w:left="304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1,062,880</w:t>
            </w:r>
          </w:p>
        </w:tc>
        <w:tc>
          <w:tcPr>
            <w:tcW w:w="282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Liquidity is also available from cash and cash equivalents. Cash and cash equivalents at December 31, 2024 were $520 million compared with $1.00 billion at December 31, 2023. During 2023, we maintained higher levels of on-balance sheet liquidity in the form of cash and cash equivalents due to elevated liquidity risk following a few large bank failures in early 2023. In 2024, our cash and cash equivalents balance returned to more normal levels as we strategically invested more of our excess cash in short duration securities within our investment portfolio. At the end of 2024, we saw loan growth return and we experienced some deposit attrition that resulted in the need to use modest short-term borrowings to meet our short-term funding needs. At December 31, 2024, we had $195 million of outstanding federal funds purchased.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main source of liquidity is customer deposit accounts, which we are able to attract by competing more aggressively on pricing. Liquidity is also available from wholesale funding sources consisting primarily of Federal funds purchased, securities sold under agreements to repurchase, FHLB advances and brokered deposits. These sources of liquidity are generally short-term in nature and are used as necessary to fund asset growth and meet other short-term liquidity needs. At December 31, 2024, we had sufficient qualifying collateral to support additional borrowings, which is detailed in the table below.</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20 - Borrowing Capacity</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FHLB</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1,917,905</w:t>
            </w: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42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2,267,139</w:t>
            </w:r>
          </w:p>
        </w:tc>
        <w:tc>
          <w:tcPr>
            <w:tcW w:w="2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6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Borrowing capacity from pledged collateral</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4,185,044</w:t>
            </w:r>
          </w:p>
        </w:tc>
        <w:tc>
          <w:tcPr>
            <w:tcW w:w="2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560" w:type="dxa"/>
            <w:vAlign w:val="bottom"/>
            <w:shd w:val="clear" w:color="auto" w:fill="CCEEFF"/>
          </w:tcPr>
          <w:p>
            <w:pPr>
              <w:ind w:left="2420"/>
              <w:spacing w:after="0" w:line="159" w:lineRule="exact"/>
              <w:rPr>
                <w:sz w:val="20"/>
                <w:szCs w:val="20"/>
                <w:color w:val="auto"/>
              </w:rPr>
            </w:pPr>
            <w:r>
              <w:rPr>
                <w:rFonts w:ascii="Times New Roman" w:cs="Times New Roman" w:eastAsia="Times New Roman" w:hAnsi="Times New Roman"/>
                <w:sz w:val="16"/>
                <w:szCs w:val="16"/>
                <w:color w:val="auto"/>
              </w:rPr>
              <w:t>Unpledged securities available as collateral for additional</w:t>
            </w:r>
          </w:p>
        </w:tc>
        <w:tc>
          <w:tcPr>
            <w:tcW w:w="820" w:type="dxa"/>
            <w:vAlign w:val="bottom"/>
            <w:vMerge w:val="restart"/>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3,603,885</w:t>
            </w:r>
          </w:p>
        </w:tc>
        <w:tc>
          <w:tcPr>
            <w:tcW w:w="2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borrowings</w:t>
            </w:r>
          </w:p>
        </w:tc>
        <w:tc>
          <w:tcPr>
            <w:tcW w:w="82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the ultimate sources of its liquidity are subsidiary service fees and dividends from the Bank, which are limited by applicable law and regulations. In 2024 and 2023, the Bank paid dividends of $153 million and $198 million, respectively, to the Holding Company where liquidity is managed to a minimum of 15-months of positive cash flow after considering all of its liquidity needs over this period.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1" w:name="page62"/>
    <w:bookmarkEnd w:id="61"/>
    <w:p>
      <w:pPr>
        <w:ind w:right="320"/>
        <w:spacing w:after="0" w:line="274" w:lineRule="auto"/>
        <w:rPr>
          <w:sz w:val="20"/>
          <w:szCs w:val="20"/>
          <w:color w:val="auto"/>
        </w:rPr>
      </w:pPr>
      <w:r>
        <w:rPr>
          <w:rFonts w:ascii="Times New Roman" w:cs="Times New Roman" w:eastAsia="Times New Roman" w:hAnsi="Times New Roman"/>
          <w:sz w:val="18"/>
          <w:szCs w:val="18"/>
          <w:color w:val="auto"/>
        </w:rPr>
        <w:t>Significant uses and sources of cash during the year ended December 31, 2024 are summarized below. See the consolidated statement of cash flows in this Report for further detail.</w:t>
      </w:r>
    </w:p>
    <w:p>
      <w:pPr>
        <w:spacing w:after="0" w:line="57" w:lineRule="exact"/>
        <w:rPr>
          <w:sz w:val="20"/>
          <w:szCs w:val="20"/>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$350 million reflects net income of $252 million adjusted for non-cash transactions, net losses on sales of other loans and securities and changes in other assets and liabilities. Significant non-cash transactions for the period included provision for credit losses of $51.0 million and depreciation, amortization and accretion of $40.9 million.</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$991 million consisted primarily of $1.94 billion of purchases of AFS debt securities, partially offset by $992 million proceeds from securities sales, maturities and calls and, an $82.7 million net decrease in loans.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financing activities of $157 million consisted primarily of a net increase in deposits of $149 million and an increase in short-term borrowings of $195 million, partially offset by $119 million in common and preferred stock dividends and repayment of long-term debt of $68.6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management, our liquidity position at December 31, 2024 was sufficient to meet our expected cash requirements.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provides an overview of our significant contractual obligations and other commitments.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December 31, 2024 and 2023, we had long-term debt outstanding of $254 million and $325 million, respectively, consisting of senior debentures, subordinated debentures, and trust preferred securities, all of which were obligations of the Holding Company. The following table provides long-term debt outstanding by maturity in five-year increments. During 2024, we redeemed two of our trust preferred securities and our 2029 subordinated debt prior to maturity, which, combined, totaled $68.6 million. We recorded a $2.27 million gain on the extinguishment of the subordinated debt, representing the remaining purchase accounting premium, which was recorded when the debt was assumed in connection with the 2022 Reliant acquisition. Additional information regarding debt instruments is provided in Note 12 to the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21 - Long-term Debt by Maturity Category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6"/>
                <w:szCs w:val="16"/>
                <w:color w:val="auto"/>
              </w:rPr>
              <w:t>Next 5 years</w:t>
            </w: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3120" w:type="dxa"/>
            <w:vAlign w:val="bottom"/>
            <w:shd w:val="clear" w:color="auto" w:fill="CCEEFF"/>
          </w:tcPr>
          <w:p>
            <w:pPr>
              <w:spacing w:after="0"/>
              <w:rPr>
                <w:sz w:val="18"/>
                <w:szCs w:val="18"/>
                <w:color w:val="auto"/>
              </w:rPr>
            </w:pPr>
          </w:p>
        </w:tc>
      </w:tr>
      <w:tr>
        <w:trPr>
          <w:trHeight w:val="210"/>
        </w:trPr>
        <w:tc>
          <w:tcPr>
            <w:tcW w:w="656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6 - 10 years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120" w:type="dxa"/>
            <w:vAlign w:val="bottom"/>
          </w:tcPr>
          <w:p>
            <w:pPr>
              <w:spacing w:after="0"/>
              <w:rPr>
                <w:sz w:val="18"/>
                <w:szCs w:val="18"/>
                <w:color w:val="auto"/>
              </w:rPr>
            </w:pPr>
          </w:p>
        </w:tc>
      </w:tr>
      <w:tr>
        <w:trPr>
          <w:trHeight w:val="212"/>
        </w:trPr>
        <w:tc>
          <w:tcPr>
            <w:tcW w:w="65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6"/>
                <w:szCs w:val="16"/>
                <w:color w:val="auto"/>
              </w:rPr>
              <w:t>11 - 15 years</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25,775</w:t>
            </w:r>
          </w:p>
        </w:tc>
        <w:tc>
          <w:tcPr>
            <w:tcW w:w="3120" w:type="dxa"/>
            <w:vAlign w:val="bottom"/>
            <w:shd w:val="clear" w:color="auto" w:fill="CCEEFF"/>
          </w:tcPr>
          <w:p>
            <w:pPr>
              <w:spacing w:after="0"/>
              <w:rPr>
                <w:sz w:val="18"/>
                <w:szCs w:val="18"/>
                <w:color w:val="auto"/>
              </w:rPr>
            </w:pPr>
          </w:p>
        </w:tc>
      </w:tr>
      <w:tr>
        <w:trPr>
          <w:trHeight w:val="205"/>
        </w:trPr>
        <w:tc>
          <w:tcPr>
            <w:tcW w:w="6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260,775</w:t>
            </w:r>
          </w:p>
        </w:tc>
        <w:tc>
          <w:tcPr>
            <w:tcW w:w="3120" w:type="dxa"/>
            <w:vAlign w:val="bottom"/>
          </w:tcPr>
          <w:p>
            <w:pPr>
              <w:spacing w:after="0"/>
              <w:rPr>
                <w:sz w:val="17"/>
                <w:szCs w:val="17"/>
                <w:color w:val="auto"/>
              </w:rPr>
            </w:pPr>
          </w:p>
        </w:tc>
      </w:tr>
      <w:tr>
        <w:trPr>
          <w:trHeight w:val="212"/>
        </w:trPr>
        <w:tc>
          <w:tcPr>
            <w:tcW w:w="65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6"/>
                <w:szCs w:val="16"/>
                <w:color w:val="auto"/>
              </w:rPr>
              <w:t>Less discount</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3120" w:type="dxa"/>
            <w:vAlign w:val="bottom"/>
            <w:shd w:val="clear" w:color="auto" w:fill="CCEEFF"/>
          </w:tcPr>
          <w:p>
            <w:pPr>
              <w:spacing w:after="0"/>
              <w:rPr>
                <w:sz w:val="18"/>
                <w:szCs w:val="18"/>
                <w:color w:val="auto"/>
              </w:rPr>
            </w:pPr>
          </w:p>
        </w:tc>
      </w:tr>
      <w:tr>
        <w:trPr>
          <w:trHeight w:val="207"/>
        </w:trPr>
        <w:tc>
          <w:tcPr>
            <w:tcW w:w="656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Total long-term debt</w:t>
            </w: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31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operating lease agreements for many of our branch locations, ATMs, ITMs, loan production offices and operation centers. For qualifying leases with a term exceeding one year, we record a lease liability and ROU asset on our balance sheet. As of December 31, 2024, the lease liability and ROU asset totaled $45.2 million and $42.8 million, respectively, compared to $44.1 million and $42.8 million, respectively, at December 31, 2023. During 2024, we recorded $15.6 million in ROU assets in exchange for operating lease liabilities of approximately the same amount.</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2024, the remaining terms of our leases ranged from one month to 10 years. Certain leases contain options to renew the lease at the end of the current term. Unless we have determined we are reasonably likely to renew the lease, these options have been excluded from the calculation of our lease liability and ROU asset. Additional information regarding operating leases is provided in Note 13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included commitments to extend credit and letters of credit, which totaled $4.03 billion at December 31, 2024.</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total amount of these instruments does not necessarily represent future cash requirements because a significant portion of these instruments expire without being used. We believe that we have adequate sources of liquidity to fund commitments that are drawn upon by borrowers.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hold investments in certain limited partnerships for tax credit and CRA purposes. As of December 31, 2024, for certain of these investments, we had committed to fund an additional $27.7 million related to future capital calls that has not been reflected in the consolidated balance sheet. As of December 31, 2024, we also had $10.6 million in commitments for future capital calls to fintech fund limited partnerships that have not been reflected in the consolidated balance sheet.</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not involved in off-balance sheet contractual relationships, other than those disclosed in this Report, that could result in liquidity needs or other commitments, or that could significantly affect earnings. See Note 22 to the consolidated financial statements for additional information on off-balance sheet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maintenance and management of capital levels is one of management’s significant priorities. Shareholders’ equity at December 31, 2024 was $3.43 billion, an increase of $171 million from December 31, 2023. The increase was primarily a result of net income of $252 million and other comprehensive income of $26.3 million, mostly driven by unrealized holding gains on AFS debt securities. These increases were partially offset by dividends on common and preferred stock of $119 million.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risk-based capital guidelines of Basel III,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our total RWAs. RWAs for purposes of our capital ratios are calculated under these guidelines.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CET1 capital consists of common shareholders’ equity, excluding AOCI, intangible assets (goodwill, deposit-based intangibles and certain other intangibles, including certain servicing assets), net of associated deferred tax liabilities, and disallowed deferred tax assets. Tier 1 capital consists of CET1 plus non-cumulative perpetual preferred stock. Tier 2 capital includes the allowable portion of the ACL up to 1.25% of RWA as well as qualifying subordinated debt and trust preferred securities. Tier 1 capital plus Tier 2 capital is referred to as Total risk-based capital.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outstanding subordinated debt of $100 million, of which $60.0 million qualified as Tier 2 capital after applying a discount related to the debt maturing in 2028. In addition, we had outstanding junior subordinated debentures related to trust preferred securities totaling $25.8 million at December 31, 2024, of which $25.0 million (excluding common securities) qualified as Tier 2 capital. Further information on subordinated debt and trust preferred securities is provided in Note 12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following table outlines the minimum ratios required for capital adequacy purposes, as well as the thresholds for a categorization of “well-capitalized”.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22 - Capital Ratios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United Community Banks, Inc.</w:t>
            </w:r>
          </w:p>
        </w:tc>
        <w:tc>
          <w:tcPr>
            <w:tcW w:w="2200" w:type="dxa"/>
            <w:vAlign w:val="bottom"/>
            <w:gridSpan w:val="3"/>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36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Well-</w:t>
            </w:r>
          </w:p>
        </w:tc>
        <w:tc>
          <w:tcPr>
            <w:tcW w:w="1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w w:val="98"/>
              </w:rPr>
              <w:t>Minimum Capital Plus</w:t>
            </w: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90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Capital Conservation</w:t>
            </w:r>
          </w:p>
        </w:tc>
        <w:tc>
          <w:tcPr>
            <w:tcW w:w="102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0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6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0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Risk-based ratios: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CET1 capital</w:t>
            </w:r>
          </w:p>
        </w:tc>
        <w:tc>
          <w:tcPr>
            <w:tcW w:w="1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Tier 1 capital</w:t>
            </w: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0"/>
        </w:trPr>
        <w:tc>
          <w:tcPr>
            <w:tcW w:w="2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capital</w:t>
            </w:r>
          </w:p>
        </w:tc>
        <w:tc>
          <w:tcPr>
            <w:tcW w:w="1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7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Leverage ratio</w:t>
            </w: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information related to capital ratios, as calculated under regulatory guidelines, is provided in Note 21 to the consolidated financial statements. As of December 31, 2024 and 2023, both United and the Bank were characterized as “well-capitalized”.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because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management believes the effect of inflation on financial results depends on our ability to react to changes in interest rates and, by such reaction, reduce the inflationary effect on performance. We have an asset/liability management program to monitor and manage our interest rate sensitivity position.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4" w:name="page65"/>
    <w:bookmarkEnd w:id="6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primary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attempt to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simulations with various interest rate shocks and ramps compared to the base scenario. In the shock scenarios, rates immediately change the full amount at the scenario onset. In the ramp scenarios, rates change by 25 basis points per month until they reach the predetermined levels. Our policy limits the projected change in net interest revenue from the base scenario to 8% for each 100 basis point change in simulations with rate shock and ramp scenarios. The following table presents our interest sensitivity position at the dates indicated.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23 - Interest Sensitivity</w:t>
      </w:r>
    </w:p>
    <w:p>
      <w:pPr>
        <w:spacing w:after="0" w:line="44"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 at</w:t>
      </w:r>
    </w:p>
    <w:p>
      <w:pPr>
        <w:jc w:val="center"/>
        <w:ind w:left="36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top w:val="single" w:sz="8" w:color="auto"/>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72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5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7"/>
                <w:szCs w:val="17"/>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Ramp</w:t>
            </w:r>
          </w:p>
        </w:tc>
        <w:tc>
          <w:tcPr>
            <w:tcW w:w="1200" w:type="dxa"/>
            <w:vAlign w:val="bottom"/>
          </w:tcPr>
          <w:p>
            <w:pPr>
              <w:spacing w:after="0"/>
              <w:rPr>
                <w:sz w:val="17"/>
                <w:szCs w:val="17"/>
                <w:color w:val="auto"/>
              </w:rPr>
            </w:pPr>
          </w:p>
        </w:tc>
      </w:tr>
      <w:tr>
        <w:trPr>
          <w:trHeight w:val="206"/>
        </w:trPr>
        <w:tc>
          <w:tcPr>
            <w:tcW w:w="114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0.92 %</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(0.88)%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0" w:type="dxa"/>
            <w:vAlign w:val="bottom"/>
            <w:tcBorders>
              <w:top w:val="single" w:sz="8" w:color="CCEEFF"/>
            </w:tcBorders>
            <w:shd w:val="clear" w:color="auto" w:fill="CCEEFF"/>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left="181"/>
              <w:spacing w:after="0"/>
              <w:rPr>
                <w:sz w:val="20"/>
                <w:szCs w:val="20"/>
                <w:color w:val="auto"/>
              </w:rPr>
            </w:pPr>
            <w:r>
              <w:rPr>
                <w:rFonts w:ascii="Times New Roman" w:cs="Times New Roman" w:eastAsia="Times New Roman" w:hAnsi="Times New Roman"/>
                <w:sz w:val="16"/>
                <w:szCs w:val="16"/>
                <w:color w:val="auto"/>
                <w:w w:val="98"/>
              </w:rPr>
              <w:t>(0.88)</w:t>
            </w:r>
          </w:p>
        </w:tc>
        <w:tc>
          <w:tcPr>
            <w:tcW w:w="1200" w:type="dxa"/>
            <w:vAlign w:val="bottom"/>
          </w:tcPr>
          <w:p>
            <w:pPr>
              <w:spacing w:after="0"/>
              <w:rPr>
                <w:sz w:val="18"/>
                <w:szCs w:val="18"/>
                <w:color w:val="auto"/>
              </w:rPr>
            </w:pPr>
          </w:p>
        </w:tc>
      </w:tr>
      <w:tr>
        <w:trPr>
          <w:trHeight w:val="214"/>
        </w:trPr>
        <w:tc>
          <w:tcPr>
            <w:tcW w:w="114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201"/>
              <w:spacing w:after="0"/>
              <w:rPr>
                <w:sz w:val="20"/>
                <w:szCs w:val="20"/>
                <w:color w:val="auto"/>
              </w:rPr>
            </w:pPr>
            <w:r>
              <w:rPr>
                <w:rFonts w:ascii="Times New Roman" w:cs="Times New Roman" w:eastAsia="Times New Roman" w:hAnsi="Times New Roman"/>
                <w:sz w:val="16"/>
                <w:szCs w:val="16"/>
                <w:color w:val="auto"/>
                <w:w w:val="99"/>
              </w:rPr>
              <w:t>0.14</w:t>
            </w:r>
          </w:p>
        </w:tc>
        <w:tc>
          <w:tcPr>
            <w:tcW w:w="1200" w:type="dxa"/>
            <w:vAlign w:val="bottom"/>
            <w:shd w:val="clear" w:color="auto" w:fill="CCEEFF"/>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9"/>
              </w:rPr>
              <w:t>0.10</w:t>
            </w:r>
          </w:p>
        </w:tc>
        <w:tc>
          <w:tcPr>
            <w:tcW w:w="1200" w:type="dxa"/>
            <w:vAlign w:val="bottom"/>
          </w:tcPr>
          <w:p>
            <w:pPr>
              <w:spacing w:after="0"/>
              <w:rPr>
                <w:sz w:val="18"/>
                <w:szCs w:val="18"/>
                <w:color w:val="auto"/>
              </w:rPr>
            </w:pPr>
          </w:p>
        </w:tc>
      </w:tr>
    </w:tbl>
    <w:p>
      <w:pPr>
        <w:spacing w:after="0" w:line="3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interest sensitivity model includes significant key assumptions which may change over time. The scenario results presented in the table above assume parallel movements in the yield curve, which may differ from actual future curve behavior. Other than an assumption for the runoff of surge deposits, our model generally assumes no change in deposit portfolio size or composition. As of December 31, 2024, our modeled total deposit beta, which is measured as the change in our overall deposit rate as a percentage of the change in the targeted federal funds rate, was 43% in an up scenario and 38% in a down scenario.</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order to manage interest rate sensitivity, we executed a number of strategies to move us from being slightly liability sensitive in 2023 to slightly asset sensitive in 2024. The primary driver in the change in interest rate shocks and ramps between December 31, 2024 and 2023 is the derivative financial instruments we entered into in late 2023 and early 2024. Derivative financial instruments can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8"/>
          <w:szCs w:val="18"/>
          <w:color w:val="auto"/>
        </w:rPr>
        <w:t>be a cost-effective and capital-effective means of modifying the repricing characteristics of on-balance sheet assets and liabilities. These contracts generally consist of interest rate swaps under which we pay a fixed rate, (or variable rate, as the case may be) and receive a variable rate (or fixed rate, as the case may be). In addition to the derivative transactions, in an effort to protect against higher rates, we also shortened our investment portfolio duration to 3.9% at year-end 2024 from 4.4% at year-end 2023 and used our loan pricing strategies to encourage floating rate loans and discourage fixed rate loans.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non-customer derivative financial instruments are used only for asset/liability management and as effective economic hedges,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we may require the counterparties to derivative contracts to pledge cash or securities as collateral to cover the net exposure. See Note 8 to the financial statements for further detail.</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of the registrant and report of independent registered public accounting firm are included herein on the pages that follow.</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745490</wp:posOffset>
            </wp:positionV>
            <wp:extent cx="2423160" cy="6140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242316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5"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35" w:lineRule="exact"/>
        <w:rPr>
          <w:rFonts w:ascii="Times New Roman" w:cs="Times New Roman" w:eastAsia="Times New Roman" w:hAnsi="Times New Roman"/>
          <w:sz w:val="17"/>
          <w:szCs w:val="17"/>
          <w:color w:val="auto"/>
        </w:rPr>
      </w:pPr>
    </w:p>
    <w:p>
      <w:pPr>
        <w:jc w:val="both"/>
        <w:ind w:left="320" w:hanging="314"/>
        <w:spacing w:after="0" w:line="245"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2" w:lineRule="exact"/>
        <w:rPr>
          <w:rFonts w:ascii="Times New Roman" w:cs="Times New Roman" w:eastAsia="Times New Roman" w:hAnsi="Times New Roman"/>
          <w:sz w:val="18"/>
          <w:szCs w:val="18"/>
          <w:color w:val="auto"/>
        </w:rPr>
      </w:pPr>
    </w:p>
    <w:p>
      <w:pPr>
        <w:ind w:left="320" w:hanging="314"/>
        <w:spacing w:after="0" w:line="251"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has assessed the effectiveness of the internal control over financial reporting as of December 31, 2024. In making this assessment, we used the criteria established in Internal Control – Integrated Framework (2013) issued by the Committee of Sponsoring Organizations of the Treadway Commission (COSO). Management also conducted an assessment of requirements pertaining to Section 112 of the Federal Deposit Insurance Corporation Improvement Act. This section relates to management’s evaluation of internal control over financial reporting, including controls over the preparation of financial statements in accordance with the instructions to the Consolidated Financial Statements for Bank Holding Companies (Form FR Y-9C) and in compliance with laws and regulations. Our evaluation included a review of the documentation of controls, evaluations of the design of the internal control system and tests of the effectiveness of internal controls.</w:t>
      </w:r>
    </w:p>
    <w:p>
      <w:pPr>
        <w:spacing w:after="0" w:line="2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2024, United Community Banks, Inc.’s internal control over financial reporting is effective based on those criteria.</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321"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 Lynn Harton</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3"/>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 Lynn Harton</w:t>
            </w:r>
          </w:p>
        </w:tc>
        <w:tc>
          <w:tcPr>
            <w:tcW w:w="1040" w:type="dxa"/>
            <w:vAlign w:val="bottom"/>
          </w:tcPr>
          <w:p>
            <w:pPr>
              <w:spacing w:after="0"/>
              <w:rPr>
                <w:sz w:val="18"/>
                <w:szCs w:val="18"/>
                <w:color w:val="auto"/>
              </w:rPr>
            </w:pPr>
          </w:p>
        </w:tc>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1"/>
        </w:trPr>
        <w:tc>
          <w:tcPr>
            <w:tcW w:w="3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745490</wp:posOffset>
            </wp:positionV>
            <wp:extent cx="1118870" cy="942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118870"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United Community Banks, Inc.</w:t>
      </w:r>
    </w:p>
    <w:p>
      <w:pPr>
        <w:spacing w:after="0" w:line="18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5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have audited the accompanying consolidated balance sheets of United Community Banks, Inc. and its subsidiaries (the "Company") as of December 31, 2024 and 2023, and the related consolidated statements of income, of comprehensive income (loss), of changes in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48"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5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5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5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Management's assessment and our audit of United Community Banks, Inc.’s internal control over financial reporting also included controls over the preparation of financial statements in accordance with the instructions to the Consolidated Financial Statements for Bank Holding Companies (Form FR Y-9C) to comply with the reporting requirements of Section 112 of the Federal Deposit Insurance Corporation Improvement Act (FDICIA).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6" w:lineRule="exact"/>
        <w:rPr>
          <w:sz w:val="20"/>
          <w:szCs w:val="20"/>
          <w:color w:val="auto"/>
        </w:rPr>
      </w:pPr>
    </w:p>
    <w:p>
      <w:pPr>
        <w:jc w:val="both"/>
        <w:ind w:right="240"/>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440" w:right="339" w:bottom="0" w:gutter="0" w:footer="0" w:header="0"/>
        </w:sectPr>
      </w:pPr>
    </w:p>
    <w:p>
      <w:pPr>
        <w:spacing w:after="0" w:line="251" w:lineRule="exact"/>
        <w:rPr>
          <w:sz w:val="20"/>
          <w:szCs w:val="20"/>
          <w:color w:val="auto"/>
        </w:rPr>
      </w:pPr>
    </w:p>
    <w:p>
      <w:pPr>
        <w:spacing w:after="0"/>
        <w:rPr>
          <w:sz w:val="20"/>
          <w:szCs w:val="20"/>
          <w:color w:val="auto"/>
        </w:rPr>
      </w:pPr>
      <w:r>
        <w:rPr>
          <w:rFonts w:ascii="Georgia" w:cs="Georgia" w:eastAsia="Georgia" w:hAnsi="Georgia"/>
          <w:sz w:val="17"/>
          <w:szCs w:val="17"/>
          <w:b w:val="1"/>
          <w:bCs w:val="1"/>
          <w:i w:val="1"/>
          <w:iCs w:val="1"/>
          <w:color w:val="auto"/>
        </w:rPr>
        <w:t>Critical Audit Matter</w:t>
      </w:r>
    </w:p>
    <w:p>
      <w:pPr>
        <w:sectPr>
          <w:pgSz w:w="11900" w:h="16838" w:orient="portrait"/>
          <w:cols w:equalWidth="0" w:num="1">
            <w:col w:w="11240"/>
          </w:cols>
          <w:pgMar w:left="320" w:top="1440" w:right="339" w:bottom="0" w:gutter="0" w:footer="0" w:header="0"/>
          <w:type w:val="continuous"/>
        </w:sectPr>
      </w:pPr>
    </w:p>
    <w:bookmarkStart w:id="68" w:name="page69"/>
    <w:bookmarkEnd w:id="68"/>
    <w:p>
      <w:pPr>
        <w:spacing w:after="0" w:line="244" w:lineRule="auto"/>
        <w:rPr>
          <w:sz w:val="20"/>
          <w:szCs w:val="20"/>
          <w:color w:val="auto"/>
        </w:rPr>
      </w:pPr>
      <w:r>
        <w:rPr>
          <w:rFonts w:ascii="Georgia" w:cs="Georgia" w:eastAsia="Georgia" w:hAnsi="Georgia"/>
          <w:sz w:val="18"/>
          <w:szCs w:val="18"/>
          <w:color w:val="auto"/>
        </w:rPr>
        <w:t xml:space="preserve">The critical audit matter communicated below is a matter arising from the current period audit of the consolidated financial statements that was </w:t>
      </w:r>
      <w:r>
        <w:rPr>
          <w:rFonts w:ascii="Arial" w:cs="Arial" w:eastAsia="Arial" w:hAnsi="Arial"/>
          <w:sz w:val="18"/>
          <w:szCs w:val="18"/>
          <w:color w:val="auto"/>
        </w:rPr>
        <w:t>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 </w:t>
      </w:r>
    </w:p>
    <w:p>
      <w:pPr>
        <w:spacing w:after="0" w:line="24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i w:val="1"/>
          <w:iCs w:val="1"/>
          <w:color w:val="auto"/>
        </w:rPr>
        <w:t>Allowance for Credit Losses – Model Overlay for the Commercial and Industrial Portfolio Segment and Qualitative Adjustments for Certain Portfolio Segments </w:t>
      </w:r>
    </w:p>
    <w:p>
      <w:pPr>
        <w:spacing w:after="0" w:line="25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As described in Notes 1 and 6 to the consolidated financial statements, the allowance for credit losses – loans and leases (collectively referred to as “ACL”) of $207 million as of December 31, 2024 represents management’s estimate of expected credit losses for the remaining estimated life of loans and leases, a portion of which relates to model overlay for the commercial and industrial portfolio segment and qualitative adjustments for certain portfolio segments. Management determined the ACL using relevant available information from internal and external sources relating to past events, current conditions, and reasonable and supportable forecasts. Expected credit losses were estimated using a regression model for each portfolio segment based on historical data from peer banks combined with a baseline economic forecast to predict the change in credit losses. These estimates were then combined with a starting value that was based on the Company’s recent charge-off experience to produce an expected default rate, with the results subject to a floor. For the majority of loans and leases, the ACL is calculated using a discounted cash flow methodology applied at a loan level with a one-year reasonable and supportable forecast period and a two-year straight-line reversion period. Loss rates, prepayment assumptions and curtailment assumptions are driven by each loan’s collateral type. As of December 31, 2024, management applied a model overlay to adjust the expected default rate for the commercial &amp; industrial loans portfolio segment. Management also applied a qualitative adjustment to the model output for loans in certain western North Carolina areas affected by Hurricane Helene (“qualitative adjustments for certain portfolio segments”).   </w:t>
      </w:r>
    </w:p>
    <w:p>
      <w:pPr>
        <w:spacing w:after="0" w:line="2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principal considerations for our determination that performing procedures relating to the allowance for credit losses -  model overlay for the commercial and industrial portfolio segment and qualitative adjustments for certain portfolio segments is a critical audit matter are (i) the significant judgment by management when developing the allowance for credit losses; (ii) a high degree of auditor judgment, subjectivity and effort in performing procedures and evaluating audit evidence related to (a) the model overlay for the commercial and industrial portfolio segment and (b) the qualitative adjustments for certain portfolio segments; and (iii) the audit effort involved the use of professionals with specialized skill and knowledge.  </w:t>
      </w:r>
    </w:p>
    <w:p>
      <w:pPr>
        <w:spacing w:after="0" w:line="24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development of the allowance for credit losses, including controls over the model overlay for the commercial and industrial portfolio segment and qualitative adjustments for certain portfolio segments. These procedures also included, among others, (i) testing management’s process for developing the estimate of expected credit losses; (ii) evaluating the appropriateness of management’s methodology; (iii) testing the completeness and accuracy of the data used by management; and (iv) evaluating the reasonableness of the model overlay for the commercial and industrial portfolio segment and qualitative adjustments for certain portfolio segments. Professionals with specialized skill and knowledge were used to assist in evaluating (i) the appropriateness of management’s methodology; and (ii) the reasonableness of the model overlay for the commercial and industrial portfolio segment and qualitative adjustments for certain portfolio segments.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0" w:lineRule="auto"/>
        <w:rPr>
          <w:sz w:val="20"/>
          <w:szCs w:val="20"/>
          <w:color w:val="auto"/>
        </w:rPr>
      </w:pPr>
      <w:r>
        <w:rPr>
          <w:rFonts w:ascii="Arial" w:cs="Arial" w:eastAsia="Arial" w:hAnsi="Arial"/>
          <w:sz w:val="18"/>
          <w:szCs w:val="18"/>
          <w:color w:val="auto"/>
        </w:rPr>
        <w:t>Atlanta, Georgia</w:t>
      </w:r>
    </w:p>
    <w:p>
      <w:pPr>
        <w:spacing w:after="0" w:line="232" w:lineRule="auto"/>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8"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200,781</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803,094</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1,003,875</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3,331,084</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held-to-maturity (fair value $1,944,126 and $2,095,620, respectively)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18,318,755</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and leases,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378,421</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345,371</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87,782</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113,214</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990,087</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(including $69,137 and $61,527 at fair value, respectively)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362,525</w:t>
            </w:r>
          </w:p>
        </w:tc>
        <w:tc>
          <w:tcPr>
            <w:tcW w:w="0" w:type="dxa"/>
            <w:vAlign w:val="bottom"/>
          </w:tcPr>
          <w:p>
            <w:pPr>
              <w:spacing w:after="0"/>
              <w:rPr>
                <w:sz w:val="1"/>
                <w:szCs w:val="1"/>
                <w:color w:val="auto"/>
              </w:rPr>
            </w:pPr>
          </w:p>
        </w:tc>
      </w:tr>
      <w:tr>
        <w:trPr>
          <w:trHeight w:val="232"/>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27,297,251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6,534,307</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17,249,793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16,776,304</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324,823</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 (including $15,331 and $12,838 at fair value, 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315,481</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24,288,131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24,035,726</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6"/>
                <w:szCs w:val="16"/>
                <w:i w:val="1"/>
                <w:iCs w:val="1"/>
                <w:color w:val="auto"/>
              </w:rPr>
              <w:t>(Note 22 - Commitments and Contingencies)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30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Preferred stock, $1 par value: 10,000,000 shares authorized; 3,662 Series I issued and</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$25,000 per share liquidation preference</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30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Common stock, $1 par value; 200,000,000 shares authorized, 119,364,110 and 119,010,319 shares issued and outstanding,</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119,364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119,010</w:t>
            </w:r>
          </w:p>
        </w:tc>
        <w:tc>
          <w:tcPr>
            <w:tcW w:w="0" w:type="dxa"/>
            <w:vAlign w:val="bottom"/>
          </w:tcPr>
          <w:p>
            <w:pPr>
              <w:spacing w:after="0"/>
              <w:rPr>
                <w:sz w:val="1"/>
                <w:szCs w:val="1"/>
                <w:color w:val="auto"/>
              </w:rPr>
            </w:pPr>
          </w:p>
        </w:tc>
      </w:tr>
      <w:tr>
        <w:trPr>
          <w:trHeight w:val="210"/>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issuable; 600,168 and 620,108 shares, respectively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0" w:type="dxa"/>
            <w:vAlign w:val="bottom"/>
          </w:tcPr>
          <w:p>
            <w:pPr>
              <w:spacing w:after="0"/>
              <w:rPr>
                <w:sz w:val="1"/>
                <w:szCs w:val="1"/>
                <w:color w:val="auto"/>
              </w:rPr>
            </w:pPr>
          </w:p>
        </w:tc>
      </w:tr>
      <w:tr>
        <w:trPr>
          <w:trHeight w:val="210"/>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2,699,112</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581,219</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(239,192)</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3,261,525</w:t>
            </w:r>
          </w:p>
        </w:tc>
        <w:tc>
          <w:tcPr>
            <w:tcW w:w="0" w:type="dxa"/>
            <w:vAlign w:val="bottom"/>
          </w:tcPr>
          <w:p>
            <w:pPr>
              <w:spacing w:after="0"/>
              <w:rPr>
                <w:sz w:val="1"/>
                <w:szCs w:val="1"/>
                <w:color w:val="auto"/>
              </w:rPr>
            </w:pPr>
          </w:p>
        </w:tc>
      </w:tr>
      <w:tr>
        <w:trPr>
          <w:trHeight w:val="207"/>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27,297,251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including fees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1,147,477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1,042,605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673,402</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121,501</w:t>
            </w:r>
          </w:p>
        </w:tc>
      </w:tr>
      <w:tr>
        <w:trPr>
          <w:trHeight w:val="214"/>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exempt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Deposits in banks and short-term investments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interest revenue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813,155</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42,099</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16,768</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60,798</w:t>
            </w:r>
          </w:p>
        </w:tc>
      </w:tr>
      <w:tr>
        <w:trPr>
          <w:trHeight w:val="20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interest revenue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817,765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752,357</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63,913</w:t>
            </w:r>
          </w:p>
        </w:tc>
      </w:tr>
      <w:tr>
        <w:trPr>
          <w:trHeight w:val="203"/>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interest revenue after provision for credit losses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776,417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728,335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688,444</w:t>
            </w:r>
          </w:p>
        </w:tc>
      </w:tr>
      <w:tr>
        <w:trPr>
          <w:trHeight w:val="19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38,163</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Wealth management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(losses) gains from sale of other loans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lending and loan servicing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10,005</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losses,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26,563</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137,707</w:t>
            </w:r>
          </w:p>
        </w:tc>
      </w:tr>
      <w:tr>
        <w:trPr>
          <w:trHeight w:val="203"/>
        </w:trPr>
        <w:tc>
          <w:tcPr>
            <w:tcW w:w="6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901,173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803,818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826,151</w:t>
            </w:r>
          </w:p>
        </w:tc>
      </w:tr>
      <w:tr>
        <w:trPr>
          <w:trHeight w:val="19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276,205</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36,247</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38,234</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20,166</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19,375</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24,136</w:t>
            </w:r>
          </w:p>
        </w:tc>
      </w:tr>
      <w:tr>
        <w:trPr>
          <w:trHeight w:val="203"/>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578,167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571,273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470,149</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356,002</w:t>
            </w:r>
          </w:p>
        </w:tc>
      </w:tr>
      <w:tr>
        <w:trPr>
          <w:trHeight w:val="21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78,530</w:t>
            </w:r>
          </w:p>
        </w:tc>
      </w:tr>
      <w:tr>
        <w:trPr>
          <w:trHeight w:val="232"/>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277,472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income available to common shareholders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269,135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6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per common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106,661</w:t>
            </w:r>
          </w:p>
        </w:tc>
      </w:tr>
      <w:tr>
        <w:trPr>
          <w:trHeight w:val="208"/>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106,778</w:t>
            </w:r>
          </w:p>
        </w:tc>
      </w:tr>
    </w:tbl>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71" w:name="page72"/>
    <w:bookmarkEnd w:id="7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20" w:type="dxa"/>
            <w:vAlign w:val="bottom"/>
          </w:tcPr>
          <w:p>
            <w:pPr>
              <w:spacing w:after="0"/>
              <w:rPr>
                <w:sz w:val="13"/>
                <w:szCs w:val="13"/>
                <w:color w:val="auto"/>
              </w:rPr>
            </w:pPr>
          </w:p>
        </w:tc>
        <w:tc>
          <w:tcPr>
            <w:tcW w:w="7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89"/>
              </w:rPr>
              <w:t>Tax</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88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00" w:type="dxa"/>
            <w:vAlign w:val="bottom"/>
            <w:gridSpan w:val="3"/>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(Expense)</w:t>
            </w:r>
          </w:p>
        </w:tc>
        <w:tc>
          <w:tcPr>
            <w:tcW w:w="880" w:type="dxa"/>
            <w:vAlign w:val="bottom"/>
            <w:gridSpan w:val="3"/>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(Expense)</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2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6"/>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252,397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Unrealized gains (losses) on available-for-sale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holding gains (losses)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(327,261)</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w w:val="99"/>
              </w:rPr>
              <w:t>Reclassification of securities from available-for-</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 to held-to-maturity</w:t>
            </w: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Realized losses included in net income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53,333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79,548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(257,741)</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Unrealized losses on held-to-maturity securities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transferred from available-for-sale: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Reclassification of unrealized losses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Amortization of unrealized losses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6,549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activity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(59,792)</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Derivative instruments designated as cash flow</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0" w:type="dxa"/>
            <w:vAlign w:val="bottom"/>
          </w:tcPr>
          <w:p>
            <w:pPr>
              <w:spacing w:after="0"/>
              <w:rPr>
                <w:sz w:val="1"/>
                <w:szCs w:val="1"/>
                <w:color w:val="auto"/>
              </w:rPr>
            </w:pPr>
          </w:p>
        </w:tc>
      </w:tr>
      <w:tr>
        <w:trPr>
          <w:trHeight w:val="159"/>
        </w:trPr>
        <w:tc>
          <w:tcPr>
            <w:tcW w:w="326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(Gains) losses on derivative instruments realized</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1,205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 net income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benefit pension plan activity: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Net actuarial gain (loss) on defined</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pension plans</w:t>
            </w: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6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w w:val="99"/>
              </w:rPr>
              <w:t>Amortization of defined benefit pension plan net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periodic pension cost components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defined benefit pension plan activity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26,273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119,509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90,296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(396,181)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93,169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358,096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278,670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352,054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14,639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914" w:right="4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3"/>
                <w:szCs w:val="13"/>
                <w:color w:val="auto"/>
              </w:rPr>
            </w:pPr>
          </w:p>
        </w:tc>
        <w:tc>
          <w:tcPr>
            <w:tcW w:w="13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74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89,349,826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11,288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$ 1,721,007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for acquisitions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0" w:type="dxa"/>
            <w:vAlign w:val="bottom"/>
          </w:tcPr>
          <w:p>
            <w:pPr>
              <w:spacing w:after="0"/>
              <w:rPr>
                <w:sz w:val="1"/>
                <w:szCs w:val="1"/>
                <w:color w:val="auto"/>
              </w:rPr>
            </w:pPr>
          </w:p>
        </w:tc>
      </w:tr>
      <w:tr>
        <w:trPr>
          <w:trHeight w:val="159"/>
        </w:trPr>
        <w:tc>
          <w:tcPr>
            <w:tcW w:w="27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dividends ($0.86 per</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(92,407)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(92,407)</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233,489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line="161" w:lineRule="exact"/>
              <w:rPr>
                <w:sz w:val="20"/>
                <w:szCs w:val="20"/>
                <w:color w:val="auto"/>
              </w:rPr>
            </w:pPr>
            <w:r>
              <w:rPr>
                <w:rFonts w:ascii="Times New Roman" w:cs="Times New Roman" w:eastAsia="Times New Roman" w:hAnsi="Times New Roman"/>
                <w:sz w:val="16"/>
                <w:szCs w:val="16"/>
                <w:color w:val="auto"/>
              </w:rPr>
              <w:t>2,046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4,661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6,941</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Impact of other equity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67,898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106,222,758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12,307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2,700,674</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90,296</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for acquisitions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12,279,135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394,140</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preferred stock</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8"/>
              </w:rPr>
              <w:t>(8,156)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dividends ($0.92 per</w:t>
            </w: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(109,504)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(109,504)</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11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461,601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
              <w:spacing w:after="0" w:line="159" w:lineRule="exact"/>
              <w:rPr>
                <w:sz w:val="20"/>
                <w:szCs w:val="20"/>
                <w:color w:val="auto"/>
              </w:rPr>
            </w:pPr>
            <w:r>
              <w:rPr>
                <w:rFonts w:ascii="Times New Roman" w:cs="Times New Roman" w:eastAsia="Times New Roman" w:hAnsi="Times New Roman"/>
                <w:sz w:val="16"/>
                <w:szCs w:val="16"/>
                <w:color w:val="auto"/>
              </w:rPr>
              <w:t>1,207</w:t>
            </w: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10,151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11,819</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other equity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119,010,319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88,266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13,110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3,261,525</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252,397</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26,273</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0" w:type="dxa"/>
            <w:vAlign w:val="bottom"/>
          </w:tcPr>
          <w:p>
            <w:pPr>
              <w:spacing w:after="0"/>
              <w:rPr>
                <w:sz w:val="1"/>
                <w:szCs w:val="1"/>
                <w:color w:val="auto"/>
              </w:rPr>
            </w:pPr>
          </w:p>
        </w:tc>
      </w:tr>
      <w:tr>
        <w:trPr>
          <w:trHeight w:val="159"/>
        </w:trPr>
        <w:tc>
          <w:tcPr>
            <w:tcW w:w="27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dividends ($0.94 per</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(113,185)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(113,185)</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297,679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line="161" w:lineRule="exact"/>
              <w:rPr>
                <w:sz w:val="20"/>
                <w:szCs w:val="20"/>
                <w:color w:val="auto"/>
              </w:rPr>
            </w:pPr>
            <w:r>
              <w:rPr>
                <w:rFonts w:ascii="Times New Roman" w:cs="Times New Roman" w:eastAsia="Times New Roman" w:hAnsi="Times New Roman"/>
                <w:sz w:val="16"/>
                <w:szCs w:val="16"/>
                <w:color w:val="auto"/>
              </w:rPr>
              <w:t>731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10,178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11,207</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Impact of other equity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56,112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119,364,110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88,266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12,999</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$ 2,710,279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714,138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(212,919)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3" w:name="page74"/>
    <w:bookmarkEnd w:id="73"/>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UNITED COMMUNITY BANKS, INC. AND SUBSIDIARIES</w:t>
      </w:r>
    </w:p>
    <w:p>
      <w:pPr>
        <w:spacing w:after="0" w:line="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2024, 2023 and 2022</w:t>
      </w:r>
    </w:p>
    <w:p>
      <w:pPr>
        <w:spacing w:after="0" w:line="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252,397</w:t>
            </w:r>
          </w:p>
        </w:tc>
        <w:tc>
          <w:tcPr>
            <w:tcW w:w="4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187,544</w:t>
            </w:r>
          </w:p>
        </w:tc>
        <w:tc>
          <w:tcPr>
            <w:tcW w:w="4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amortization and accretion,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losses,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(gains) from other loan sales,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FinTrust goodwill write-down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Decrease (increase) in other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91"/>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(Decrease) increase in other 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0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(Increase) decrease in loans held for sale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8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349,734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293,971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607,3</w:t>
            </w:r>
          </w:p>
        </w:tc>
      </w:tr>
      <w:tr>
        <w:trPr>
          <w:trHeight w:val="185"/>
        </w:trPr>
        <w:tc>
          <w:tcPr>
            <w:tcW w:w="6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646,108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(1,943,743)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(1,667,4</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decrease (increase) in loans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(1,228,6</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other investments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other investments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received in divestitures and acquisitions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of premises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cash paid for branch disposal</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inflows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17,256</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(991,042)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(163,289)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(2,020,1</w:t>
            </w:r>
          </w:p>
        </w:tc>
      </w:tr>
      <w:tr>
        <w:trPr>
          <w:trHeight w:val="185"/>
        </w:trPr>
        <w:tc>
          <w:tcPr>
            <w:tcW w:w="6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increase (decrease) in short-term borrowings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preferred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inflows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2"/>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outflows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157,306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226,340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r>
      <w:tr>
        <w:trPr>
          <w:trHeight w:val="185"/>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(1,671,6</w:t>
            </w:r>
          </w:p>
        </w:tc>
      </w:tr>
      <w:tr>
        <w:trPr>
          <w:trHeight w:val="192"/>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1,003,875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646,853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2,318,5</w:t>
            </w:r>
          </w:p>
        </w:tc>
      </w:tr>
      <w:tr>
        <w:trPr>
          <w:trHeight w:val="22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1,003,875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919" w:right="239" w:bottom="1440" w:gutter="0" w:footer="0" w:header="0"/>
        </w:sectPr>
      </w:pPr>
    </w:p>
    <w:bookmarkStart w:id="74" w:name="page75"/>
    <w:bookmarkEnd w:id="7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4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See the Glossary of Defined Terms at the beginning of this Report for terms used herein. The accounting principles followed by United and the methods of applying these principles conform with GAAP and with general practices within the banking industry. The following is a description of the significant policies.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and Basis of Presentation</w:t>
      </w:r>
    </w:p>
    <w:p>
      <w:pPr>
        <w:spacing w:after="0" w:line="14" w:lineRule="exact"/>
        <w:rPr>
          <w:sz w:val="20"/>
          <w:szCs w:val="20"/>
          <w:color w:val="auto"/>
        </w:rPr>
      </w:pPr>
    </w:p>
    <w:p>
      <w:pPr>
        <w:jc w:val="both"/>
        <w:ind w:left="320"/>
        <w:spacing w:after="0" w:line="234" w:lineRule="auto"/>
        <w:rPr>
          <w:sz w:val="20"/>
          <w:szCs w:val="20"/>
          <w:color w:val="auto"/>
        </w:rPr>
      </w:pPr>
      <w:r>
        <w:rPr>
          <w:rFonts w:ascii="Times New Roman" w:cs="Times New Roman" w:eastAsia="Times New Roman" w:hAnsi="Times New Roman"/>
          <w:sz w:val="18"/>
          <w:szCs w:val="18"/>
          <w:color w:val="auto"/>
        </w:rPr>
        <w:t>The Holding Company is a bank holding company under the BHC Act and a financial holding company under the GLB Act. Financial holding company status allows for engagement in a broader range of financial activities. The Holding Company’s principal business is conducted by its wholly-owned commercial bank subsidiary, United Community Bank. United is subject to regulation under the BHC Act. In May 2024, United officially moved its Holding Company headquarters from Blairsville, Georgia to Greenville, South Carolina.</w:t>
      </w:r>
    </w:p>
    <w:p>
      <w:pPr>
        <w:spacing w:after="0" w:line="206" w:lineRule="exact"/>
        <w:rPr>
          <w:sz w:val="20"/>
          <w:szCs w:val="20"/>
          <w:color w:val="auto"/>
        </w:rPr>
      </w:pPr>
    </w:p>
    <w:p>
      <w:pPr>
        <w:jc w:val="both"/>
        <w:ind w:left="320"/>
        <w:spacing w:after="0" w:line="236" w:lineRule="auto"/>
        <w:rPr>
          <w:sz w:val="20"/>
          <w:szCs w:val="20"/>
          <w:color w:val="auto"/>
        </w:rPr>
      </w:pPr>
      <w:r>
        <w:rPr>
          <w:rFonts w:ascii="Times New Roman" w:cs="Times New Roman" w:eastAsia="Times New Roman" w:hAnsi="Times New Roman"/>
          <w:sz w:val="18"/>
          <w:szCs w:val="18"/>
          <w:color w:val="auto"/>
        </w:rPr>
        <w:t>The Bank is headquartered in Greenville, South Carolina and is a South Carolina state-chartered bank subject to examination and reporting requirements of the SCBFI. The Bank serves both rural and metropolitan markets in Georgia, South Carolina, North Carolina, Tennessee, Florida and Alabama and provides a full range of banking services. Effective in June 2024, the Bank changed its primary federal regulator from the FDIC to the Federal Reserve. The Bank continues to be insured by the FDIC.</w:t>
      </w:r>
    </w:p>
    <w:p>
      <w:pPr>
        <w:spacing w:after="0" w:line="206" w:lineRule="exact"/>
        <w:rPr>
          <w:sz w:val="20"/>
          <w:szCs w:val="20"/>
          <w:color w:val="auto"/>
        </w:rPr>
      </w:pPr>
    </w:p>
    <w:p>
      <w:pPr>
        <w:jc w:val="both"/>
        <w:ind w:left="320"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Holding Company, the Bank and other wholly-owned subsidiaries. All significant intercompany accounts and transactions have been eliminated in consolidation.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Revision of Previously Issued Financial Statements</w:t>
      </w:r>
    </w:p>
    <w:p>
      <w:pPr>
        <w:spacing w:after="0" w:line="10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7"/>
          <w:szCs w:val="17"/>
          <w:color w:val="auto"/>
        </w:rPr>
        <w:t>During the second quarter of 2024, management corrected an immaterial error related to the loan vintage disclosure reported in previously issued financial statements for the period presented in the 2023 10-K. The revised December 31, 2023 loan vintage disclosure was included in United’s second and third quarter Form 10-Q reports and is included in this Form 10-K as well. The error relates to the incorrect determination of the vintage year for a population of term loans and gross charge-offs. The correction of this error resulted in the reclassification of certain term loans and gross charge-offs to older vintage categories than originally reported. The correction of this error did not result in any reclassification between risk categories presented. The revision did not change the total amount of loans or gross charge-offs reported and did not affect the Company's net income, cash flows or equity.</w:t>
      </w:r>
    </w:p>
    <w:p>
      <w:pPr>
        <w:spacing w:after="0" w:line="199"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We evaluated the aggregate effects of this error to our previously issued financial statements in accordance with SEC Staff Accounting Bulletins No. 99 and No. 108 and, based upon quantitative and qualitative factors, determined that the error was not material to the previously issued financial statements and disclosures included in our 2023 Form 10-K.</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ACL, the valuation of acquired loans,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Segments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Operating segments are components of a business about which separate financial information is available and evaluated regularly by the CODM in deciding how to allocate resources and assessing performance. Public companies are required to report certain financial information about operating segments in interim and annual financial statements.</w:t>
      </w:r>
    </w:p>
    <w:p>
      <w:pPr>
        <w:spacing w:after="0" w:line="21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Management has determined that United has one reportable banking segment that encompasses its core banking activities. United’s banking operations are divided among geographic regions and local community banks within those regions. Those regions and banks have similar economic characteristics and products. The segment provides a wide range of financial products and services to the commercial, retail, governmental, educational, energy, health</w:t>
      </w:r>
    </w:p>
    <w:p>
      <w:pPr>
        <w:spacing w:after="0" w:line="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branches, other offices, the internet, and mobile applications.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5" w:name="page76"/>
    <w:bookmarkEnd w:id="75"/>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financial performance of the banking segment is reviewed by United’s CODM, its Chief Executive Officer. The CODM uses net income as reported on the Consolidated Statements of Income to assess segment performance and determine how to allocate resources. Total assets as presented on the Consolidated Balance Sheets is used to measure segment assets. The CODM reviews significant expense categories that materially align with those presented in the Consolidated Statements of Income.</w:t>
      </w:r>
    </w:p>
    <w:p>
      <w:pPr>
        <w:spacing w:after="0" w:line="20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United’s CODM uses net income to evaluate income generated from total assets, or return on assets. Net income is also used to monitor budget versus actual results, to assess internal financial forecasts and to benchmark performance to competitors.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Debt securities are classified as HTM and carried at amortized cost when management has the positive intent and ability to hold them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Debt securities are classified as AFS when they may be sold before maturity. AFS securities are carried at fair value, with unrealized holding gains and losses reported in OCI, net of tax.</w:t>
      </w:r>
    </w:p>
    <w:p>
      <w:pPr>
        <w:spacing w:after="0" w:line="21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Interest income includes amortization of purchase premiums or discounts. Premiums and discounts on securities are generally amortized or accreted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20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Transfers of securities between categories are recorded at fair value at the date of transfer. Unrealized holding gains or losses associated with transfers of securities from AFS to HTM are included in the balance of AOCI in the consolidated balance sheets. These unrealized holding gains or losses are amortized/accreted into income over the remaining life of the security as an adjustment to the yield in a manner consistent with the amortization or accretion of the original purchase premium or discount on the associated security.</w:t>
      </w:r>
    </w:p>
    <w:p>
      <w:pPr>
        <w:spacing w:after="0" w:line="20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77" w:lineRule="exact"/>
        <w:rPr>
          <w:sz w:val="20"/>
          <w:szCs w:val="20"/>
          <w:color w:val="auto"/>
        </w:rPr>
      </w:pPr>
    </w:p>
    <w:p>
      <w:pPr>
        <w:jc w:val="both"/>
        <w:ind w:left="320"/>
        <w:spacing w:after="0" w:line="237" w:lineRule="auto"/>
        <w:rPr>
          <w:sz w:val="20"/>
          <w:szCs w:val="20"/>
          <w:color w:val="auto"/>
        </w:rPr>
      </w:pPr>
      <w:r>
        <w:rPr>
          <w:rFonts w:ascii="Times New Roman" w:cs="Times New Roman" w:eastAsia="Times New Roman" w:hAnsi="Times New Roman"/>
          <w:sz w:val="18"/>
          <w:szCs w:val="18"/>
          <w:color w:val="auto"/>
        </w:rPr>
        <w:t>The CECL framework requires an estimate of expected credit losses for the remaining estimated life of the financial asset using historical experience, current conditions, and reasonable and supportable forecasts. The following discussion provides a description of the methodology applied to calculate the ACL under CECL.</w:t>
      </w:r>
    </w:p>
    <w:p>
      <w:pPr>
        <w:spacing w:after="0" w:line="20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ACL - HTM Debt Securities: </w:t>
      </w:r>
      <w:r>
        <w:rPr>
          <w:rFonts w:ascii="Times New Roman" w:cs="Times New Roman" w:eastAsia="Times New Roman" w:hAnsi="Times New Roman"/>
          <w:sz w:val="18"/>
          <w:szCs w:val="18"/>
          <w:color w:val="auto"/>
        </w:rPr>
        <w:t>Management measures current expected credit losses on HTM debt securities on a collective basis by major security 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of which qualify for a zero loss assumption. For those securities which do not qualify for a zero loss assumption, the estimate of current expected credit losses considers historical credit loss information that is adjusted for current conditions and reasonable and supportable forecasts. Management classifies the HTM portfolio into the following major security types: U.S. Treasuries, U.S. Government agencies and GSEs, state and political subdivisions, residential mortgage-backed, agency and GSEs, commercial mortgage-backed, agency and GSEs and supranational entities. Accrued interest receivable on HTM debt is excluded from the estimate of credit losses.</w:t>
      </w:r>
    </w:p>
    <w:p>
      <w:pPr>
        <w:spacing w:after="0" w:line="21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All of the residential and commercial mortgage-backed securities held by United as HTM are issued by U.S. Government agencies and GSEs. These securities are either explicitly or implicitly guaranteed by the U.S. government, are highly rated by major rating agencies and have a long history of no credit losses. The state and political subdivision securities are highly rated by major rating agencies.</w:t>
      </w:r>
    </w:p>
    <w:p>
      <w:pPr>
        <w:spacing w:after="0" w:line="202"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ACL - AFS Debt Securities: </w:t>
      </w:r>
      <w:r>
        <w:rPr>
          <w:rFonts w:ascii="Times New Roman" w:cs="Times New Roman" w:eastAsia="Times New Roman" w:hAnsi="Times New Roman"/>
          <w:sz w:val="18"/>
          <w:szCs w:val="18"/>
          <w:color w:val="auto"/>
        </w:rPr>
        <w:t>For AFS debt securities in an unrealized loss position, United first assesses whether it intends to sell, or whether it is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than not that it will be required to sell the security before recovery of its amortized cost basis. If either of the criteria regarding intent or requirement to sell is met, the security's amortized cost basis is written down to fair value through income. For AFS debt securities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amount of unrealized loss that has not been recorded through an ACL is recognized in OCI. Accrued interest receivable on AFS debt securities is excluded from the estimate of credit losses.</w:t>
      </w:r>
    </w:p>
    <w:p>
      <w:pPr>
        <w:spacing w:after="0" w:line="212"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Changes in the ACL are recorded as provision for (or reversal of) credit loss expense. Losses are charged against the ACL when management believes the uncollectibility of an AFS security is confirmed or when either of the criteria regarding intent or requirement to sell is met.</w:t>
      </w:r>
    </w:p>
    <w:p>
      <w:pPr>
        <w:spacing w:after="0" w:line="188"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color w:val="auto"/>
        </w:rPr>
        <w:t>Equity investments are included in other assets on the consolidated balance sheets. Those with readily determinable fair values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carried at fair value with changes in fair value recognized in other noninterest income. Those without readily determinable fair values include, among others, Federal Reserve stock, which is held as a requirement for member banks, and FHLB stock, which is held to meet FHLB requirements related to outstanding advances. These investments are accounted for using the cost method of accounting. As conditions warrant, management reviews investments for impairment and adjusts the carrying value of the investment if it is deemed to be impaired.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Loans Held for Sale</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has elected the fair value option for the majority of newly originated mortgage loans held for sale in order to reduce certain timing differences and match changes in fair values of the loans with changes in the fair value of derivative instruments used to economically hedge them.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Loans and Leases</w:t>
      </w:r>
    </w:p>
    <w:p>
      <w:pPr>
        <w:spacing w:after="0" w:line="2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Interest income is accrued on the unpaid principal balance. Loan origination fees, net of certain direct origination costs, are deferred and recognized in interest income over the life of the loan.</w:t>
      </w:r>
    </w:p>
    <w:p>
      <w:pPr>
        <w:spacing w:after="0" w:line="193"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Equipment Financing Lease Receivables: </w:t>
      </w:r>
      <w:r>
        <w:rPr>
          <w:rFonts w:ascii="Times New Roman" w:cs="Times New Roman" w:eastAsia="Times New Roman" w:hAnsi="Times New Roman"/>
          <w:sz w:val="18"/>
          <w:szCs w:val="18"/>
          <w:color w:val="auto"/>
        </w:rPr>
        <w:t>Equipment financing lease receivables, which are classified as sales-type or direct financing leases,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as the sum of the future minimum lease payments, initial deferred costs and, if applicable, estimated or contractual residual values less unearned income and security deposits. For lease receivables with a residual value, the determination of such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 from consideration in these lease contracts.</w:t>
      </w:r>
    </w:p>
    <w:p>
      <w:pPr>
        <w:spacing w:after="0" w:line="21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PCD Loans: </w:t>
      </w:r>
      <w:r>
        <w:rPr>
          <w:rFonts w:ascii="Times New Roman" w:cs="Times New Roman" w:eastAsia="Times New Roman" w:hAnsi="Times New Roman"/>
          <w:sz w:val="18"/>
          <w:szCs w:val="18"/>
          <w:color w:val="auto"/>
        </w:rPr>
        <w:t>In acquisitions, United may acquire loans, some of which have experienced more than insignificant credit deterioration since origination.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cases, United will consider internal loan grades, delinquency status and other relevant factors in assessing whether purchased loans are PCD. PCD loans are recorded at their fair value at the acquisition date. An initial ACL is determined using the same methodology as other loans held for investment and recognized as an adjustment to the acquisition price of the asset; thus,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213"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Nonaccrual Loans: </w:t>
      </w:r>
      <w:r>
        <w:rPr>
          <w:rFonts w:ascii="Times New Roman" w:cs="Times New Roman" w:eastAsia="Times New Roman" w:hAnsi="Times New Roman"/>
          <w:sz w:val="18"/>
          <w:szCs w:val="18"/>
          <w:color w:val="auto"/>
        </w:rPr>
        <w:t>The accrual of interest is generally discontinued when a loan becomes 90 days past due or when management believes,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considering economic and business conditions and collection efforts, that the principal or interest will not be collectable in the normal course of business. A loan may continue to accrue interest after 90 days if it is well collateralized and in the process of collection. Past due status is based on contractual terms of the loan.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using the cost-recovery method, until qualifying for return to accrual. Under the cost-recovery method, interest payments are reflected as a reduction of the carrying amount of the loan and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210"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FDMs: </w:t>
      </w:r>
      <w:r>
        <w:rPr>
          <w:rFonts w:ascii="Times New Roman" w:cs="Times New Roman" w:eastAsia="Times New Roman" w:hAnsi="Times New Roman"/>
          <w:sz w:val="18"/>
          <w:szCs w:val="18"/>
          <w:color w:val="auto"/>
        </w:rPr>
        <w:t>A loan for which the terms have been modified as a result of the borrower experiencing financial difficulty is generally considered to be a FDM.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terms that result in a FDM include one or a combination of the following: a reduction of the stated interest rate of the loan, an extension of the amortization period, a more than insignificant payment delay or principal forgiveness. The ACL on FDMs is calculated using the same method as other loans held for investment.</w:t>
      </w:r>
    </w:p>
    <w:p>
      <w:pPr>
        <w:spacing w:after="0" w:line="203"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Most of United’s business activity is with customers located within the markets where it has banking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Therefore, United’s exposure to credit risk is significantly affected by changes in the economy within its markets. Approximately 76% of United’s loan portfolio is secured by real estate and is therefore susceptible to changes in real estate valuations.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ACL - Loans</w:t>
      </w:r>
    </w:p>
    <w:p>
      <w:pPr>
        <w:spacing w:after="0" w:line="14" w:lineRule="exact"/>
        <w:rPr>
          <w:sz w:val="20"/>
          <w:szCs w:val="20"/>
          <w:color w:val="auto"/>
        </w:rPr>
      </w:pPr>
    </w:p>
    <w:p>
      <w:pPr>
        <w:jc w:val="both"/>
        <w:ind w:left="320"/>
        <w:spacing w:after="0" w:line="230" w:lineRule="auto"/>
        <w:rPr>
          <w:sz w:val="20"/>
          <w:szCs w:val="20"/>
          <w:color w:val="auto"/>
        </w:rPr>
      </w:pPr>
      <w:r>
        <w:rPr>
          <w:rFonts w:ascii="Times New Roman" w:cs="Times New Roman" w:eastAsia="Times New Roman" w:hAnsi="Times New Roman"/>
          <w:sz w:val="18"/>
          <w:szCs w:val="18"/>
          <w:color w:val="auto"/>
        </w:rPr>
        <w:t>The CECL framework requires an estimate of expected credit losses for the remaining estimated life of the financial asset using historical experience, current conditions, and reasonable and supportable forecasts. The following discussion provides a description of the methodology applied to calculate the ACL under the CECL model.</w:t>
      </w:r>
    </w:p>
    <w:p>
      <w:pPr>
        <w:spacing w:after="0" w:line="20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ACL when management believes the uncollectibility of a loan balance is confirmed. Accrued interest receivable is excluded from the estimate of credit losses.</w:t>
      </w:r>
    </w:p>
    <w:p>
      <w:pPr>
        <w:spacing w:after="0" w:line="204"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 For the majority of loans and leases the ACL is calculated using a discounted cash flow methodology applied at a loan level with a one-year reasonable and supportable forecast period and a two-year straight-line reversion period. When the discounted cash flow method is used to determine the ACL, management adjusts the effective interest rate used to discount expected cash flows to incorporate expected prepayments.</w:t>
      </w:r>
    </w:p>
    <w:p>
      <w:pPr>
        <w:spacing w:after="0" w:line="2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ACL - loans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occupied CRE - </w:t>
      </w:r>
      <w:r>
        <w:rPr>
          <w:rFonts w:ascii="Times New Roman" w:cs="Times New Roman" w:eastAsia="Times New Roman" w:hAnsi="Times New Roman"/>
          <w:sz w:val="18"/>
          <w:szCs w:val="18"/>
          <w:color w:val="auto"/>
        </w:rPr>
        <w:t>Loans in this category are susceptible to business failure and general economic conditions.</w:t>
      </w:r>
    </w:p>
    <w:p>
      <w:pPr>
        <w:spacing w:after="0" w:line="24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Income producing CRE - </w:t>
      </w:r>
      <w:r>
        <w:rPr>
          <w:rFonts w:ascii="Times New Roman" w:cs="Times New Roman" w:eastAsia="Times New Roman" w:hAnsi="Times New Roman"/>
          <w:sz w:val="18"/>
          <w:szCs w:val="18"/>
          <w:color w:val="auto"/>
        </w:rPr>
        <w:t>Common risks for this loan category are declines in general economic conditions, declines in real estate value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caused by rapidly increasing interest rates or other factors, declines in occupancy rates, market-driven declines in rent rates and lack of suitable alternative use for the property.</w:t>
      </w:r>
    </w:p>
    <w:p>
      <w:pPr>
        <w:spacing w:after="0" w:line="19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&amp; industrial - </w:t>
      </w:r>
      <w:r>
        <w:rPr>
          <w:rFonts w:ascii="Times New Roman" w:cs="Times New Roman" w:eastAsia="Times New Roman" w:hAnsi="Times New Roman"/>
          <w:sz w:val="18"/>
          <w:szCs w:val="18"/>
          <w:color w:val="auto"/>
        </w:rPr>
        <w:t>Risks to this loan category include the inability to monitor the condition of the collateral, which often consists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accounts receivable and other non-real estate assets. Equipment and inventory obsolescence can also pose a risk. Declines in general economic conditions and other events can cause cash flows to fall to levels insufficient to service debt.</w:t>
      </w:r>
    </w:p>
    <w:p>
      <w:pPr>
        <w:spacing w:after="0" w:line="199" w:lineRule="exact"/>
        <w:rPr>
          <w:sz w:val="20"/>
          <w:szCs w:val="20"/>
          <w:color w:val="auto"/>
        </w:rPr>
      </w:pPr>
    </w:p>
    <w:p>
      <w:pPr>
        <w:jc w:val="both"/>
        <w:ind w:left="640"/>
        <w:spacing w:after="0" w:line="306" w:lineRule="auto"/>
        <w:rPr>
          <w:sz w:val="20"/>
          <w:szCs w:val="20"/>
          <w:color w:val="auto"/>
        </w:rPr>
      </w:pPr>
      <w:r>
        <w:rPr>
          <w:rFonts w:ascii="Times New Roman" w:cs="Times New Roman" w:eastAsia="Times New Roman" w:hAnsi="Times New Roman"/>
          <w:sz w:val="17"/>
          <w:szCs w:val="17"/>
          <w:b w:val="1"/>
          <w:bCs w:val="1"/>
          <w:color w:val="auto"/>
        </w:rPr>
        <w:t xml:space="preserve">Commercial construction - </w:t>
      </w:r>
      <w:r>
        <w:rPr>
          <w:rFonts w:ascii="Times New Roman" w:cs="Times New Roman" w:eastAsia="Times New Roman" w:hAnsi="Times New Roman"/>
          <w:sz w:val="17"/>
          <w:szCs w:val="17"/>
          <w:color w:val="auto"/>
        </w:rPr>
        <w:t>Risks common to commercial construction loans are cost overruns, changes in market demand for property, inadequate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long-term financing arrangements and declines in real estate values which may be caused by rapidly increasing interest rates or other factors.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29"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Equipment financing - </w:t>
      </w:r>
      <w:r>
        <w:rPr>
          <w:rFonts w:ascii="Times New Roman" w:cs="Times New Roman" w:eastAsia="Times New Roman" w:hAnsi="Times New Roman"/>
          <w:sz w:val="18"/>
          <w:szCs w:val="18"/>
          <w:color w:val="auto"/>
        </w:rPr>
        <w:t>Risks associated with equipment financing are similar to those described for commercial and industrial loans,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economic conditions, as well as appropriate lien priority on equipment, equipment obsolescence and the general mobility of the collateral.</w:t>
      </w:r>
    </w:p>
    <w:p>
      <w:pPr>
        <w:spacing w:after="0" w:line="186" w:lineRule="exact"/>
        <w:rPr>
          <w:sz w:val="20"/>
          <w:szCs w:val="20"/>
          <w:color w:val="auto"/>
        </w:rPr>
      </w:pPr>
    </w:p>
    <w:p>
      <w:pPr>
        <w:jc w:val="both"/>
        <w:ind w:left="640"/>
        <w:spacing w:after="0" w:line="306" w:lineRule="auto"/>
        <w:rPr>
          <w:sz w:val="20"/>
          <w:szCs w:val="20"/>
          <w:color w:val="auto"/>
        </w:rPr>
      </w:pPr>
      <w:r>
        <w:rPr>
          <w:rFonts w:ascii="Times New Roman" w:cs="Times New Roman" w:eastAsia="Times New Roman" w:hAnsi="Times New Roman"/>
          <w:sz w:val="17"/>
          <w:szCs w:val="17"/>
          <w:b w:val="1"/>
          <w:bCs w:val="1"/>
          <w:color w:val="auto"/>
        </w:rPr>
        <w:t xml:space="preserve">Residential mortgage - </w:t>
      </w:r>
      <w:r>
        <w:rPr>
          <w:rFonts w:ascii="Times New Roman" w:cs="Times New Roman" w:eastAsia="Times New Roman" w:hAnsi="Times New Roman"/>
          <w:sz w:val="17"/>
          <w:szCs w:val="17"/>
          <w:color w:val="auto"/>
        </w:rPr>
        <w:t>Residential mortgage loans are susceptible to weakening general economic conditions, increases in unemployment rates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declining real estate values which may be caused by rapidly increasing interest rates or other factors affecting demand for residential real estate.</w:t>
      </w:r>
    </w:p>
    <w:p>
      <w:pPr>
        <w:spacing w:after="0" w:line="164"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Home equity - </w:t>
      </w:r>
      <w:r>
        <w:rPr>
          <w:rFonts w:ascii="Times New Roman" w:cs="Times New Roman" w:eastAsia="Times New Roman" w:hAnsi="Times New Roman"/>
          <w:sz w:val="18"/>
          <w:szCs w:val="18"/>
          <w:color w:val="auto"/>
        </w:rPr>
        <w:t>Risks common to home equity loans and lines of credit are general economic conditions, including an increase in unemployment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and declining real estate values that reduce or eliminate the borrower’s home equity.</w:t>
      </w:r>
    </w:p>
    <w:p>
      <w:pPr>
        <w:spacing w:after="0" w:line="186" w:lineRule="exact"/>
        <w:rPr>
          <w:sz w:val="20"/>
          <w:szCs w:val="20"/>
          <w:color w:val="auto"/>
        </w:rPr>
      </w:pPr>
    </w:p>
    <w:p>
      <w:pPr>
        <w:jc w:val="both"/>
        <w:ind w:left="640" w:right="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Residential construction - </w:t>
      </w:r>
      <w:r>
        <w:rPr>
          <w:rFonts w:ascii="Times New Roman" w:cs="Times New Roman" w:eastAsia="Times New Roman" w:hAnsi="Times New Roman"/>
          <w:sz w:val="18"/>
          <w:szCs w:val="18"/>
          <w:color w:val="auto"/>
        </w:rPr>
        <w:t>Residential construction loans are susceptible to the same risks as residential mortgage loans. Changes in market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property lead to longer marketing times resulting in higher carrying costs and declining values.</w:t>
      </w:r>
    </w:p>
    <w:p>
      <w:pPr>
        <w:spacing w:after="0" w:line="18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Manufactured housing - </w:t>
      </w:r>
      <w:r>
        <w:rPr>
          <w:rFonts w:ascii="Times New Roman" w:cs="Times New Roman" w:eastAsia="Times New Roman" w:hAnsi="Times New Roman"/>
          <w:sz w:val="18"/>
          <w:szCs w:val="18"/>
          <w:color w:val="auto"/>
        </w:rPr>
        <w:t>Risks associated with manufactured housing are similar to those described for residential mortgage loans, including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conditions and unemployment rates, as well as appropriate lien priority and the general mobility of the collateral as the majority of loans in this category are secured by chattel. During 2024, United sold substantially all of this portfolio.</w:t>
      </w:r>
    </w:p>
    <w:p>
      <w:pPr>
        <w:spacing w:after="0" w:line="199"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Consumer - </w:t>
      </w:r>
      <w:r>
        <w:rPr>
          <w:rFonts w:ascii="Times New Roman" w:cs="Times New Roman" w:eastAsia="Times New Roman" w:hAnsi="Times New Roman"/>
          <w:sz w:val="18"/>
          <w:szCs w:val="18"/>
          <w:color w:val="auto"/>
        </w:rPr>
        <w:t>Risks common to consumer direct loans include unemployment and changes in local economic conditions as well as the inability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 collateral consisting of personal property.</w:t>
      </w:r>
    </w:p>
    <w:p>
      <w:pPr>
        <w:spacing w:after="0" w:line="18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200"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Determining the Contractual Term: </w:t>
      </w:r>
      <w:r>
        <w:rPr>
          <w:rFonts w:ascii="Times New Roman" w:cs="Times New Roman" w:eastAsia="Times New Roman" w:hAnsi="Times New Roman"/>
          <w:sz w:val="18"/>
          <w:szCs w:val="18"/>
          <w:color w:val="auto"/>
        </w:rPr>
        <w:t>Expected credit losses are estimated over the contractual term of the loans, adjusted for expected prepayments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The contractual term excludes expected extensions, renewals, and modifications unless the extension or renewal options are included in the original or modified contract at the reporting date and are not unconditionally cancellable by United.</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ACL - Off-Balance Sheet Credit Exposures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Management estimates expected credit losses on commitments to extend credit over the contractual period during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Premises and Equipment</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Premises and equipment are stated at cost less accumulated depreciation. Depreciation is computed primarily using the straight 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Foreclosed Properties (OREO) and Repossessed Assets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Foreclosed property and repossessed assets are initially recorded at fair value, less cost to sell. If the fair value, less cost to sell at the time of foreclosure or repossession is less than the loan balance, the deficiency is recorded as a loan charge-off against the ACL. If the fair value, less cost to sell, of the foreclosed/repossessed property decreases during the holding period, a valuation allowance is established with a charge to operating expenses. When the foreclosed/repossessed property is sold, a gain or loss is recognized on the sale for the difference between the sales proceeds and the carrying amount of the property.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8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Other intangible assets, which are initially recorded at fair value, consist of core deposit and customer list intangibles resulting from acquisitions. Core deposit intangible assets are amortized over their estimated useful lives using the sum-of-the-years-digits method. Customer list intangibles are amortized over their estimated useful lives using the straight-line method.</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Management evaluates other intangible assets for impairment whenever events or changes in circumstances indicate the carrying amount of the asset may not be recoverable.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Transfers of Financial Assets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Rights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records a separate servicing asset for SBA loans, USDA loans, and residential mortgage loans when the loan is sold but servicing is retained. This asset represents the right to service the loans and receive a fee in compensation. Servicing assets are 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89"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7"/>
          <w:szCs w:val="17"/>
          <w:color w:val="auto"/>
        </w:rPr>
        <w:t>United has elected to subsequently measure the servicing assets for government guaranteed loans and residential mortgage loans at fair value. 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20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accounts for the servicing liabilities associated with sold equipment financing loans using the amortization method. Servicing liabilities are included in accrued expenses and other liabilities.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BOLI</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has purchased life insurance policies on certain key executives and members of management. United has also received life insurance policies on members of acquired bank management teams and board members through acquisitions of other banks. BOLI is recorded at the amount that can be realized under the insurance contract at the balance sheet date, which is the cash surrender value adjusted for other changes or other amounts due that are probable at settlement.</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Leases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records a ROU asset, included in other assets, and a related lease liability, included in other liabilities, for eligible operating leases for which it is the lessee, which include leases for land, buildings, and equipment. At lease commencement, United records the ROU asset and related lease liability based on the present value of lease payments over the lease term. Absent a readily determinable interest rate in the lease agreement, United utilizes the Bank’s incremental borrowing rate for secured borrowings as the discount rate used in the present value calculation.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statements of income. In addition, certain operating leases include costs such as property taxes and insurance, which are recognized as incurred in the consolidated statements of income. Many of United’s operating leases contain renewal options, which are included in the measurement of the ROU asset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lease liability to the extent they are reasonably certain to be exercised. United does not recognize a lease liability or ROU asset on the consolidated balance sheet related to short-term leases with a term of less than one year. Lease payments for short-term leases are recognized as expense over the lease term. Operating lease costs, variable lease costs and short-term lease costs are included in occupancy expense and communications and equipment expense in the consolidated statements of income. United also subleases and leases certain real estate properties to third parties under operating leases. Income related to these leases is recognized when earned and included in other noninterest income in the consolidated statements of income.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Loan Commitments and Related Financial Instruments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VIEs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holds investments in certain legal entities that are considered VIEs. VIEs are legal entities in which equity investors do not have sufficient equity at risk for the entity to independently finance its activities, or as a group, the holders of the equity investment at risk lack the power through voting or similar rights to direct the activities of the entity that most significantly impact its economic performance, or do not have the obligation to absorb the expected losses of the entity or the right to receive expected residual returns of the entity. Consolidation of a VIE is required if a reporting entity is the primary beneficiary of the VIE.</w:t>
      </w:r>
    </w:p>
    <w:p>
      <w:pPr>
        <w:spacing w:after="0" w:line="21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Investments in VIEs are evaluated to determine if United is the primary beneficiary. This evaluation gives appropriate consideration to the design of the entity and the variability that the entity was designed to create and pass along, the relative power of each party, and to United’s obligation to absorb losses or receive residual returns of the entity. United has variable interests in certain entities that are not required to be consolidated, including LIHTC, renewable energy and other partnership interests. Refer to Note 22, Commitments and Contingencies, for additional disclosures regarding United’s VIEs.</w:t>
      </w:r>
    </w:p>
    <w:p>
      <w:pPr>
        <w:spacing w:after="0" w:line="19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With the exception of LIHTC partnerships, investments in entities for which United has the ability to exercise significant influence, but not control, over operating and financing decisions are accounted for using the equity method of accounting. Equity method investments are included in other assets in the consolidated balance sheets at cost, adjusted to reflect United’s portion of income, loss, or dividends of the investee. United records its portion of income or loss in other noninterest income in the consolidated statements of income. These investments are periodically evaluated for impairment.</w:t>
      </w:r>
    </w:p>
    <w:p>
      <w:pPr>
        <w:spacing w:after="0" w:line="19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LIHTC investments are accounted for using the proportional amortization method of accounting for qualified affordable housing investments, which results in the amortization being reported as a component of income tax expense. Obligations related to unfunded commitments for LIHTC investments are reported in other liabilities. Investment tax credits related to renewable energy are accounted for using the deferral method, such that the investment tax credits are recognized as a reduction to the related investment.</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Revenue from Contracts with Customers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In addition to lending and related activities, United offers various services to customers that generate revenue, certain of which are governed by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United’s services that fall within the scope of this topic are presented within noninterest income and include service charges and fees, wealth management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DTAs and DTLs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DTAs and DTLs are measured using enacted tax rates expected to apply to taxable income in the years in which the assets and liabilities are expected to be recovered or settled. The effect of a change in tax rates on DTAs and DTLs is recognized in income tax expense during the period that includes the enactment date.</w:t>
      </w:r>
    </w:p>
    <w:p>
      <w:pPr>
        <w:spacing w:after="0" w:line="18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the event the future tax consequences of differences between the financial reporting bases and the tax bases of assets and liabilities results in DTAs, an evaluation of the probability of being able to realize the future benefits indicated by such asset is required. A valuation allowance is provided for the portion of the DTA when it is more likely than not that some or all of the DTA will not be realized. In assessing the realizability of the DTAs, management considers the scheduled reversals of DTLs, projected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future taxable earnings and prudent and feasible tax planning strategies. Management weighs both the positive and negative evidence, giving more weight to evidence that can be objectively verified.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income tax benefit or expense is the total of the current year income tax due or refundable and the change in DTAs and DTLs.</w:t>
      </w:r>
    </w:p>
    <w:p>
      <w:pPr>
        <w:spacing w:after="0" w:line="2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United recognizes interest and / or penalties related to income tax matters in income tax expense.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United’s interest rate risk management strategy incorporates the use of derivative instruments to minimize fluctuations in net income that are caused by interest rate volatility. The objective is to manage interest rate sensitivity by modifying the repricing or maturity characteristics of certain balance sheet assets and liabilities so that net interest revenue and certain interest sensitive components of noninterest revenue are not, on a material basis, adversely affected by movements in interest rates. United views this strategy as a prudent management of interest rate risk, such that net income is not exposed to undue risk presented by changes in interest rates. In carrying out this part of its interest rate risk management strategy, management uses derivatives, primarily interest rate swaps and caps. Interest rate swaps generally involve the exchange of fixed- and variable-rate interest payments between two parties, based on a common notional principal amount and maturity date.</w:t>
      </w:r>
    </w:p>
    <w:p>
      <w:pPr>
        <w:spacing w:after="0" w:line="218"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non-customer derivative instruments by entering into transactions with high-quality counterparties that are reviewed periodically by management. United also requires non-customer counterparties to pledge cash as collateral to cover the net exposure. All new non-customer derivatives that can be cleared are cleared through a central clearinghouse, which reduces counterparty exposure.</w:t>
      </w:r>
    </w:p>
    <w:p>
      <w:pPr>
        <w:spacing w:after="0" w:line="21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in accordance with its election not to offset, reflects gross assets and liabilities at fair value on the consolidated balance sheets.</w:t>
      </w:r>
    </w:p>
    <w:p>
      <w:pPr>
        <w:spacing w:after="0" w:line="21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Fair Value Hedges of Interest Rate Risk: </w:t>
      </w:r>
      <w:r>
        <w:rPr>
          <w:rFonts w:ascii="Times New Roman" w:cs="Times New Roman" w:eastAsia="Times New Roman" w:hAnsi="Times New Roman"/>
          <w:sz w:val="18"/>
          <w:szCs w:val="18"/>
          <w:color w:val="auto"/>
        </w:rPr>
        <w:t>United is exposed to changes in the fair value of certain of its fixed-rate financial instruments due to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interest rates. At December 31, 2024 and 2023, United utilized interest rate swaps to manage its exposure to changes in fair value on certain of its fixed rate loans and AFS securities attributable to changes in interest rates. United considers these derivatives to be highly effective at achieving offsetting changes in fair value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2159635</wp:posOffset>
            </wp:positionH>
            <wp:positionV relativeFrom="paragraph">
              <wp:posOffset>-701675</wp:posOffset>
            </wp:positionV>
            <wp:extent cx="27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92"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Cash Flow Hedges of Interest Rate Risk: </w:t>
      </w:r>
      <w:r>
        <w:rPr>
          <w:rFonts w:ascii="Times New Roman" w:cs="Times New Roman" w:eastAsia="Times New Roman" w:hAnsi="Times New Roman"/>
          <w:sz w:val="17"/>
          <w:szCs w:val="17"/>
          <w:color w:val="auto"/>
        </w:rPr>
        <w:t>United enters into cash flow hedges to mitigate exposure to the variability of future cash flows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forecasted transactions. At December 31, 2024 and 2023,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financial statement line as the hedged item over the term of the hedge.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Derivatives Not Designated as Hedging Instruments: </w:t>
      </w:r>
      <w:r>
        <w:rPr>
          <w:rFonts w:ascii="Times New Roman" w:cs="Times New Roman" w:eastAsia="Times New Roman" w:hAnsi="Times New Roman"/>
          <w:sz w:val="18"/>
          <w:szCs w:val="18"/>
          <w:color w:val="auto"/>
        </w:rPr>
        <w:t>Customer derivative positions include swaps, caps, and collars between United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loan customers with offsetting positions to dealers under a back-to-back program.</w:t>
      </w:r>
    </w:p>
    <w:p>
      <w:pPr>
        <w:spacing w:after="0" w:line="18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 which are entered into as part of an economic hedging strategy to manage exposure related to mortgage loans held for sale. Fair value adjustments on these derivative instruments are recorded within mortgage loan gains and related fees in the consolidated statements of income.</w:t>
      </w:r>
    </w:p>
    <w:p>
      <w:pPr>
        <w:spacing w:after="0" w:line="21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also has interest rate swap contracts that are economic hedges of market-linked brokered certificates of deposit, but are not designated as hedging instruments. The market-linked brokered certificates of deposit contain embedded derivatives that are bifurcated from the host instruments and marked to market through earnings. The fair value marks on the market linked swaps and the bifurcated embedded derivatives tend to move in opposite directions and therefore provide an economic hedge.</w:t>
      </w:r>
    </w:p>
    <w:p>
      <w:pPr>
        <w:spacing w:after="0" w:line="20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addition, United occasionally enters into credit risk participation agreements with counterparty banks to accept or transfer a portion of the credit risk related to interest rate swaps. These agreements, which are typically executed in conjunction with a participation in a loan with the same customer, allow customers to execute an interest rate swap with one bank while allowing for the distribution of the credit risk among participating members. These agreements provide for reimbursement of losses resulting from a third party default on the underlying swap. Collateral used to support the credit risk for the underlying lending relationship is also available to offset the risk of the credit risk participation.</w:t>
      </w:r>
    </w:p>
    <w:p>
      <w:pPr>
        <w:spacing w:after="0" w:line="210"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Hedge Effectiveness: </w:t>
      </w:r>
      <w:r>
        <w:rPr>
          <w:rFonts w:ascii="Times New Roman" w:cs="Times New Roman" w:eastAsia="Times New Roman" w:hAnsi="Times New Roman"/>
          <w:sz w:val="18"/>
          <w:szCs w:val="18"/>
          <w:color w:val="auto"/>
        </w:rPr>
        <w:t>United assesses hedge effectiveness at inception and over the life of the hedge. Management documents, at inception, its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actual and expected hedge effectiveness. This analysis includes techniques such as regression analysis and hypothetical derivatives to demonstrate that the hedge is expected to be highly effective in offsetting corresponding changes in the fair value or cash flows of the hedged item. At least quarterly thereafter, the terms of the hedging instrument and the hedged item are assessed to determine whether a material change has occurred relating to the hedge relationship. If it is determined that a change has occurred, a quantitative analysis as described will occur to determine whether the hedge is expected to be highly effective in offsetting future corresponding changes in the fair value or cash flows of the hedged item. For a qualifying fair value hedge, the changes in the value of derivatives are recognized in current period earnings along with the corresponding changes in the fair value of the designated hedged item attributable to the risk being hedged. For a qualifying cash flow hedge, the changes in the fair value of the derivatives that have been highly effective are recognized in OCI until the related cash flows from the hedged item are recognized in earnings.</w:t>
      </w:r>
    </w:p>
    <w:p>
      <w:pPr>
        <w:spacing w:after="0" w:line="216"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Activities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w:t>
      </w:r>
    </w:p>
    <w:p>
      <w:pPr>
        <w:spacing w:after="0" w:line="214"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Fair values for acquired loans are generally based on a discounted cash flow methodology that considers credit loss expectations, market interest rates and other market factors such as liquidity from the perspective of a market participant. Loans are grouped together according to similar characteristics and are generally treated in the aggregate when applying various valuation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7"/>
          <w:szCs w:val="17"/>
          <w:color w:val="auto"/>
        </w:rPr>
        <w:t>techniques. The probability of default, loss given default and prepayment assumptions are the key factors driving credit losses which are embedded into the estimated cash flows. These assumptions are informed by internal data on loan characteristics, historical loss experience, and current and forecasted economic conditions. The interest and liquidity component of the estimate is determined by discounting interest and principal cash flows through the expected life of each loan. The discount rates used for loans are based on current market rates for new originations of comparable loans and include adjustments for liquidity. The discount rate does not include a factor for credit losses as that has been included as a reduction to the estimated cash flows. For additional information about the accounting for purchased loans see PCD Loans under the Loans and Leases section of this footnote.</w:t>
      </w:r>
    </w:p>
    <w:p>
      <w:pPr>
        <w:spacing w:after="0" w:line="192"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Common Share</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Accordingly, net income available to common shareholders is calculated pursuant to the two-class method, whereby net income after adjusting for preferred stock dividends and any discount or premium on preferred shares repurchased is allocated between common shareholders and participating securities. Diluted earnings per common share includes the dilutive effect of additional potential shares of common stock issuable under stock options, unvested restricted stock units without nonforfeitable rights to dividends, warrants and securities convertible into common stock.</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Loss Contingencies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Dividend Restrictions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Banking regulations require maintaining certain capital levels and may limit dividends paid by the Bank to the Holding Company or by the Holding Company to shareholders. As a South Carolina state-chartered bank, the Bank is permitted to pay a dividend of up to 100% of its current year earnings without requesting approval of the SCBFI, provided certain conditions are met. As a Federal Reserve member bank, the Bank is permitted to pay a dividend to the Holding Company of up to the sum of current year and the previous two years undistributed income without requesting approval of the Federal Reserve, which is less restrictive than the requirements of the SCBFI.</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Fair values of financial instruments are estimated using relevant market information and other assumptions as more fully disclosed in Note 14.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uses the fair value method of recognizing expense for stock-based compensation based on the fair value of option and restricted stock unit awards at the date of grant. United accounts for forfeitures as they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Standards Updates and Recently Adopted Standards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update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and, therefore, is not considered in measuring fair value. Adoption of this update as of January 1, 2024 did not have a material impact on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Standards Updates and Recently Adopted Standards,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 xml:space="preserve">In March 2023, the FASB issued ASU No. 2023-02, </w:t>
      </w:r>
      <w:r>
        <w:rPr>
          <w:rFonts w:ascii="Times New Roman" w:cs="Times New Roman" w:eastAsia="Times New Roman" w:hAnsi="Times New Roman"/>
          <w:sz w:val="18"/>
          <w:szCs w:val="18"/>
          <w:i w:val="1"/>
          <w:iCs w:val="1"/>
          <w:color w:val="auto"/>
        </w:rPr>
        <w:t>Investments - Equity Method and Joint Ventures (Topic 323): Accounting for Investments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Structures Using the Proportional Amortization Method</w:t>
      </w:r>
      <w:r>
        <w:rPr>
          <w:rFonts w:ascii="Times New Roman" w:cs="Times New Roman" w:eastAsia="Times New Roman" w:hAnsi="Times New Roman"/>
          <w:sz w:val="18"/>
          <w:szCs w:val="18"/>
          <w:color w:val="auto"/>
        </w:rPr>
        <w:t>. The update broadens the application of the proportional amortization method to tax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other than LIHTC, providing certain conditions are met. The election to apply the proportional amortization method must be made on a tax-credit-program by tax-credit-program basis rather than at the reporting entity level or to individual investments. The update also requires certain disclosures related to those investments for which the proportional amortization method has been applied. Adoption of this update as of January 1, 2024 did not have a material impact on the consolidated financial statements.</w:t>
      </w:r>
    </w:p>
    <w:p>
      <w:pPr>
        <w:spacing w:after="0" w:line="21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update requires enhanced disclosures, primarily about significant segment expenses, and requires that a public entity that has a single reportable segment provide all required disclosures. United adopted this update in 2024 and required disclosures are included in Note 1 of this Report.</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Standards Updates Not Yet Adopted as of December 31, 2024</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In August 2023, the FASB issued ASU No. 2023-05, </w:t>
      </w:r>
      <w:r>
        <w:rPr>
          <w:rFonts w:ascii="Times New Roman" w:cs="Times New Roman" w:eastAsia="Times New Roman" w:hAnsi="Times New Roman"/>
          <w:sz w:val="18"/>
          <w:szCs w:val="18"/>
          <w:i w:val="1"/>
          <w:iCs w:val="1"/>
          <w:color w:val="auto"/>
        </w:rPr>
        <w:t>Business Combinations - Joint Venture Formations (Subtopic 805-60): Recognition and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update addresses the accounting for contributions made to a joint venture, upon formation, in a joint venture’s separate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Specifically, a joint venture must apply a new basis of accounting upon formation and will initially measure its assets and liabilities at fair value. This guidance is effective prospectively for all joint venture formations dated on or after January 1, 2025. Adoption of this update as of January 1, 2025 will not have a material impact on the consolidated financial statements.</w:t>
      </w:r>
    </w:p>
    <w:p>
      <w:pPr>
        <w:spacing w:after="0" w:line="212"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update requires disclosure of specific categories in the rate reconciliation and information for reconciling items that meet a quantitative threshold. In addition, the update requires disaggregated disclosure of income taxes paid and income tax expense by jurisdiction. This guidance is effective for annual periods beginning after December 15, 2024. Adoption of this update as of January 1, 2025 will not have a material impact on the consolidated financial statements; required disclosures will be included in the Annual Report on Form 10-K for the year ended December 31, 2025.</w:t>
      </w:r>
    </w:p>
    <w:p>
      <w:pPr>
        <w:spacing w:after="0" w:line="20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further clarified by ASU No. 2025-01. The update requires disclosure of specified information about certain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compensation, depreciation and intangible asset amortization included in each relevant expense caption. The update also requires disclosure of certain other expenses, gains and losses that are already required to be disclosed in the same disclosure as other disaggregation requirements. This guidance is effective for annual periods beginning after December 15, 2026 and interim reporting periods beginning after December 15, 2027. United does not expect the new guidance to have a material impact on its consolidated financial statements.</w:t>
      </w:r>
    </w:p>
    <w:p>
      <w:pPr>
        <w:spacing w:after="0" w:line="21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4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following note details acquisitions accounted for as business combinations and divestitures during the periods covered by this Report. For acquisitions, assets acquired and liabilities assumed are presented at fair value as of the acquisition date. The determination of fair value requires management to make estimates about discount rates, future expected cash flows, market conditions and other future events that are highly subjective in nature and subject to change. Goodwill is established when the fair value of consideration paid exceeds the fair value of the identifiable assets acquired and liabilities assumed. Fair values are considered preliminary for a period not to exceed one year after the acquisition date and are subject to refinement as information relative to closing date fair values becomes available.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Divestiture of FinTrust</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FinTrust met the criteria to be classified as held for sale as of June 30, 2024. Upon transfer to held for sale, the carrying amount of FinTrust’s net assets held for sale was compared to fair value, less cost to sell, which resulted in a write-down to the goodwill associated with FinTrust. On October 1, 2024, United completed the sale of FinTrust for total consideration having a fair value of $16.2 million, which included an initial cash payment of $8.59 million and a receivable of $7.62 million representing the fair value of contingent consideration. The fair value of the contingent consideration, which is receivable over the next five years and is reflected in other assets on the consolidated balance sheets, includes a probability assessment of the buyer realizing certain revenue-related goals. The goodwill write-down and incremental loss recorded at the time of sale totaling $5.39 million is reflected in other noninterest expense for the year ended December 31, 2024 in the consolidated statements of income. In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and Divestitures,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fourth quarter of 2024, as a result of the sale, United derecognized FinTrust’s assets and liabilities, which consisted primarily of $9.06 million of goodwill and a $6.02 million customer relationship intangible.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First Miami</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On July 1, 2023, United acquired all of the outstanding common stock of First Miami in a stock transaction. First Miami operated three branches in the Miami metropolitan area, which facilitated United’s expansion within that market. United’s operating results for the year ended December 31, 2023 include the operating results of the acquired business for the period subsequent to the acquisition date of July 1, 2023.</w:t>
      </w:r>
    </w:p>
    <w:p>
      <w:pPr>
        <w:spacing w:after="0" w:line="21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within the one-year measurement period related to the acquisition of First Miami, United received additional information regarding the lack of realizability of certain tax credits. As a result, the provisional fair value assigned to acquired other assets decreased by $2.06 million, other liabilities decreased by $726,000, and goodwill increased by $1.34 million. These adjustments are reflected in the fair values presented in the table below.</w:t>
      </w:r>
    </w:p>
    <w:p>
      <w:pPr>
        <w:spacing w:after="0" w:line="20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purchased assets and assumed liabilities recorded at their acquisition date fair values and consideration transferred as well as supplementary information related to the acquired loan portfolio at the acquisition date.</w:t>
      </w:r>
    </w:p>
    <w:p>
      <w:pPr>
        <w:spacing w:after="0" w:line="2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First National Bank of South Miami</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157"/>
        </w:trPr>
        <w:tc>
          <w:tcPr>
            <w:tcW w:w="1700" w:type="dxa"/>
            <w:vAlign w:val="bottom"/>
            <w:tcBorders>
              <w:top w:val="single" w:sz="8" w:color="auto"/>
            </w:tcBorders>
          </w:tcPr>
          <w:p>
            <w:pPr>
              <w:spacing w:after="0"/>
              <w:rPr>
                <w:sz w:val="13"/>
                <w:szCs w:val="13"/>
                <w:color w:val="auto"/>
              </w:rPr>
            </w:pPr>
          </w:p>
        </w:tc>
        <w:tc>
          <w:tcPr>
            <w:tcW w:w="49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for share data)</w:t>
            </w:r>
          </w:p>
        </w:tc>
        <w:tc>
          <w:tcPr>
            <w:tcW w:w="22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gridSpan w:val="2"/>
          </w:tcPr>
          <w:p>
            <w:pPr>
              <w:jc w:val="center"/>
              <w:ind w:right="19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Fair Value Recorded by</w:t>
            </w: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0" w:type="dxa"/>
            <w:vAlign w:val="bottom"/>
          </w:tcPr>
          <w:p>
            <w:pPr>
              <w:spacing w:after="0"/>
              <w:rPr>
                <w:sz w:val="1"/>
                <w:szCs w:val="1"/>
                <w:color w:val="auto"/>
              </w:rPr>
            </w:pPr>
          </w:p>
        </w:tc>
      </w:tr>
      <w:tr>
        <w:trPr>
          <w:trHeight w:val="193"/>
        </w:trPr>
        <w:tc>
          <w:tcPr>
            <w:tcW w:w="1700" w:type="dxa"/>
            <w:vAlign w:val="bottom"/>
            <w:tcBorders>
              <w:top w:val="single" w:sz="8" w:color="CCEEFF"/>
            </w:tcBorders>
            <w:shd w:val="clear" w:color="auto" w:fill="CCEEFF"/>
          </w:tcPr>
          <w:p>
            <w:pPr>
              <w:spacing w:after="0"/>
              <w:rPr>
                <w:sz w:val="16"/>
                <w:szCs w:val="16"/>
                <w:color w:val="auto"/>
              </w:rPr>
            </w:pPr>
          </w:p>
        </w:tc>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150,467</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216,703</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2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577,183</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11,905</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22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17,950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18,845</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993,053</w:t>
            </w:r>
          </w:p>
        </w:tc>
        <w:tc>
          <w:tcPr>
            <w:tcW w:w="1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2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865,387</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47,664</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16,855</w:t>
            </w:r>
          </w:p>
        </w:tc>
        <w:tc>
          <w:tcPr>
            <w:tcW w:w="1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929,906</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63,147</w:t>
            </w:r>
          </w:p>
        </w:tc>
        <w:tc>
          <w:tcPr>
            <w:tcW w:w="1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(3,508,604 shares)</w:t>
            </w: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87,679</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87,681</w:t>
            </w:r>
          </w:p>
        </w:tc>
        <w:tc>
          <w:tcPr>
            <w:tcW w:w="1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0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24,534</w:t>
            </w: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7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spacing w:after="0"/>
              <w:rPr>
                <w:sz w:val="18"/>
                <w:szCs w:val="18"/>
                <w:color w:val="auto"/>
              </w:rPr>
            </w:pPr>
          </w:p>
        </w:tc>
        <w:tc>
          <w:tcPr>
            <w:tcW w:w="5180" w:type="dxa"/>
            <w:vAlign w:val="bottom"/>
            <w:tcBorders>
              <w:bottom w:val="single" w:sz="8" w:color="auto"/>
            </w:tcBorders>
            <w:gridSpan w:val="2"/>
            <w:shd w:val="clear" w:color="auto" w:fill="CCEEFF"/>
          </w:tcPr>
          <w:p>
            <w:pPr>
              <w:ind w:left="1920"/>
              <w:spacing w:after="0"/>
              <w:rPr>
                <w:sz w:val="20"/>
                <w:szCs w:val="20"/>
                <w:color w:val="auto"/>
              </w:rPr>
            </w:pPr>
            <w:r>
              <w:rPr>
                <w:rFonts w:ascii="Times New Roman" w:cs="Times New Roman" w:eastAsia="Times New Roman" w:hAnsi="Times New Roman"/>
                <w:sz w:val="16"/>
                <w:szCs w:val="16"/>
                <w:b w:val="1"/>
                <w:bCs w:val="1"/>
                <w:color w:val="auto"/>
                <w:w w:val="99"/>
              </w:rPr>
              <w:t>Supplementary Information on Acquired Loans</w:t>
            </w:r>
          </w:p>
        </w:tc>
        <w:tc>
          <w:tcPr>
            <w:tcW w:w="1900" w:type="dxa"/>
            <w:vAlign w:val="bottom"/>
            <w:tcBorders>
              <w:bottom w:val="single" w:sz="8" w:color="auto"/>
            </w:tcBorders>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July 1, 2023</w:t>
            </w:r>
          </w:p>
        </w:tc>
        <w:tc>
          <w:tcPr>
            <w:tcW w:w="1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94,902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 at acquisition</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1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0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84,578</w:t>
            </w: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7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492,605</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622,181</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7,012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Goodwill represents the intangible value of First Miami’s business and reputation within the markets it served and is not expected to be deductible for income tax purposes. The First Miami core deposit intangible will be amortized over its expected useful life of 10 years using the sum-of-the-years-digits method.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and Divestitures, continued</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Progress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On January 3, 2023, United acquired all of the outstanding common stock of Progress in a stock transaction. Progress operated 13 offices primarily located in Alabama and the Florida Panhandle, which facilitated United’s growth into those markets. United’s operating results for the year ended December 31, 2023 include the operating results of the acquired business for the period subsequent to the acquisition date of January 3, 2023.</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purchased assets and assumed liabilities were recorded at their acquisition date fair values and are summarized in the table below.</w:t>
      </w: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7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jc w:val="center"/>
              <w:ind w:left="2041"/>
              <w:spacing w:after="0"/>
              <w:rPr>
                <w:sz w:val="20"/>
                <w:szCs w:val="20"/>
                <w:color w:val="auto"/>
              </w:rPr>
            </w:pPr>
            <w:r>
              <w:rPr>
                <w:rFonts w:ascii="Times New Roman" w:cs="Times New Roman" w:eastAsia="Times New Roman" w:hAnsi="Times New Roman"/>
                <w:sz w:val="16"/>
                <w:szCs w:val="16"/>
                <w:b w:val="1"/>
                <w:bCs w:val="1"/>
                <w:color w:val="auto"/>
              </w:rPr>
              <w:t>Progress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404"/>
        </w:trPr>
        <w:tc>
          <w:tcPr>
            <w:tcW w:w="1700" w:type="dxa"/>
            <w:vAlign w:val="bottom"/>
            <w:tcBorders>
              <w:bottom w:val="single" w:sz="8" w:color="CCEEFF"/>
            </w:tcBorders>
          </w:tcPr>
          <w:p>
            <w:pPr>
              <w:spacing w:after="0"/>
              <w:rPr>
                <w:sz w:val="24"/>
                <w:szCs w:val="24"/>
                <w:color w:val="auto"/>
              </w:rPr>
            </w:pPr>
          </w:p>
        </w:tc>
        <w:tc>
          <w:tcPr>
            <w:tcW w:w="4960" w:type="dxa"/>
            <w:vAlign w:val="bottom"/>
            <w:tcBorders>
              <w:bottom w:val="single" w:sz="8" w:color="auto"/>
            </w:tcBorders>
          </w:tcPr>
          <w:p>
            <w:pPr>
              <w:jc w:val="center"/>
              <w:ind w:left="2041"/>
              <w:spacing w:after="0"/>
              <w:rPr>
                <w:sz w:val="20"/>
                <w:szCs w:val="20"/>
                <w:color w:val="auto"/>
              </w:rPr>
            </w:pPr>
            <w:r>
              <w:rPr>
                <w:rFonts w:ascii="Times New Roman" w:cs="Times New Roman" w:eastAsia="Times New Roman" w:hAnsi="Times New Roman"/>
                <w:sz w:val="16"/>
                <w:szCs w:val="16"/>
                <w:b w:val="1"/>
                <w:bCs w:val="1"/>
                <w:color w:val="auto"/>
                <w:w w:val="98"/>
              </w:rPr>
              <w:t>Fair Value Recorded by United</w:t>
            </w: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r>
      <w:tr>
        <w:trPr>
          <w:trHeight w:val="208"/>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for share data)</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January 3, 2023</w:t>
            </w:r>
          </w:p>
        </w:tc>
        <w:tc>
          <w:tcPr>
            <w:tcW w:w="1700" w:type="dxa"/>
            <w:vAlign w:val="bottom"/>
            <w:shd w:val="clear" w:color="auto" w:fill="CCEEFF"/>
          </w:tcPr>
          <w:p>
            <w:pPr>
              <w:spacing w:after="0"/>
              <w:rPr>
                <w:sz w:val="18"/>
                <w:szCs w:val="18"/>
                <w:color w:val="auto"/>
              </w:rPr>
            </w:pPr>
          </w:p>
        </w:tc>
      </w:tr>
      <w:tr>
        <w:trPr>
          <w:trHeight w:val="191"/>
        </w:trPr>
        <w:tc>
          <w:tcPr>
            <w:tcW w:w="17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57,548</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111,006</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2,087</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1,442,959</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21,118</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40,723</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39,980</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42,965</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1,758,386</w:t>
            </w:r>
          </w:p>
        </w:tc>
        <w:tc>
          <w:tcPr>
            <w:tcW w:w="1700" w:type="dxa"/>
            <w:vAlign w:val="bottom"/>
            <w:shd w:val="clear" w:color="auto" w:fill="CCEEFF"/>
          </w:tcPr>
          <w:p>
            <w:pPr>
              <w:spacing w:after="0"/>
              <w:rPr>
                <w:sz w:val="18"/>
                <w:szCs w:val="18"/>
                <w:color w:val="auto"/>
              </w:rPr>
            </w:pPr>
          </w:p>
        </w:tc>
      </w:tr>
      <w:tr>
        <w:trPr>
          <w:trHeight w:val="191"/>
        </w:trPr>
        <w:tc>
          <w:tcPr>
            <w:tcW w:w="17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1,334,476</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141,017</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95,000</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26,529</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1,597,022</w:t>
            </w:r>
          </w:p>
        </w:tc>
        <w:tc>
          <w:tcPr>
            <w:tcW w:w="1700" w:type="dxa"/>
            <w:vAlign w:val="bottom"/>
            <w:shd w:val="clear" w:color="auto" w:fill="CCEEFF"/>
          </w:tcPr>
          <w:p>
            <w:pPr>
              <w:spacing w:after="0"/>
              <w:rPr>
                <w:sz w:val="18"/>
                <w:szCs w:val="18"/>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161,364</w:t>
            </w:r>
          </w:p>
        </w:tc>
        <w:tc>
          <w:tcPr>
            <w:tcW w:w="1700" w:type="dxa"/>
            <w:vAlign w:val="bottom"/>
            <w:tcBorders>
              <w:bottom w:val="single" w:sz="8" w:color="CCEEFF"/>
            </w:tcBorders>
          </w:tcPr>
          <w:p>
            <w:pPr>
              <w:spacing w:after="0"/>
              <w:rPr>
                <w:sz w:val="17"/>
                <w:szCs w:val="17"/>
                <w:color w:val="auto"/>
              </w:rPr>
            </w:pPr>
          </w:p>
        </w:tc>
      </w:tr>
      <w:tr>
        <w:trPr>
          <w:trHeight w:val="194"/>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3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447</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(8,770,531 shares)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296,444</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Options converted</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10,017</w:t>
            </w:r>
          </w:p>
        </w:tc>
        <w:tc>
          <w:tcPr>
            <w:tcW w:w="1700" w:type="dxa"/>
            <w:vAlign w:val="bottom"/>
            <w:tcBorders>
              <w:bottom w:val="single" w:sz="8" w:color="CCEEFF"/>
            </w:tcBorders>
          </w:tcPr>
          <w:p>
            <w:pPr>
              <w:spacing w:after="0"/>
              <w:rPr>
                <w:sz w:val="18"/>
                <w:szCs w:val="18"/>
                <w:color w:val="auto"/>
              </w:rPr>
            </w:pPr>
          </w:p>
        </w:tc>
      </w:tr>
      <w:tr>
        <w:trPr>
          <w:trHeight w:val="205"/>
        </w:trPr>
        <w:tc>
          <w:tcPr>
            <w:tcW w:w="1700" w:type="dxa"/>
            <w:vAlign w:val="bottom"/>
            <w:shd w:val="clear" w:color="auto" w:fill="CCEEFF"/>
          </w:tcPr>
          <w:p>
            <w:pPr>
              <w:spacing w:after="0"/>
              <w:rPr>
                <w:sz w:val="17"/>
                <w:szCs w:val="17"/>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3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306,908</w:t>
            </w:r>
          </w:p>
        </w:tc>
        <w:tc>
          <w:tcPr>
            <w:tcW w:w="1700" w:type="dxa"/>
            <w:vAlign w:val="bottom"/>
            <w:shd w:val="clear" w:color="auto" w:fill="CCEEFF"/>
          </w:tcPr>
          <w:p>
            <w:pPr>
              <w:spacing w:after="0"/>
              <w:rPr>
                <w:sz w:val="17"/>
                <w:szCs w:val="17"/>
                <w:color w:val="auto"/>
              </w:rPr>
            </w:pPr>
          </w:p>
        </w:tc>
      </w:tr>
      <w:tr>
        <w:trPr>
          <w:trHeight w:val="207"/>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145,544</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8"/>
        </w:trPr>
        <w:tc>
          <w:tcPr>
            <w:tcW w:w="1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1"/>
        </w:trPr>
        <w:tc>
          <w:tcPr>
            <w:tcW w:w="1700" w:type="dxa"/>
            <w:vAlign w:val="bottom"/>
            <w:tcBorders>
              <w:bottom w:val="single" w:sz="8" w:color="CCEEFF"/>
            </w:tcBorders>
          </w:tcPr>
          <w:p>
            <w:pPr>
              <w:spacing w:after="0"/>
              <w:rPr>
                <w:sz w:val="18"/>
                <w:szCs w:val="18"/>
                <w:color w:val="auto"/>
              </w:rPr>
            </w:pPr>
          </w:p>
        </w:tc>
        <w:tc>
          <w:tcPr>
            <w:tcW w:w="53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16"/>
                <w:szCs w:val="16"/>
                <w:b w:val="1"/>
                <w:bCs w:val="1"/>
                <w:color w:val="auto"/>
                <w:w w:val="99"/>
              </w:rPr>
              <w:t>Supplementary Information on Acquired Loans</w:t>
            </w:r>
          </w:p>
        </w:tc>
        <w:tc>
          <w:tcPr>
            <w:tcW w:w="1760" w:type="dxa"/>
            <w:vAlign w:val="bottom"/>
            <w:tcBorders>
              <w:bottom w:val="single" w:sz="8" w:color="auto"/>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06"/>
        </w:trPr>
        <w:tc>
          <w:tcPr>
            <w:tcW w:w="170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January 3, 2023</w:t>
            </w:r>
          </w:p>
        </w:tc>
        <w:tc>
          <w:tcPr>
            <w:tcW w:w="1700" w:type="dxa"/>
            <w:vAlign w:val="bottom"/>
            <w:shd w:val="clear" w:color="auto" w:fill="CCEEFF"/>
          </w:tcPr>
          <w:p>
            <w:pPr>
              <w:spacing w:after="0"/>
              <w:rPr>
                <w:sz w:val="17"/>
                <w:szCs w:val="17"/>
                <w:color w:val="auto"/>
              </w:rPr>
            </w:pPr>
          </w:p>
        </w:tc>
      </w:tr>
      <w:tr>
        <w:trPr>
          <w:trHeight w:val="191"/>
        </w:trPr>
        <w:tc>
          <w:tcPr>
            <w:tcW w:w="17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64,913</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at acquisition</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700" w:type="dxa"/>
            <w:vAlign w:val="bottom"/>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Non-credit discount</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700" w:type="dxa"/>
            <w:vAlign w:val="bottom"/>
            <w:shd w:val="clear" w:color="auto" w:fill="CCEEFF"/>
          </w:tcPr>
          <w:p>
            <w:pPr>
              <w:spacing w:after="0"/>
              <w:rPr>
                <w:sz w:val="18"/>
                <w:szCs w:val="18"/>
                <w:color w:val="auto"/>
              </w:rPr>
            </w:pPr>
          </w:p>
        </w:tc>
      </w:tr>
      <w:tr>
        <w:trPr>
          <w:trHeight w:val="207"/>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62,059</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9"/>
        </w:trPr>
        <w:tc>
          <w:tcPr>
            <w:tcW w:w="1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1"/>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1,380,900</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1,626,243</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9,287</w:t>
            </w:r>
          </w:p>
        </w:tc>
        <w:tc>
          <w:tcPr>
            <w:tcW w:w="1700" w:type="dxa"/>
            <w:vAlign w:val="bottom"/>
            <w:shd w:val="clear" w:color="auto" w:fill="CCEEFF"/>
          </w:tcPr>
          <w:p>
            <w:pPr>
              <w:spacing w:after="0"/>
              <w:rPr>
                <w:sz w:val="18"/>
                <w:szCs w:val="18"/>
                <w:color w:val="auto"/>
              </w:rPr>
            </w:pPr>
          </w:p>
        </w:tc>
      </w:tr>
    </w:tbl>
    <w:p>
      <w:pPr>
        <w:spacing w:after="0" w:line="313" w:lineRule="exact"/>
        <w:rPr>
          <w:sz w:val="20"/>
          <w:szCs w:val="20"/>
          <w:color w:val="auto"/>
        </w:rPr>
      </w:pPr>
    </w:p>
    <w:p>
      <w:pPr>
        <w:ind w:left="320"/>
        <w:spacing w:after="0" w:line="304" w:lineRule="auto"/>
        <w:rPr>
          <w:sz w:val="20"/>
          <w:szCs w:val="20"/>
          <w:color w:val="auto"/>
        </w:rPr>
      </w:pPr>
      <w:r>
        <w:rPr>
          <w:rFonts w:ascii="Times New Roman" w:cs="Times New Roman" w:eastAsia="Times New Roman" w:hAnsi="Times New Roman"/>
          <w:sz w:val="17"/>
          <w:szCs w:val="17"/>
          <w:color w:val="auto"/>
        </w:rPr>
        <w:t>Goodwill represents the intangible value of Progress’ business and reputation within the markets it served and is not expected to be deductible for income tax purposes. The Progress core deposit intangible will be amortized over its expected useful life of 10 years using the sum-of-the-years-digits method.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and Divestitures, continued</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 forma information - unaudited</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following table discloses the impact of the mergers with First Miami and Progress in 2023 and Reliant in 2022 since the respective acquisition dates through December 31 of the year of acquisition. The table also presents certain pro forma information as if First Miami and Progress had been acquired on January 1, 2022 and Reliant had been acquired on January 1, 2021. These results combine the historical results of the acquired entities with United’s consolidated statements of income and, while adjustments were made for the estimated impact of certain fair value adjustments and other acquisition-related activity, they are not necessarily indicative of what would have occurred had the acquisitions taken place in earlier years.</w:t>
      </w:r>
    </w:p>
    <w:p>
      <w:pPr>
        <w:spacing w:after="0" w:line="21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For purposes of pro forma information, merger-related costs incurred in the year of acquisition are excluded from the actual acquisition year results and included in the pro forma acquisition year results. As a result, 2023 merger-related costs related to the acquisitions of First Miami and Progress of $11.6 million and $9.81 million, respectively, are reflected in 2022 pro forma information. Merger related costs incurred in 2022 related to the acquisition of Reliant of $15.7 million, were previously reported in the 2021 pro forma information, which is not presented in the following table.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actual results and pro forma information for the periods indicated.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92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Pr>
          <w:p>
            <w:pPr>
              <w:spacing w:after="0"/>
              <w:rPr>
                <w:sz w:val="17"/>
                <w:szCs w:val="17"/>
                <w:color w:val="auto"/>
              </w:rPr>
            </w:pPr>
          </w:p>
        </w:tc>
        <w:tc>
          <w:tcPr>
            <w:tcW w:w="11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205"/>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Progress results included in statement of income since acquisition date of January 3, 2023</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20,836</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First Miami results included in statement of income since acquisition date of July 1, 2023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First Miami and Progress had been acquired January 1, 2022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214,568</w:t>
            </w:r>
          </w:p>
        </w:tc>
        <w:tc>
          <w:tcPr>
            <w:tcW w:w="0" w:type="dxa"/>
            <w:vAlign w:val="bottom"/>
          </w:tcPr>
          <w:p>
            <w:pPr>
              <w:spacing w:after="0"/>
              <w:rPr>
                <w:sz w:val="1"/>
                <w:szCs w:val="1"/>
                <w:color w:val="auto"/>
              </w:rPr>
            </w:pPr>
          </w:p>
        </w:tc>
      </w:tr>
      <w:tr>
        <w:trPr>
          <w:trHeight w:val="212"/>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Reliant results included in statement of income since acquisition date of January 1, 2022</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48,926</w:t>
            </w: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Supplemental consolidated pro forma as if First Miami and Progress had been acquired January 1, 2022 and Reliant had</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945,711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302,264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been acquired January 1, 2021</w:t>
            </w: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Supplemental Cash Flow Information</w:t>
      </w:r>
    </w:p>
    <w:p>
      <w:pPr>
        <w:spacing w:after="0" w:line="24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supplemental schedule of cash and noncash activities for the periods indicated is as follows. See Note 13, Operating Leases, for information regarding noncash transactions related to ROU assets and lease liabilities.</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551,355</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408,532</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58,713</w:t>
            </w:r>
          </w:p>
        </w:tc>
      </w:tr>
      <w:tr>
        <w:trPr>
          <w:trHeight w:val="214"/>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50,499</w:t>
            </w:r>
          </w:p>
        </w:tc>
      </w:tr>
      <w:tr>
        <w:trPr>
          <w:trHeight w:val="212"/>
        </w:trPr>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Transfers of AFS securities to HTM securities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1,288,982</w:t>
            </w:r>
          </w:p>
        </w:tc>
      </w:tr>
      <w:tr>
        <w:trPr>
          <w:trHeight w:val="214"/>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 receivable for FinTrust sale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Assets acquired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2,922,243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3,254,173</w:t>
            </w:r>
          </w:p>
        </w:tc>
      </w:tr>
      <w:tr>
        <w:trPr>
          <w:trHeight w:val="210"/>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Liabilities assumed</w:t>
            </w:r>
          </w:p>
        </w:tc>
        <w:tc>
          <w:tcPr>
            <w:tcW w:w="3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2,527,654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2,657,173</w:t>
            </w:r>
          </w:p>
        </w:tc>
      </w:tr>
      <w:tr>
        <w:trPr>
          <w:trHeight w:val="214"/>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597,000</w:t>
            </w:r>
          </w:p>
        </w:tc>
      </w:tr>
      <w:tr>
        <w:trPr>
          <w:trHeight w:val="210"/>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of common stock issued</w:t>
            </w:r>
          </w:p>
        </w:tc>
        <w:tc>
          <w:tcPr>
            <w:tcW w:w="3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595,581</w:t>
            </w:r>
          </w:p>
        </w:tc>
      </w:tr>
      <w:tr>
        <w:trPr>
          <w:trHeight w:val="214"/>
        </w:trPr>
        <w:tc>
          <w:tcPr>
            <w:tcW w:w="5960" w:type="dxa"/>
            <w:vAlign w:val="bottom"/>
            <w:shd w:val="clear" w:color="auto" w:fill="CCEEFF"/>
          </w:tcPr>
          <w:p>
            <w:pPr>
              <w:ind w:left="240"/>
              <w:spacing w:after="0" w:line="214" w:lineRule="exact"/>
              <w:rPr>
                <w:sz w:val="20"/>
                <w:szCs w:val="20"/>
                <w:color w:val="auto"/>
              </w:rPr>
            </w:pPr>
            <w:r>
              <w:rPr>
                <w:rFonts w:ascii="Times New Roman" w:cs="Times New Roman" w:eastAsia="Times New Roman" w:hAnsi="Times New Roman"/>
                <w:sz w:val="16"/>
                <w:szCs w:val="16"/>
                <w:color w:val="auto"/>
              </w:rPr>
              <w:t xml:space="preserve">Other non-cash consideration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bl>
    <w:p>
      <w:pPr>
        <w:spacing w:after="0" w:line="43" w:lineRule="exact"/>
        <w:rPr>
          <w:sz w:val="20"/>
          <w:szCs w:val="20"/>
          <w:color w:val="auto"/>
        </w:rPr>
      </w:pPr>
    </w:p>
    <w:p>
      <w:pPr>
        <w:ind w:left="480" w:hanging="156"/>
        <w:spacing w:after="0"/>
        <w:tabs>
          <w:tab w:leader="none" w:pos="480"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See Note 3, Acquisitions and Divestitures,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cost basis, unrealized gains and losses, and fair value of HTM debt securities as of the dates indicated are as follows:</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00" w:type="dxa"/>
            <w:vAlign w:val="bottom"/>
          </w:tcPr>
          <w:p>
            <w:pPr>
              <w:spacing w:after="0"/>
              <w:rPr>
                <w:sz w:val="16"/>
                <w:szCs w:val="16"/>
                <w:color w:val="auto"/>
              </w:rPr>
            </w:pPr>
          </w:p>
        </w:tc>
        <w:tc>
          <w:tcPr>
            <w:tcW w:w="114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w w:val="98"/>
              </w:rPr>
              <w:t>As of December 31, 2024</w:t>
            </w:r>
          </w:p>
        </w:tc>
        <w:tc>
          <w:tcPr>
            <w:tcW w:w="3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82,863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1,058,504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12,319</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1,944,126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2023</w:t>
            </w:r>
          </w:p>
        </w:tc>
        <w:tc>
          <w:tcPr>
            <w:tcW w:w="3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17,950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242,439</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562,394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Supranational entities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395,423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2,095,620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color w:val="auto"/>
        </w:rPr>
        <w:t>The cost basis, unrealized gains and losses, and fair value of AFS debt securities as of the dates indicated are presented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United has fair value hedges on certain of its AFS debt securities, which is further explained in Note 8.</w:t>
      </w:r>
    </w:p>
    <w:p>
      <w:pPr>
        <w:spacing w:after="0" w:line="6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00" w:type="dxa"/>
            <w:vAlign w:val="bottom"/>
          </w:tcPr>
          <w:p>
            <w:pPr>
              <w:spacing w:after="0"/>
              <w:rPr>
                <w:sz w:val="16"/>
                <w:szCs w:val="16"/>
                <w:color w:val="auto"/>
              </w:rPr>
            </w:pPr>
          </w:p>
        </w:tc>
        <w:tc>
          <w:tcPr>
            <w:tcW w:w="114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w w:val="98"/>
              </w:rPr>
              <w:t>As of December 31, 2024</w:t>
            </w:r>
          </w:p>
        </w:tc>
        <w:tc>
          <w:tcPr>
            <w:tcW w:w="3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1,946,031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809,910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4,664,300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2023</w:t>
            </w:r>
          </w:p>
        </w:tc>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267,500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1,190,352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618,060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201,222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161,712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3,579,955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3,331,084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At December 31, 2024, securities with a carrying value of $3.20 billion were pledged primarily to secure public deposits. At December 31, 2023, securities with a carrying value of $4.12 billion securities were pledged to secure public deposits and provide contingent liquidity through the Bank Term Funding Program at the Federal Reserve, a program that was discontinued in the first quarter of 2024.</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HTM debt securities in an unrealized loss position as of the dates indicated:</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8"/>
                <w:szCs w:val="18"/>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4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w w:val="98"/>
              </w:rPr>
              <w:t>As of December 31, 2024</w:t>
            </w:r>
          </w:p>
        </w:tc>
        <w:tc>
          <w:tcPr>
            <w:tcW w:w="2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82,863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1,058,233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7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1,915,136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1,940,643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2023</w:t>
            </w:r>
          </w:p>
        </w:tc>
        <w:tc>
          <w:tcPr>
            <w:tcW w:w="2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220,533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1,175,574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118,539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2,062,485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395,293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2,072,315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AFS debt securities in an unrealized loss position as of the dates indicated:</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w w:val="98"/>
              </w:rPr>
              <w:t>As of December 31, 2024</w:t>
            </w:r>
          </w:p>
        </w:tc>
        <w:tc>
          <w:tcPr>
            <w:tcW w:w="2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1,669,948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582,215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150,666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111,141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1,226,425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2,215,647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221,178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3,442,072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2023</w:t>
            </w: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226,144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1,158,304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36,523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440,442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161,712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306,266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2,587,704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247,106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2,893,970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At December 31, 2024, there were 582 AFS debt securities and 314 HTM debt securities that were in an unrealized loss position. Management does not intend to sell nor believes it will be required to sell securities in an unrealized loss position prior to the recovery of its amortized cost basis. Unrealized losses at December 31, 2024 and 2023 were primarily attributable to changes in interest rates.</w:t>
      </w:r>
    </w:p>
    <w:p>
      <w:pPr>
        <w:spacing w:after="0" w:line="1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At December 31, 2024 and 2023, the majority of HTM securities qualified for a zero loss assumption for ACL purposes. For the remaining HTM securities, primarily those issued by state and political subdivisions, calculated credit losses and, thus, the related ACL were de minimis due to the high credit quality of the portfolio. As a result, no ACL was recorded on the HTM portfolio at December 31, 2024 and 2023. In addition, based on the assessment performed as of December 31, 2024 and 2023, there was no ACL required related to the AFS portfolio. See Note 1 for additional details on the ACL as it relates to the securities portfolio.</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December 31, 2024, by contractual maturity, are presented in the following table</w:t>
      </w:r>
      <w:r>
        <w:rPr>
          <w:rFonts w:ascii="Times New Roman" w:cs="Times New Roman" w:eastAsia="Times New Roman" w:hAnsi="Times New Roman"/>
          <w:sz w:val="18"/>
          <w:szCs w:val="18"/>
          <w:i w:val="1"/>
          <w:iCs w:val="1"/>
          <w:color w:val="auto"/>
        </w:rPr>
        <w:t>.</w:t>
      </w:r>
    </w:p>
    <w:p>
      <w:pPr>
        <w:spacing w:after="0" w:line="49"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AFS</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HTM</w:t>
            </w:r>
          </w:p>
        </w:tc>
        <w:tc>
          <w:tcPr>
            <w:tcW w:w="1160" w:type="dxa"/>
            <w:vAlign w:val="bottom"/>
            <w:tcBorders>
              <w:bottom w:val="single" w:sz="8" w:color="auto"/>
            </w:tcBorders>
          </w:tcPr>
          <w:p>
            <w:pPr>
              <w:spacing w:after="0"/>
              <w:rPr>
                <w:sz w:val="18"/>
                <w:szCs w:val="18"/>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Pr>
          <w:p>
            <w:pPr>
              <w:spacing w:after="0"/>
              <w:rPr>
                <w:sz w:val="18"/>
                <w:szCs w:val="18"/>
                <w:color w:val="auto"/>
              </w:rPr>
            </w:pP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Pr>
          <w:p>
            <w:pPr>
              <w:spacing w:after="0"/>
              <w:rPr>
                <w:sz w:val="18"/>
                <w:szCs w:val="18"/>
                <w:color w:val="auto"/>
              </w:rPr>
            </w:pPr>
          </w:p>
        </w:tc>
        <w:tc>
          <w:tcPr>
            <w:tcW w:w="11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Within 1 year:</w:t>
            </w: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248,229</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248,554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4,700</w:t>
            </w:r>
          </w:p>
        </w:tc>
      </w:tr>
      <w:tr>
        <w:trPr>
          <w:trHeight w:val="21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265,077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265,320</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4,700</w:t>
            </w: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to 5 years: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18,162</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24,010</w:t>
            </w:r>
          </w:p>
        </w:tc>
      </w:tr>
      <w:tr>
        <w:trPr>
          <w:trHeight w:val="21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455,959</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434,060</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45,509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42,172</w:t>
            </w: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 to 10 years: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75,389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63,748</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67,508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57,020</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12,319</w:t>
            </w:r>
          </w:p>
        </w:tc>
      </w:tr>
      <w:tr>
        <w:trPr>
          <w:trHeight w:val="205"/>
        </w:trPr>
        <w:tc>
          <w:tcPr>
            <w:tcW w:w="4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282,793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263,135</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157,897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133,087</w:t>
            </w: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19,115</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191,671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148,566</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172,273</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215,436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167,681</w:t>
            </w: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not due at a single maturity:</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MBS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2,372,751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1,282,174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1,058,504</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537,982</w:t>
            </w:r>
          </w:p>
        </w:tc>
      </w:tr>
      <w:tr>
        <w:trPr>
          <w:trHeight w:val="212"/>
        </w:trPr>
        <w:tc>
          <w:tcPr>
            <w:tcW w:w="4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4,664,300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1,944,126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200" w:lineRule="exact"/>
        <w:rPr>
          <w:sz w:val="20"/>
          <w:szCs w:val="20"/>
          <w:color w:val="auto"/>
        </w:rPr>
      </w:pPr>
    </w:p>
    <w:p>
      <w:pPr>
        <w:spacing w:after="0" w:line="231" w:lineRule="exact"/>
        <w:rPr>
          <w:sz w:val="20"/>
          <w:szCs w:val="20"/>
          <w:color w:val="auto"/>
        </w:rPr>
      </w:pPr>
    </w:p>
    <w:p>
      <w:pPr>
        <w:ind w:left="320"/>
        <w:spacing w:after="0" w:line="270" w:lineRule="auto"/>
        <w:rPr>
          <w:sz w:val="20"/>
          <w:szCs w:val="20"/>
          <w:color w:val="auto"/>
        </w:rPr>
      </w:pPr>
      <w:r>
        <w:rPr>
          <w:rFonts w:ascii="Times New Roman" w:cs="Times New Roman" w:eastAsia="Times New Roman" w:hAnsi="Times New Roman"/>
          <w:sz w:val="18"/>
          <w:szCs w:val="18"/>
          <w:color w:val="auto"/>
        </w:rPr>
        <w:t>The following table presents accrued interest receivable for the periods indicated on HTM and AFS debt securities, which was excluded from the estimate of credit losses.</w:t>
      </w:r>
    </w:p>
    <w:tbl>
      <w:tblPr>
        <w:tblLayout w:type="fixed"/>
        <w:tblInd w:w="32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60" w:type="dxa"/>
            <w:vAlign w:val="bottom"/>
            <w:gridSpan w:val="5"/>
          </w:tcPr>
          <w:p>
            <w:pPr>
              <w:jc w:val="center"/>
              <w:ind w:right="2860"/>
              <w:spacing w:after="0"/>
              <w:rPr>
                <w:sz w:val="20"/>
                <w:szCs w:val="20"/>
                <w:color w:val="auto"/>
              </w:rPr>
            </w:pPr>
            <w:r>
              <w:rPr>
                <w:rFonts w:ascii="Times New Roman" w:cs="Times New Roman" w:eastAsia="Times New Roman" w:hAnsi="Times New Roman"/>
                <w:sz w:val="16"/>
                <w:szCs w:val="16"/>
                <w:b w:val="1"/>
                <w:bCs w:val="1"/>
                <w:color w:val="auto"/>
                <w:w w:val="98"/>
              </w:rPr>
              <w:t>Accrued Interest Receivable</w:t>
            </w:r>
          </w:p>
        </w:tc>
      </w:tr>
      <w:tr>
        <w:trPr>
          <w:trHeight w:val="205"/>
        </w:trPr>
        <w:tc>
          <w:tcPr>
            <w:tcW w:w="456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gridSpan w:val="3"/>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top w:val="single" w:sz="8" w:color="auto"/>
              <w:bottom w:val="single" w:sz="8" w:color="auto"/>
            </w:tcBorders>
          </w:tcPr>
          <w:p>
            <w:pPr>
              <w:spacing w:after="0"/>
              <w:rPr>
                <w:sz w:val="17"/>
                <w:szCs w:val="17"/>
                <w:color w:val="auto"/>
              </w:rPr>
            </w:pPr>
          </w:p>
        </w:tc>
        <w:tc>
          <w:tcPr>
            <w:tcW w:w="2460" w:type="dxa"/>
            <w:vAlign w:val="bottom"/>
          </w:tcPr>
          <w:p>
            <w:pPr>
              <w:spacing w:after="0"/>
              <w:rPr>
                <w:sz w:val="17"/>
                <w:szCs w:val="17"/>
                <w:color w:val="auto"/>
              </w:rPr>
            </w:pPr>
          </w:p>
        </w:tc>
      </w:tr>
      <w:tr>
        <w:trPr>
          <w:trHeight w:val="206"/>
        </w:trPr>
        <w:tc>
          <w:tcPr>
            <w:tcW w:w="4560" w:type="dxa"/>
            <w:vAlign w:val="bottom"/>
            <w:tcBorders>
              <w:bottom w:val="single" w:sz="8" w:color="CCEEFF"/>
            </w:tcBorders>
          </w:tcPr>
          <w:p>
            <w:pPr>
              <w:ind w:left="2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60" w:type="dxa"/>
            <w:vAlign w:val="bottom"/>
            <w:tcBorders>
              <w:bottom w:val="single" w:sz="8" w:color="CCEEFF"/>
            </w:tcBorders>
          </w:tcPr>
          <w:p>
            <w:pPr>
              <w:spacing w:after="0"/>
              <w:rPr>
                <w:sz w:val="17"/>
                <w:szCs w:val="17"/>
                <w:color w:val="auto"/>
              </w:rPr>
            </w:pPr>
          </w:p>
        </w:tc>
      </w:tr>
      <w:tr>
        <w:trPr>
          <w:trHeight w:val="206"/>
        </w:trPr>
        <w:tc>
          <w:tcPr>
            <w:tcW w:w="45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6"/>
                <w:szCs w:val="16"/>
                <w:color w:val="auto"/>
              </w:rPr>
              <w:t>HTM</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5,763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460" w:type="dxa"/>
            <w:vAlign w:val="bottom"/>
            <w:shd w:val="clear" w:color="auto" w:fill="CCEEFF"/>
          </w:tcPr>
          <w:p>
            <w:pPr>
              <w:spacing w:after="0"/>
              <w:rPr>
                <w:sz w:val="17"/>
                <w:szCs w:val="17"/>
                <w:color w:val="auto"/>
              </w:rPr>
            </w:pPr>
          </w:p>
        </w:tc>
      </w:tr>
      <w:tr>
        <w:trPr>
          <w:trHeight w:val="208"/>
        </w:trPr>
        <w:tc>
          <w:tcPr>
            <w:tcW w:w="45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AFS</w:t>
            </w:r>
          </w:p>
        </w:tc>
        <w:tc>
          <w:tcPr>
            <w:tcW w:w="4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18,201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w:t>
            </w:r>
          </w:p>
        </w:tc>
        <w:tc>
          <w:tcPr>
            <w:tcW w:w="2460" w:type="dxa"/>
            <w:vAlign w:val="bottom"/>
          </w:tcPr>
          <w:p>
            <w:pPr>
              <w:spacing w:after="0"/>
              <w:rPr>
                <w:sz w:val="18"/>
                <w:szCs w:val="18"/>
                <w:color w:val="auto"/>
              </w:rPr>
            </w:pPr>
          </w:p>
        </w:tc>
      </w:tr>
    </w:tbl>
    <w:p>
      <w:pPr>
        <w:spacing w:after="0" w:line="317"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the securities sold. The following summarizes securities sales activities for the years ended December 31:</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64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20" w:type="dxa"/>
            <w:vAlign w:val="bottom"/>
            <w:tcBorders>
              <w:bottom w:val="single" w:sz="8" w:color="CCEEFF"/>
            </w:tcBorders>
          </w:tcPr>
          <w:p>
            <w:pPr>
              <w:spacing w:after="0"/>
              <w:rPr>
                <w:sz w:val="18"/>
                <w:szCs w:val="18"/>
                <w:color w:val="auto"/>
              </w:rPr>
            </w:pPr>
          </w:p>
        </w:tc>
      </w:tr>
      <w:tr>
        <w:trPr>
          <w:trHeight w:val="233"/>
        </w:trPr>
        <w:tc>
          <w:tcPr>
            <w:tcW w:w="56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Proceeds from sales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318,457</w:t>
            </w:r>
          </w:p>
        </w:tc>
        <w:tc>
          <w:tcPr>
            <w:tcW w:w="132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58"/>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2"/>
        </w:trPr>
        <w:tc>
          <w:tcPr>
            <w:tcW w:w="56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Gross gains on sales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320" w:type="dxa"/>
            <w:vAlign w:val="bottom"/>
            <w:shd w:val="clear" w:color="auto" w:fill="CCEEFF"/>
          </w:tcPr>
          <w:p>
            <w:pPr>
              <w:spacing w:after="0"/>
              <w:rPr>
                <w:sz w:val="18"/>
                <w:szCs w:val="18"/>
                <w:color w:val="auto"/>
              </w:rPr>
            </w:pPr>
          </w:p>
        </w:tc>
      </w:tr>
      <w:tr>
        <w:trPr>
          <w:trHeight w:val="210"/>
        </w:trPr>
        <w:tc>
          <w:tcPr>
            <w:tcW w:w="564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6"/>
                <w:szCs w:val="16"/>
                <w:color w:val="auto"/>
              </w:rPr>
              <w:t>Gross losses on sales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320" w:type="dxa"/>
            <w:vAlign w:val="bottom"/>
            <w:tcBorders>
              <w:bottom w:val="single" w:sz="8" w:color="CCEEFF"/>
            </w:tcBorders>
          </w:tcPr>
          <w:p>
            <w:pPr>
              <w:spacing w:after="0"/>
              <w:rPr>
                <w:sz w:val="18"/>
                <w:szCs w:val="18"/>
                <w:color w:val="auto"/>
              </w:rPr>
            </w:pPr>
          </w:p>
        </w:tc>
      </w:tr>
      <w:tr>
        <w:trPr>
          <w:trHeight w:val="232"/>
        </w:trPr>
        <w:tc>
          <w:tcPr>
            <w:tcW w:w="564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Net losses on sales of securities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32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59"/>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37"/>
        </w:trPr>
        <w:tc>
          <w:tcPr>
            <w:tcW w:w="56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Income tax benefit attributable to sales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26"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December 31.</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09"/>
        </w:trPr>
        <w:tc>
          <w:tcPr>
            <w:tcW w:w="6440" w:type="dxa"/>
            <w:vAlign w:val="bottom"/>
            <w:tcBorders>
              <w:bottom w:val="single" w:sz="8" w:color="CCEEFF"/>
            </w:tcBorders>
          </w:tcPr>
          <w:p>
            <w:pPr>
              <w:ind w:left="19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520" w:type="dxa"/>
            <w:vAlign w:val="bottom"/>
            <w:tcBorders>
              <w:bottom w:val="single" w:sz="8" w:color="CCEEFF"/>
            </w:tcBorders>
          </w:tcPr>
          <w:p>
            <w:pPr>
              <w:spacing w:after="0"/>
              <w:rPr>
                <w:sz w:val="18"/>
                <w:szCs w:val="18"/>
                <w:color w:val="auto"/>
              </w:rPr>
            </w:pPr>
          </w:p>
        </w:tc>
      </w:tr>
      <w:tr>
        <w:trPr>
          <w:trHeight w:val="206"/>
        </w:trPr>
        <w:tc>
          <w:tcPr>
            <w:tcW w:w="64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Federal Reserve Stock</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spacing w:after="0"/>
              <w:rPr>
                <w:sz w:val="17"/>
                <w:szCs w:val="17"/>
                <w:color w:val="auto"/>
              </w:rPr>
            </w:pPr>
          </w:p>
        </w:tc>
      </w:tr>
      <w:tr>
        <w:trPr>
          <w:trHeight w:val="210"/>
        </w:trPr>
        <w:tc>
          <w:tcPr>
            <w:tcW w:w="64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FHLB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1520" w:type="dxa"/>
            <w:vAlign w:val="bottom"/>
          </w:tcPr>
          <w:p>
            <w:pPr>
              <w:spacing w:after="0"/>
              <w:rPr>
                <w:sz w:val="18"/>
                <w:szCs w:val="18"/>
                <w:color w:val="auto"/>
              </w:rPr>
            </w:pPr>
          </w:p>
        </w:tc>
      </w:tr>
      <w:tr>
        <w:trPr>
          <w:trHeight w:val="214"/>
        </w:trPr>
        <w:tc>
          <w:tcPr>
            <w:tcW w:w="64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1520" w:type="dxa"/>
            <w:vAlign w:val="bottom"/>
            <w:shd w:val="clear" w:color="auto" w:fill="CCEEFF"/>
          </w:tcPr>
          <w:p>
            <w:pPr>
              <w:spacing w:after="0"/>
              <w:rPr>
                <w:sz w:val="18"/>
                <w:szCs w:val="18"/>
                <w:color w:val="auto"/>
              </w:rPr>
            </w:pPr>
          </w:p>
        </w:tc>
      </w:tr>
    </w:tbl>
    <w:p>
      <w:pPr>
        <w:spacing w:after="0" w:line="31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Loans and Leases and Allowance for Credit Losses</w:t>
      </w:r>
    </w:p>
    <w:p>
      <w:pPr>
        <w:spacing w:after="0" w:line="24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650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00" w:type="dxa"/>
            <w:vAlign w:val="bottom"/>
            <w:tcBorders>
              <w:bottom w:val="single" w:sz="8" w:color="CCEEFF"/>
            </w:tcBorders>
          </w:tcPr>
          <w:p>
            <w:pPr>
              <w:spacing w:after="0"/>
              <w:rPr>
                <w:sz w:val="18"/>
                <w:szCs w:val="18"/>
                <w:color w:val="auto"/>
              </w:rPr>
            </w:pPr>
          </w:p>
        </w:tc>
      </w:tr>
      <w:tr>
        <w:trPr>
          <w:trHeight w:val="206"/>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Owner occupied CRE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3,264,051</w:t>
            </w:r>
          </w:p>
        </w:tc>
        <w:tc>
          <w:tcPr>
            <w:tcW w:w="1300" w:type="dxa"/>
            <w:vAlign w:val="bottom"/>
            <w:shd w:val="clear" w:color="auto" w:fill="CCEEFF"/>
          </w:tcPr>
          <w:p>
            <w:pPr>
              <w:spacing w:after="0"/>
              <w:rPr>
                <w:sz w:val="17"/>
                <w:szCs w:val="17"/>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Income producing CRE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4,263,952</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2,411,045</w:t>
            </w:r>
          </w:p>
        </w:tc>
        <w:tc>
          <w:tcPr>
            <w:tcW w:w="1300" w:type="dxa"/>
            <w:vAlign w:val="bottom"/>
            <w:shd w:val="clear" w:color="auto" w:fill="CCEEFF"/>
          </w:tcPr>
          <w:p>
            <w:pPr>
              <w:spacing w:after="0"/>
              <w:rPr>
                <w:sz w:val="18"/>
                <w:szCs w:val="18"/>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1,859,538</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1,541,120</w:t>
            </w:r>
          </w:p>
        </w:tc>
        <w:tc>
          <w:tcPr>
            <w:tcW w:w="1300" w:type="dxa"/>
            <w:vAlign w:val="bottom"/>
            <w:shd w:val="clear" w:color="auto" w:fill="CCEEFF"/>
          </w:tcPr>
          <w:p>
            <w:pPr>
              <w:spacing w:after="0"/>
              <w:rPr>
                <w:sz w:val="18"/>
                <w:szCs w:val="18"/>
                <w:color w:val="auto"/>
              </w:rPr>
            </w:pPr>
          </w:p>
        </w:tc>
      </w:tr>
      <w:tr>
        <w:trPr>
          <w:trHeight w:val="203"/>
        </w:trPr>
        <w:tc>
          <w:tcPr>
            <w:tcW w:w="65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Total commercial</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13,339,706</w:t>
            </w:r>
          </w:p>
        </w:tc>
        <w:tc>
          <w:tcPr>
            <w:tcW w:w="1300" w:type="dxa"/>
            <w:vAlign w:val="bottom"/>
          </w:tcPr>
          <w:p>
            <w:pPr>
              <w:spacing w:after="0"/>
              <w:rPr>
                <w:sz w:val="17"/>
                <w:szCs w:val="17"/>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3,198,928</w:t>
            </w:r>
          </w:p>
        </w:tc>
        <w:tc>
          <w:tcPr>
            <w:tcW w:w="1300" w:type="dxa"/>
            <w:vAlign w:val="bottom"/>
            <w:shd w:val="clear" w:color="auto" w:fill="CCEEFF"/>
          </w:tcPr>
          <w:p>
            <w:pPr>
              <w:spacing w:after="0"/>
              <w:rPr>
                <w:sz w:val="18"/>
                <w:szCs w:val="18"/>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958,987</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301,650</w:t>
            </w:r>
          </w:p>
        </w:tc>
        <w:tc>
          <w:tcPr>
            <w:tcW w:w="1300" w:type="dxa"/>
            <w:vAlign w:val="bottom"/>
            <w:shd w:val="clear" w:color="auto" w:fill="CCEEFF"/>
          </w:tcPr>
          <w:p>
            <w:pPr>
              <w:spacing w:after="0"/>
              <w:rPr>
                <w:sz w:val="18"/>
                <w:szCs w:val="18"/>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336,474</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181,117</w:t>
            </w:r>
          </w:p>
        </w:tc>
        <w:tc>
          <w:tcPr>
            <w:tcW w:w="1300" w:type="dxa"/>
            <w:vAlign w:val="bottom"/>
            <w:shd w:val="clear" w:color="auto" w:fill="CCEEFF"/>
          </w:tcPr>
          <w:p>
            <w:pPr>
              <w:spacing w:after="0"/>
              <w:rPr>
                <w:sz w:val="18"/>
                <w:szCs w:val="18"/>
                <w:color w:val="auto"/>
              </w:rPr>
            </w:pPr>
          </w:p>
        </w:tc>
      </w:tr>
      <w:tr>
        <w:trPr>
          <w:trHeight w:val="205"/>
        </w:trPr>
        <w:tc>
          <w:tcPr>
            <w:tcW w:w="6500" w:type="dxa"/>
            <w:vAlign w:val="bottom"/>
          </w:tcPr>
          <w:p>
            <w:pPr>
              <w:ind w:left="1520"/>
              <w:spacing w:after="0" w:line="206" w:lineRule="exact"/>
              <w:rPr>
                <w:sz w:val="20"/>
                <w:szCs w:val="20"/>
                <w:color w:val="auto"/>
              </w:rPr>
            </w:pPr>
            <w:r>
              <w:rPr>
                <w:rFonts w:ascii="Times New Roman" w:cs="Times New Roman" w:eastAsia="Times New Roman" w:hAnsi="Times New Roman"/>
                <w:sz w:val="16"/>
                <w:szCs w:val="16"/>
                <w:color w:val="auto"/>
              </w:rPr>
              <w:t xml:space="preserve">Total loans excluding fair value hedge basis adjustment </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18,316,862</w:t>
            </w:r>
          </w:p>
        </w:tc>
        <w:tc>
          <w:tcPr>
            <w:tcW w:w="1300" w:type="dxa"/>
            <w:vAlign w:val="bottom"/>
          </w:tcPr>
          <w:p>
            <w:pPr>
              <w:spacing w:after="0"/>
              <w:rPr>
                <w:sz w:val="17"/>
                <w:szCs w:val="17"/>
                <w:color w:val="auto"/>
              </w:rPr>
            </w:pPr>
          </w:p>
        </w:tc>
      </w:tr>
      <w:tr>
        <w:trPr>
          <w:trHeight w:val="212"/>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1,893</w:t>
            </w:r>
          </w:p>
        </w:tc>
        <w:tc>
          <w:tcPr>
            <w:tcW w:w="1300" w:type="dxa"/>
            <w:vAlign w:val="bottom"/>
            <w:shd w:val="clear" w:color="auto" w:fill="CCEEFF"/>
          </w:tcPr>
          <w:p>
            <w:pPr>
              <w:spacing w:after="0"/>
              <w:rPr>
                <w:sz w:val="18"/>
                <w:szCs w:val="18"/>
                <w:color w:val="auto"/>
              </w:rPr>
            </w:pPr>
          </w:p>
        </w:tc>
      </w:tr>
      <w:tr>
        <w:trPr>
          <w:trHeight w:val="203"/>
        </w:trPr>
        <w:tc>
          <w:tcPr>
            <w:tcW w:w="65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Total loans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18,318,755</w:t>
            </w:r>
          </w:p>
        </w:tc>
        <w:tc>
          <w:tcPr>
            <w:tcW w:w="1300" w:type="dxa"/>
            <w:vAlign w:val="bottom"/>
          </w:tcPr>
          <w:p>
            <w:pPr>
              <w:spacing w:after="0"/>
              <w:rPr>
                <w:sz w:val="17"/>
                <w:szCs w:val="17"/>
                <w:color w:val="auto"/>
              </w:rPr>
            </w:pPr>
          </w:p>
        </w:tc>
      </w:tr>
      <w:tr>
        <w:trPr>
          <w:trHeight w:val="212"/>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Less ACL - loans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1300" w:type="dxa"/>
            <w:vAlign w:val="bottom"/>
            <w:shd w:val="clear" w:color="auto" w:fill="CCEEFF"/>
          </w:tcPr>
          <w:p>
            <w:pPr>
              <w:spacing w:after="0"/>
              <w:rPr>
                <w:sz w:val="18"/>
                <w:szCs w:val="18"/>
                <w:color w:val="auto"/>
              </w:rPr>
            </w:pPr>
          </w:p>
        </w:tc>
      </w:tr>
      <w:tr>
        <w:trPr>
          <w:trHeight w:val="207"/>
        </w:trPr>
        <w:tc>
          <w:tcPr>
            <w:tcW w:w="65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Loans,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18,110,684</w:t>
            </w:r>
          </w:p>
        </w:tc>
        <w:tc>
          <w:tcPr>
            <w:tcW w:w="13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95" w:lineRule="exact"/>
        <w:rPr>
          <w:sz w:val="20"/>
          <w:szCs w:val="20"/>
          <w:color w:val="auto"/>
        </w:rPr>
      </w:pPr>
    </w:p>
    <w:p>
      <w:pPr>
        <w:ind w:left="480" w:hanging="156"/>
        <w:spacing w:after="0"/>
        <w:tabs>
          <w:tab w:leader="none" w:pos="48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and 2023, certain loans are included in fair value hedging relationships using the portfolio layer method. See Note 8 for further detail.</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2024 and 2023, $3.69 million and $2.00 million, respectively, in overdrawn deposit accounts were reclassified as consumer loans.</w:t>
      </w:r>
    </w:p>
    <w:p>
      <w:pPr>
        <w:spacing w:after="0" w:line="244"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Accrued interest receivable related to loans totaled $60.1 million and $67.0 million at December 31, 2024 and 2023, respectively, and was reported in accrued interest receivable on the consolidated balance sheets.</w:t>
      </w:r>
    </w:p>
    <w:p>
      <w:pPr>
        <w:spacing w:after="0" w:line="190"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At December 31, 2024, the loan portfolio included certain loans specifically pledged to the Federal Reserve as well as loans covered by a blanket lien on qualifying loan types with the FHLB to secure contingent funding sources.</w:t>
      </w:r>
    </w:p>
    <w:p>
      <w:pPr>
        <w:spacing w:after="0" w:line="188" w:lineRule="exact"/>
        <w:rPr>
          <w:sz w:val="20"/>
          <w:szCs w:val="20"/>
          <w:color w:val="auto"/>
        </w:rPr>
      </w:pPr>
    </w:p>
    <w:p>
      <w:pPr>
        <w:ind w:left="320" w:right="2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presented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gains and/or losses on these loan sales were included in noninterest income on the consolidated statements of income.</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r>
      <w:tr>
        <w:trPr>
          <w:trHeight w:val="208"/>
        </w:trPr>
        <w:tc>
          <w:tcPr>
            <w:tcW w:w="4780" w:type="dxa"/>
            <w:vAlign w:val="bottom"/>
          </w:tcPr>
          <w:p>
            <w:pPr>
              <w:ind w:left="15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80" w:type="dxa"/>
            <w:vAlign w:val="bottom"/>
          </w:tcPr>
          <w:p>
            <w:pPr>
              <w:spacing w:after="0"/>
              <w:rPr>
                <w:sz w:val="18"/>
                <w:szCs w:val="18"/>
                <w:color w:val="auto"/>
              </w:rPr>
            </w:pPr>
          </w:p>
        </w:tc>
      </w:tr>
      <w:tr>
        <w:trPr>
          <w:trHeight w:val="205"/>
        </w:trPr>
        <w:tc>
          <w:tcPr>
            <w:tcW w:w="478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Manufactured housing loans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302,870</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17"/>
                <w:szCs w:val="17"/>
                <w:color w:val="auto"/>
              </w:rPr>
            </w:pPr>
          </w:p>
        </w:tc>
      </w:tr>
      <w:tr>
        <w:trPr>
          <w:trHeight w:val="214"/>
        </w:trPr>
        <w:tc>
          <w:tcPr>
            <w:tcW w:w="47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104,813</w:t>
            </w:r>
          </w:p>
        </w:tc>
        <w:tc>
          <w:tcPr>
            <w:tcW w:w="1580" w:type="dxa"/>
            <w:vAlign w:val="bottom"/>
            <w:shd w:val="clear" w:color="auto" w:fill="CCEEFF"/>
          </w:tcPr>
          <w:p>
            <w:pPr>
              <w:spacing w:after="0"/>
              <w:rPr>
                <w:sz w:val="18"/>
                <w:szCs w:val="18"/>
                <w:color w:val="auto"/>
              </w:rPr>
            </w:pPr>
          </w:p>
        </w:tc>
      </w:tr>
      <w:tr>
        <w:trPr>
          <w:trHeight w:val="210"/>
        </w:trPr>
        <w:tc>
          <w:tcPr>
            <w:tcW w:w="478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79,171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89,850</w:t>
            </w:r>
          </w:p>
        </w:tc>
        <w:tc>
          <w:tcPr>
            <w:tcW w:w="1580" w:type="dxa"/>
            <w:vAlign w:val="bottom"/>
            <w:tcBorders>
              <w:bottom w:val="single" w:sz="8" w:color="CCEEFF"/>
            </w:tcBorders>
          </w:tcPr>
          <w:p>
            <w:pPr>
              <w:spacing w:after="0"/>
              <w:rPr>
                <w:sz w:val="18"/>
                <w:szCs w:val="18"/>
                <w:color w:val="auto"/>
              </w:rPr>
            </w:pPr>
          </w:p>
        </w:tc>
      </w:tr>
      <w:tr>
        <w:trPr>
          <w:trHeight w:val="230"/>
        </w:trPr>
        <w:tc>
          <w:tcPr>
            <w:tcW w:w="478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431,634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194,663</w:t>
            </w: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At December 31, 2024 and 2023, equipment financing receivables included leases of $89.5 million and $68.9 million, respectively. The components of the net investment in leases, which included both sales-type and direct financing, are presented below.</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09"/>
        </w:trPr>
        <w:tc>
          <w:tcPr>
            <w:tcW w:w="5860" w:type="dxa"/>
            <w:vAlign w:val="bottom"/>
            <w:tcBorders>
              <w:bottom w:val="single" w:sz="8" w:color="CCEEFF"/>
            </w:tcBorders>
          </w:tcPr>
          <w:p>
            <w:pPr>
              <w:ind w:left="2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180" w:type="dxa"/>
            <w:vAlign w:val="bottom"/>
            <w:tcBorders>
              <w:bottom w:val="single" w:sz="8" w:color="CCEEFF"/>
            </w:tcBorders>
          </w:tcPr>
          <w:p>
            <w:pPr>
              <w:spacing w:after="0"/>
              <w:rPr>
                <w:sz w:val="18"/>
                <w:szCs w:val="18"/>
                <w:color w:val="auto"/>
              </w:rPr>
            </w:pPr>
          </w:p>
        </w:tc>
      </w:tr>
      <w:tr>
        <w:trPr>
          <w:trHeight w:val="206"/>
        </w:trPr>
        <w:tc>
          <w:tcPr>
            <w:tcW w:w="58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97,793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75,198</w:t>
            </w:r>
          </w:p>
        </w:tc>
        <w:tc>
          <w:tcPr>
            <w:tcW w:w="2180" w:type="dxa"/>
            <w:vAlign w:val="bottom"/>
            <w:shd w:val="clear" w:color="auto" w:fill="CCEEFF"/>
          </w:tcPr>
          <w:p>
            <w:pPr>
              <w:spacing w:after="0"/>
              <w:rPr>
                <w:sz w:val="17"/>
                <w:szCs w:val="17"/>
                <w:color w:val="auto"/>
              </w:rPr>
            </w:pPr>
          </w:p>
        </w:tc>
      </w:tr>
      <w:tr>
        <w:trPr>
          <w:trHeight w:val="210"/>
        </w:trPr>
        <w:tc>
          <w:tcPr>
            <w:tcW w:w="586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4,445</w:t>
            </w:r>
          </w:p>
        </w:tc>
        <w:tc>
          <w:tcPr>
            <w:tcW w:w="2180" w:type="dxa"/>
            <w:vAlign w:val="bottom"/>
          </w:tcPr>
          <w:p>
            <w:pPr>
              <w:spacing w:after="0"/>
              <w:rPr>
                <w:sz w:val="18"/>
                <w:szCs w:val="18"/>
                <w:color w:val="auto"/>
              </w:rPr>
            </w:pPr>
          </w:p>
        </w:tc>
      </w:tr>
      <w:tr>
        <w:trPr>
          <w:trHeight w:val="214"/>
        </w:trPr>
        <w:tc>
          <w:tcPr>
            <w:tcW w:w="58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Initial direct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1,402</w:t>
            </w:r>
          </w:p>
        </w:tc>
        <w:tc>
          <w:tcPr>
            <w:tcW w:w="2180" w:type="dxa"/>
            <w:vAlign w:val="bottom"/>
            <w:shd w:val="clear" w:color="auto" w:fill="CCEEFF"/>
          </w:tcPr>
          <w:p>
            <w:pPr>
              <w:spacing w:after="0"/>
              <w:rPr>
                <w:sz w:val="18"/>
                <w:szCs w:val="18"/>
                <w:color w:val="auto"/>
              </w:rPr>
            </w:pPr>
          </w:p>
        </w:tc>
      </w:tr>
      <w:tr>
        <w:trPr>
          <w:trHeight w:val="210"/>
        </w:trPr>
        <w:tc>
          <w:tcPr>
            <w:tcW w:w="586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Security deposits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180" w:type="dxa"/>
            <w:vAlign w:val="bottom"/>
          </w:tcPr>
          <w:p>
            <w:pPr>
              <w:spacing w:after="0"/>
              <w:rPr>
                <w:sz w:val="18"/>
                <w:szCs w:val="18"/>
                <w:color w:val="auto"/>
              </w:rPr>
            </w:pPr>
          </w:p>
        </w:tc>
      </w:tr>
      <w:tr>
        <w:trPr>
          <w:trHeight w:val="212"/>
        </w:trPr>
        <w:tc>
          <w:tcPr>
            <w:tcW w:w="58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Unearned income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2180" w:type="dxa"/>
            <w:vAlign w:val="bottom"/>
            <w:shd w:val="clear" w:color="auto" w:fill="CCEEFF"/>
          </w:tcPr>
          <w:p>
            <w:pPr>
              <w:spacing w:after="0"/>
              <w:rPr>
                <w:sz w:val="18"/>
                <w:szCs w:val="18"/>
                <w:color w:val="auto"/>
              </w:rPr>
            </w:pPr>
          </w:p>
        </w:tc>
      </w:tr>
      <w:tr>
        <w:trPr>
          <w:trHeight w:val="207"/>
        </w:trPr>
        <w:tc>
          <w:tcPr>
            <w:tcW w:w="586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89,495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68,921</w:t>
            </w:r>
          </w:p>
        </w:tc>
        <w:tc>
          <w:tcPr>
            <w:tcW w:w="21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December 31, 2024 were as follows:</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5"/>
        </w:trPr>
        <w:tc>
          <w:tcPr>
            <w:tcW w:w="2920" w:type="dxa"/>
            <w:vAlign w:val="bottom"/>
            <w:tcBorders>
              <w:bottom w:val="single" w:sz="8" w:color="CCEEFF"/>
            </w:tcBorders>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r>
      <w:tr>
        <w:trPr>
          <w:trHeight w:val="208"/>
        </w:trPr>
        <w:tc>
          <w:tcPr>
            <w:tcW w:w="2920" w:type="dxa"/>
            <w:vAlign w:val="bottom"/>
            <w:shd w:val="clear" w:color="auto" w:fill="CCEEFF"/>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33,349</w:t>
            </w:r>
          </w:p>
        </w:tc>
        <w:tc>
          <w:tcPr>
            <w:tcW w:w="2940" w:type="dxa"/>
            <w:vAlign w:val="bottom"/>
            <w:shd w:val="clear" w:color="auto" w:fill="CCEEFF"/>
          </w:tcPr>
          <w:p>
            <w:pPr>
              <w:spacing w:after="0"/>
              <w:rPr>
                <w:sz w:val="18"/>
                <w:szCs w:val="18"/>
                <w:color w:val="auto"/>
              </w:rPr>
            </w:pPr>
          </w:p>
        </w:tc>
      </w:tr>
      <w:tr>
        <w:trPr>
          <w:trHeight w:val="210"/>
        </w:trPr>
        <w:tc>
          <w:tcPr>
            <w:tcW w:w="6000" w:type="dxa"/>
            <w:vAlign w:val="bottom"/>
            <w:gridSpan w:val="2"/>
          </w:tcPr>
          <w:p>
            <w:pPr>
              <w:ind w:left="2940"/>
              <w:spacing w:after="0"/>
              <w:rPr>
                <w:sz w:val="20"/>
                <w:szCs w:val="20"/>
                <w:color w:val="auto"/>
              </w:rPr>
            </w:pPr>
            <w:r>
              <w:rPr>
                <w:rFonts w:ascii="Times New Roman" w:cs="Times New Roman" w:eastAsia="Times New Roman" w:hAnsi="Times New Roman"/>
                <w:sz w:val="16"/>
                <w:szCs w:val="16"/>
                <w:color w:val="auto"/>
              </w:rPr>
              <w:t>2026</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2940" w:type="dxa"/>
            <w:vAlign w:val="bottom"/>
          </w:tcPr>
          <w:p>
            <w:pPr>
              <w:spacing w:after="0"/>
              <w:rPr>
                <w:sz w:val="18"/>
                <w:szCs w:val="18"/>
                <w:color w:val="auto"/>
              </w:rPr>
            </w:pPr>
          </w:p>
        </w:tc>
      </w:tr>
      <w:tr>
        <w:trPr>
          <w:trHeight w:val="214"/>
        </w:trPr>
        <w:tc>
          <w:tcPr>
            <w:tcW w:w="600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6"/>
                <w:szCs w:val="16"/>
                <w:color w:val="auto"/>
              </w:rPr>
              <w:t>2027</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20,766</w:t>
            </w:r>
          </w:p>
        </w:tc>
        <w:tc>
          <w:tcPr>
            <w:tcW w:w="2940" w:type="dxa"/>
            <w:vAlign w:val="bottom"/>
            <w:shd w:val="clear" w:color="auto" w:fill="CCEEFF"/>
          </w:tcPr>
          <w:p>
            <w:pPr>
              <w:spacing w:after="0"/>
              <w:rPr>
                <w:sz w:val="18"/>
                <w:szCs w:val="18"/>
                <w:color w:val="auto"/>
              </w:rPr>
            </w:pPr>
          </w:p>
        </w:tc>
      </w:tr>
      <w:tr>
        <w:trPr>
          <w:trHeight w:val="210"/>
        </w:trPr>
        <w:tc>
          <w:tcPr>
            <w:tcW w:w="6000" w:type="dxa"/>
            <w:vAlign w:val="bottom"/>
            <w:gridSpan w:val="2"/>
          </w:tcPr>
          <w:p>
            <w:pPr>
              <w:ind w:left="2940"/>
              <w:spacing w:after="0"/>
              <w:rPr>
                <w:sz w:val="20"/>
                <w:szCs w:val="20"/>
                <w:color w:val="auto"/>
              </w:rPr>
            </w:pPr>
            <w:r>
              <w:rPr>
                <w:rFonts w:ascii="Times New Roman" w:cs="Times New Roman" w:eastAsia="Times New Roman" w:hAnsi="Times New Roman"/>
                <w:sz w:val="16"/>
                <w:szCs w:val="16"/>
                <w:color w:val="auto"/>
              </w:rPr>
              <w:t>2028</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2940" w:type="dxa"/>
            <w:vAlign w:val="bottom"/>
          </w:tcPr>
          <w:p>
            <w:pPr>
              <w:spacing w:after="0"/>
              <w:rPr>
                <w:sz w:val="18"/>
                <w:szCs w:val="18"/>
                <w:color w:val="auto"/>
              </w:rPr>
            </w:pPr>
          </w:p>
        </w:tc>
      </w:tr>
      <w:tr>
        <w:trPr>
          <w:trHeight w:val="214"/>
        </w:trPr>
        <w:tc>
          <w:tcPr>
            <w:tcW w:w="600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6"/>
                <w:szCs w:val="16"/>
                <w:color w:val="auto"/>
              </w:rPr>
              <w:t>2029</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2940" w:type="dxa"/>
            <w:vAlign w:val="bottom"/>
            <w:shd w:val="clear" w:color="auto" w:fill="CCEEFF"/>
          </w:tcPr>
          <w:p>
            <w:pPr>
              <w:spacing w:after="0"/>
              <w:rPr>
                <w:sz w:val="18"/>
                <w:szCs w:val="18"/>
                <w:color w:val="auto"/>
              </w:rPr>
            </w:pPr>
          </w:p>
        </w:tc>
      </w:tr>
      <w:tr>
        <w:trPr>
          <w:trHeight w:val="210"/>
        </w:trPr>
        <w:tc>
          <w:tcPr>
            <w:tcW w:w="292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940" w:type="dxa"/>
            <w:vAlign w:val="bottom"/>
            <w:tcBorders>
              <w:bottom w:val="single" w:sz="8" w:color="CCEEFF"/>
            </w:tcBorders>
          </w:tcPr>
          <w:p>
            <w:pPr>
              <w:spacing w:after="0"/>
              <w:rPr>
                <w:sz w:val="18"/>
                <w:szCs w:val="18"/>
                <w:color w:val="auto"/>
              </w:rPr>
            </w:pPr>
          </w:p>
        </w:tc>
      </w:tr>
      <w:tr>
        <w:trPr>
          <w:trHeight w:val="232"/>
        </w:trPr>
        <w:tc>
          <w:tcPr>
            <w:tcW w:w="29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97,793</w:t>
            </w:r>
          </w:p>
        </w:tc>
        <w:tc>
          <w:tcPr>
            <w:tcW w:w="2940" w:type="dxa"/>
            <w:vAlign w:val="bottom"/>
            <w:tcBorders>
              <w:bottom w:val="single" w:sz="8" w:color="CCEEFF"/>
            </w:tcBorders>
            <w:shd w:val="clear" w:color="auto" w:fill="CCEEFF"/>
          </w:tcPr>
          <w:p>
            <w:pPr>
              <w:spacing w:after="0"/>
              <w:rPr>
                <w:sz w:val="19"/>
                <w:szCs w:val="19"/>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amortized cost basis in loans by aging category and accrual status as of December 31, 2024 and 2023</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8"/>
              </w:rPr>
              <w:t>Nonaccrual</w:t>
            </w:r>
          </w:p>
        </w:tc>
        <w:tc>
          <w:tcPr>
            <w:tcW w:w="120" w:type="dxa"/>
            <w:vAlign w:val="bottom"/>
          </w:tcPr>
          <w:p>
            <w:pPr>
              <w:spacing w:after="0"/>
              <w:rPr>
                <w:sz w:val="12"/>
                <w:szCs w:val="12"/>
                <w:color w:val="auto"/>
              </w:rPr>
            </w:pPr>
          </w:p>
        </w:tc>
        <w:tc>
          <w:tcPr>
            <w:tcW w:w="10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16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 occupied CRE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3,381,622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3,398,217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4,333,651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4,360,920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2,395,889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2,428,376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1,646,175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1,655,710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1,644,721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1,662,501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13,402,058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82,695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13,505,724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3,199,956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3,231,479</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1,059,010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1,064,874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178,405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186,448</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18,024,095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18,168,653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As of December 31, 2023</w:t>
            </w:r>
          </w:p>
        </w:tc>
        <w:tc>
          <w:tcPr>
            <w:tcW w:w="16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 occupied CRE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3,258,015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3,264,051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4,230,140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4,263,952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2,388,076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2,411,045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1,857,660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1,859,538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1,522,962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1,541,120</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13,256,853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57,072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13,339,706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3,179,329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3,198,928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950,841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958,987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301,650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181,117</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18,171,292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91,687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18,316,862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nonaccrual loans by loan class for the periods indicated.</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980" w:type="dxa"/>
            <w:vAlign w:val="bottom"/>
          </w:tcPr>
          <w:p>
            <w:pPr>
              <w:jc w:val="right"/>
              <w:ind w:right="221"/>
              <w:spacing w:after="0" w:line="154"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3"/>
                <w:szCs w:val="13"/>
                <w:color w:val="auto"/>
              </w:rPr>
            </w:pPr>
          </w:p>
        </w:tc>
        <w:tc>
          <w:tcPr>
            <w:tcW w:w="980" w:type="dxa"/>
            <w:vAlign w:val="bottom"/>
          </w:tcPr>
          <w:p>
            <w:pPr>
              <w:jc w:val="right"/>
              <w:ind w:right="221"/>
              <w:spacing w:after="0" w:line="154"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2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30,128</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13,467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8,892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8,505</w:t>
            </w:r>
          </w:p>
        </w:tc>
        <w:tc>
          <w:tcPr>
            <w:tcW w:w="0" w:type="dxa"/>
            <w:vAlign w:val="bottom"/>
          </w:tcPr>
          <w:p>
            <w:pPr>
              <w:spacing w:after="0"/>
              <w:rPr>
                <w:sz w:val="1"/>
                <w:szCs w:val="1"/>
                <w:color w:val="auto"/>
              </w:rPr>
            </w:pPr>
          </w:p>
        </w:tc>
      </w:tr>
      <w:tr>
        <w:trPr>
          <w:trHeight w:val="20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57,072</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15,861</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5"/>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70,123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43,456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91,687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20"/>
        <w:spacing w:after="0" w:line="237" w:lineRule="auto"/>
        <w:rPr>
          <w:sz w:val="20"/>
          <w:szCs w:val="20"/>
          <w:color w:val="auto"/>
        </w:rPr>
      </w:pPr>
      <w:r>
        <w:rPr>
          <w:rFonts w:ascii="Times New Roman" w:cs="Times New Roman" w:eastAsia="Times New Roman" w:hAnsi="Times New Roman"/>
          <w:sz w:val="18"/>
          <w:szCs w:val="18"/>
          <w:color w:val="auto"/>
        </w:rPr>
        <w:t>At December 31, 2024 and December 31, 2023, United had $75.1 million and $48.5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44"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3"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 reliable secondary source of full repayment.</w:t>
      </w:r>
    </w:p>
    <w:p>
      <w:pPr>
        <w:spacing w:after="0" w:line="160"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w:t>
      </w:r>
    </w:p>
    <w:p>
      <w:pPr>
        <w:spacing w:after="0" w:line="160" w:lineRule="exact"/>
        <w:rPr>
          <w:sz w:val="20"/>
          <w:szCs w:val="20"/>
          <w:color w:val="auto"/>
        </w:rPr>
      </w:pPr>
    </w:p>
    <w:p>
      <w:pPr>
        <w:jc w:val="both"/>
        <w:ind w:left="320" w:right="20"/>
        <w:spacing w:after="0" w:line="261" w:lineRule="auto"/>
        <w:rPr>
          <w:sz w:val="20"/>
          <w:szCs w:val="20"/>
          <w:color w:val="auto"/>
        </w:rPr>
      </w:pPr>
      <w:r>
        <w:rPr>
          <w:rFonts w:ascii="Times New Roman" w:cs="Times New Roman" w:eastAsia="Times New Roman" w:hAnsi="Times New Roman"/>
          <w:sz w:val="18"/>
          <w:szCs w:val="18"/>
          <w:b w:val="1"/>
          <w:bCs w:val="1"/>
          <w:color w:val="auto"/>
        </w:rPr>
        <w:t>Consumer Purpose Loans</w:t>
      </w:r>
      <w:r>
        <w:rPr>
          <w:rFonts w:ascii="Times New Roman" w:cs="Times New Roman" w:eastAsia="Times New Roman" w:hAnsi="Times New Roman"/>
          <w:sz w:val="18"/>
          <w:szCs w:val="18"/>
          <w:color w:val="auto"/>
        </w:rPr>
        <w:t>. United applies a pass / fail grading system to all consumer purpose loans. Under this system, loans that are on nonaccrual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become past due 90 days or are in bankruptcy are classified as “fail” and all other loans are classified as “pass”. For reporting purposes, loans classified as “fail” are reported as “substandard” and all other loans are reported as “pass”.</w:t>
      </w:r>
    </w:p>
    <w:p>
      <w:pPr>
        <w:spacing w:after="0" w:line="20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by vintage year, which is the year of origination or most recent renewal, as of the date indicated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1 for description of revisions to the December 31, 2023 table.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292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7"/>
          </w:tcPr>
          <w:p>
            <w:pPr>
              <w:ind w:left="80"/>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Revolvers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9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converted to</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9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6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Revolvers</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140" w:type="dxa"/>
            <w:vAlign w:val="bottom"/>
          </w:tcPr>
          <w:p>
            <w:pPr>
              <w:spacing w:after="0"/>
              <w:rPr>
                <w:sz w:val="14"/>
                <w:szCs w:val="14"/>
                <w:color w:val="auto"/>
              </w:rPr>
            </w:pP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86"/>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CRE</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455,248</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621,020</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555,846</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425,932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120,574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3,248,521</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61,299</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37,791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88,397</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459,626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559,692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672,464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580,228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522,160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454,747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3,398,217</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producing CRE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468,247</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977,090</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896,096</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606,395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4,106,279</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56,781</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36,259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39,085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197,860</w:t>
            </w: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544,536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516,291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657,207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4,360,920</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464,843</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270,459</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198,320</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125,964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583,147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2,272,032</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73,818</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82,526</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475,872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131,188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623,511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2,428,376</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2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19,358</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448,497</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495,712</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153,303</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1,574,008</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61,012</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455,402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165,105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1,655,710</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693,205</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328,490</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122,920</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1,648,774</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693,858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1,662,501</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26,869</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121,145</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1,015,693</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989,673</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402,894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347,249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3,201,429</w:t>
            </w:r>
          </w:p>
        </w:tc>
        <w:tc>
          <w:tcPr>
            <w:tcW w:w="0" w:type="dxa"/>
            <w:vAlign w:val="bottom"/>
          </w:tcPr>
          <w:p>
            <w:pPr>
              <w:spacing w:after="0"/>
              <w:rPr>
                <w:sz w:val="1"/>
                <w:szCs w:val="1"/>
                <w:color w:val="auto"/>
              </w:rPr>
            </w:pPr>
          </w:p>
        </w:tc>
      </w:tr>
      <w:tr>
        <w:trPr>
          <w:trHeight w:val="186"/>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30,050</w:t>
            </w:r>
          </w:p>
        </w:tc>
        <w:tc>
          <w:tcPr>
            <w:tcW w:w="0" w:type="dxa"/>
            <w:vAlign w:val="bottom"/>
          </w:tcPr>
          <w:p>
            <w:pPr>
              <w:spacing w:after="0"/>
              <w:rPr>
                <w:sz w:val="1"/>
                <w:szCs w:val="1"/>
                <w:color w:val="auto"/>
              </w:rPr>
            </w:pPr>
          </w:p>
        </w:tc>
      </w:tr>
      <w:tr>
        <w:trPr>
          <w:trHeight w:val="186"/>
        </w:trPr>
        <w:tc>
          <w:tcPr>
            <w:tcW w:w="2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123,436</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1,024,615</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992,083</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404,642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357,867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3,231,479</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7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equity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1,059,631</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1,064,874</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30,216</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178,263</w:t>
            </w:r>
          </w:p>
        </w:tc>
        <w:tc>
          <w:tcPr>
            <w:tcW w:w="0" w:type="dxa"/>
            <w:vAlign w:val="bottom"/>
          </w:tcPr>
          <w:p>
            <w:pPr>
              <w:spacing w:after="0"/>
              <w:rPr>
                <w:sz w:val="1"/>
                <w:szCs w:val="1"/>
                <w:color w:val="auto"/>
              </w:rPr>
            </w:pPr>
          </w:p>
        </w:tc>
      </w:tr>
      <w:tr>
        <w:trPr>
          <w:trHeight w:val="186"/>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85"/>
        </w:trPr>
        <w:tc>
          <w:tcPr>
            <w:tcW w:w="2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178,405</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7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Manufactured housing</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84,100</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20,332</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7,103</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186,220</w:t>
            </w:r>
          </w:p>
        </w:tc>
        <w:tc>
          <w:tcPr>
            <w:tcW w:w="0" w:type="dxa"/>
            <w:vAlign w:val="bottom"/>
          </w:tcPr>
          <w:p>
            <w:pPr>
              <w:spacing w:after="0"/>
              <w:rPr>
                <w:sz w:val="1"/>
                <w:szCs w:val="1"/>
                <w:color w:val="auto"/>
              </w:rPr>
            </w:pPr>
          </w:p>
        </w:tc>
      </w:tr>
      <w:tr>
        <w:trPr>
          <w:trHeight w:val="186"/>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86"/>
        </w:trPr>
        <w:tc>
          <w:tcPr>
            <w:tcW w:w="2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84,101</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20,374</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7,139</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186,448</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11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type w:val="continuous"/>
        </w:sectPr>
      </w:pPr>
    </w:p>
    <w:bookmarkStart w:id="96" w:name="page97"/>
    <w:bookmarkEnd w:id="96"/>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7"/>
          </w:tcPr>
          <w:p>
            <w:pPr>
              <w:ind w:left="80"/>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Revolvers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converted to</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As of December 31, 2023 (revised)</w:t>
            </w:r>
          </w:p>
        </w:tc>
        <w:tc>
          <w:tcPr>
            <w:tcW w:w="16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Revolvers</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140" w:type="dxa"/>
            <w:vAlign w:val="bottom"/>
          </w:tcPr>
          <w:p>
            <w:pPr>
              <w:spacing w:after="0"/>
              <w:rPr>
                <w:sz w:val="14"/>
                <w:szCs w:val="14"/>
                <w:color w:val="auto"/>
              </w:rPr>
            </w:pP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86"/>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592,932</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654,845</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618,811</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577,916</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3,169,650</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33,991</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60,410</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597,506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670,650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639,052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379,776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3,264,051</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464,979</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904,015</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863,308</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795,143</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362,139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3,980,458</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132,622</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31,530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43,450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150,872</w:t>
            </w:r>
          </w:p>
        </w:tc>
        <w:tc>
          <w:tcPr>
            <w:tcW w:w="0" w:type="dxa"/>
            <w:vAlign w:val="bottom"/>
          </w:tcPr>
          <w:p>
            <w:pPr>
              <w:spacing w:after="0"/>
              <w:rPr>
                <w:sz w:val="1"/>
                <w:szCs w:val="1"/>
                <w:color w:val="auto"/>
              </w:rPr>
            </w:pPr>
          </w:p>
        </w:tc>
      </w:tr>
      <w:tr>
        <w:trPr>
          <w:trHeight w:val="206"/>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504,135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946,049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888,640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826,796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425,493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4,263,952</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573,391</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431,962</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280,372</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136,975</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581,871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2,273,773</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35,755</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46,282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101,517</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581,571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305,576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97,227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2,411,045</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12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13,271</w:t>
            </w:r>
          </w:p>
        </w:tc>
        <w:tc>
          <w:tcPr>
            <w:tcW w:w="12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25,538</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525,988</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647,516</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396,958</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111,045</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66,635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1,840,380</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0" w:type="dxa"/>
            <w:vAlign w:val="bottom"/>
          </w:tcPr>
          <w:p>
            <w:pPr>
              <w:spacing w:after="0"/>
              <w:rPr>
                <w:sz w:val="1"/>
                <w:szCs w:val="1"/>
                <w:color w:val="auto"/>
              </w:rPr>
            </w:pPr>
          </w:p>
        </w:tc>
      </w:tr>
      <w:tr>
        <w:trPr>
          <w:trHeight w:val="206"/>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527,097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406,982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116,261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1,859,538</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673,201</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496,336</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233,422</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83,507</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1,531,241</w:t>
            </w:r>
          </w:p>
        </w:tc>
        <w:tc>
          <w:tcPr>
            <w:tcW w:w="0" w:type="dxa"/>
            <w:vAlign w:val="bottom"/>
          </w:tcPr>
          <w:p>
            <w:pPr>
              <w:spacing w:after="0"/>
              <w:rPr>
                <w:sz w:val="1"/>
                <w:szCs w:val="1"/>
                <w:color w:val="auto"/>
              </w:rPr>
            </w:pPr>
          </w:p>
        </w:tc>
      </w:tr>
      <w:tr>
        <w:trPr>
          <w:trHeight w:val="186"/>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9,879</w:t>
            </w:r>
          </w:p>
        </w:tc>
        <w:tc>
          <w:tcPr>
            <w:tcW w:w="0" w:type="dxa"/>
            <w:vAlign w:val="bottom"/>
          </w:tcPr>
          <w:p>
            <w:pPr>
              <w:spacing w:after="0"/>
              <w:rPr>
                <w:sz w:val="1"/>
                <w:szCs w:val="1"/>
                <w:color w:val="auto"/>
              </w:rPr>
            </w:pPr>
          </w:p>
        </w:tc>
      </w:tr>
      <w:tr>
        <w:trPr>
          <w:trHeight w:val="185"/>
        </w:trPr>
        <w:tc>
          <w:tcPr>
            <w:tcW w:w="2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674,672</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500,477</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235,909</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84,467</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1,541,120</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10,902</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24,206</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975,957</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1,032,182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440,287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280,357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3,182,186</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7,374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16,742</w:t>
            </w:r>
          </w:p>
        </w:tc>
        <w:tc>
          <w:tcPr>
            <w:tcW w:w="0" w:type="dxa"/>
            <w:vAlign w:val="bottom"/>
          </w:tcPr>
          <w:p>
            <w:pPr>
              <w:spacing w:after="0"/>
              <w:rPr>
                <w:sz w:val="1"/>
                <w:szCs w:val="1"/>
                <w:color w:val="auto"/>
              </w:rPr>
            </w:pPr>
          </w:p>
        </w:tc>
      </w:tr>
      <w:tr>
        <w:trPr>
          <w:trHeight w:val="206"/>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321,084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978,537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441,176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132,369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3,198,928</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926,596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955,008</w:t>
            </w:r>
          </w:p>
        </w:tc>
        <w:tc>
          <w:tcPr>
            <w:tcW w:w="0" w:type="dxa"/>
            <w:vAlign w:val="bottom"/>
          </w:tcPr>
          <w:p>
            <w:pPr>
              <w:spacing w:after="0"/>
              <w:rPr>
                <w:sz w:val="1"/>
                <w:szCs w:val="1"/>
                <w:color w:val="auto"/>
              </w:rPr>
            </w:pPr>
          </w:p>
        </w:tc>
      </w:tr>
      <w:tr>
        <w:trPr>
          <w:trHeight w:val="186"/>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0" w:type="dxa"/>
            <w:vAlign w:val="bottom"/>
          </w:tcPr>
          <w:p>
            <w:pPr>
              <w:spacing w:after="0"/>
              <w:rPr>
                <w:sz w:val="1"/>
                <w:szCs w:val="1"/>
                <w:color w:val="auto"/>
              </w:rPr>
            </w:pPr>
          </w:p>
        </w:tc>
      </w:tr>
      <w:tr>
        <w:trPr>
          <w:trHeight w:val="185"/>
        </w:trPr>
        <w:tc>
          <w:tcPr>
            <w:tcW w:w="2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32,391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958,987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153,868</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300,590</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42,386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301,650</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45,065</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69,424</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48,814</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43,735</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318,643</w:t>
            </w:r>
          </w:p>
        </w:tc>
        <w:tc>
          <w:tcPr>
            <w:tcW w:w="0" w:type="dxa"/>
            <w:vAlign w:val="bottom"/>
          </w:tcPr>
          <w:p>
            <w:pPr>
              <w:spacing w:after="0"/>
              <w:rPr>
                <w:sz w:val="1"/>
                <w:szCs w:val="1"/>
                <w:color w:val="auto"/>
              </w:rPr>
            </w:pPr>
          </w:p>
        </w:tc>
      </w:tr>
      <w:tr>
        <w:trPr>
          <w:trHeight w:val="186"/>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17,831</w:t>
            </w:r>
          </w:p>
        </w:tc>
        <w:tc>
          <w:tcPr>
            <w:tcW w:w="0" w:type="dxa"/>
            <w:vAlign w:val="bottom"/>
          </w:tcPr>
          <w:p>
            <w:pPr>
              <w:spacing w:after="0"/>
              <w:rPr>
                <w:sz w:val="1"/>
                <w:szCs w:val="1"/>
                <w:color w:val="auto"/>
              </w:rPr>
            </w:pPr>
          </w:p>
        </w:tc>
      </w:tr>
      <w:tr>
        <w:trPr>
          <w:trHeight w:val="185"/>
        </w:trPr>
        <w:tc>
          <w:tcPr>
            <w:tcW w:w="2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46,143</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74,071</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52,384</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46,755</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336,474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0" w:type="dxa"/>
            <w:vAlign w:val="bottom"/>
          </w:tcPr>
          <w:p>
            <w:pPr>
              <w:spacing w:after="0"/>
              <w:rPr>
                <w:sz w:val="1"/>
                <w:szCs w:val="1"/>
                <w:color w:val="auto"/>
              </w:rPr>
            </w:pPr>
          </w:p>
        </w:tc>
      </w:tr>
      <w:tr>
        <w:trPr>
          <w:trHeight w:val="178"/>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39,461</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180,884</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39,516</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60" w:type="dxa"/>
            <w:vAlign w:val="bottom"/>
            <w:vMerge w:val="continue"/>
          </w:tcPr>
          <w:p>
            <w:pPr>
              <w:spacing w:after="0"/>
              <w:rPr>
                <w:sz w:val="12"/>
                <w:szCs w:val="12"/>
                <w:color w:val="auto"/>
              </w:rPr>
            </w:pPr>
          </w:p>
        </w:tc>
        <w:tc>
          <w:tcPr>
            <w:tcW w:w="160" w:type="dxa"/>
            <w:vAlign w:val="bottom"/>
          </w:tcPr>
          <w:p>
            <w:pPr>
              <w:jc w:val="right"/>
              <w:ind w:right="16"/>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3,245</w:t>
            </w:r>
          </w:p>
        </w:tc>
        <w:tc>
          <w:tcPr>
            <w:tcW w:w="120" w:type="dxa"/>
            <w:vAlign w:val="bottom"/>
          </w:tcPr>
          <w:p>
            <w:pPr>
              <w:spacing w:after="0"/>
              <w:rPr>
                <w:sz w:val="12"/>
                <w:szCs w:val="12"/>
                <w:color w:val="auto"/>
              </w:rPr>
            </w:pPr>
          </w:p>
        </w:tc>
        <w:tc>
          <w:tcPr>
            <w:tcW w:w="160" w:type="dxa"/>
            <w:vAlign w:val="bottom"/>
          </w:tcPr>
          <w:p>
            <w:pPr>
              <w:jc w:val="right"/>
              <w:ind w:right="16"/>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241</w:t>
            </w:r>
          </w:p>
        </w:tc>
        <w:tc>
          <w:tcPr>
            <w:tcW w:w="260" w:type="dxa"/>
            <w:vAlign w:val="bottom"/>
            <w:gridSpan w:val="2"/>
          </w:tcPr>
          <w:p>
            <w:pPr>
              <w:jc w:val="right"/>
              <w:ind w:right="16"/>
              <w:spacing w:after="0" w:line="14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233</w:t>
            </w:r>
          </w:p>
        </w:tc>
        <w:tc>
          <w:tcPr>
            <w:tcW w:w="120" w:type="dxa"/>
            <w:vAlign w:val="bottom"/>
          </w:tcPr>
          <w:p>
            <w:pPr>
              <w:spacing w:after="0"/>
              <w:rPr>
                <w:sz w:val="12"/>
                <w:szCs w:val="12"/>
                <w:color w:val="auto"/>
              </w:rPr>
            </w:pPr>
          </w:p>
        </w:tc>
        <w:tc>
          <w:tcPr>
            <w:tcW w:w="160" w:type="dxa"/>
            <w:vAlign w:val="bottom"/>
          </w:tcPr>
          <w:p>
            <w:pPr>
              <w:jc w:val="right"/>
              <w:ind w:right="16"/>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2"/>
                <w:szCs w:val="12"/>
                <w:color w:val="auto"/>
              </w:rPr>
            </w:pPr>
          </w:p>
        </w:tc>
        <w:tc>
          <w:tcPr>
            <w:tcW w:w="160" w:type="dxa"/>
            <w:vAlign w:val="bottom"/>
          </w:tcPr>
          <w:p>
            <w:pPr>
              <w:jc w:val="right"/>
              <w:ind w:right="16"/>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2"/>
                <w:szCs w:val="12"/>
                <w:color w:val="auto"/>
              </w:rPr>
            </w:pP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2"/>
                <w:szCs w:val="12"/>
                <w:color w:val="auto"/>
              </w:rPr>
            </w:pP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119" w:right="69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26"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2024 are presented in the following tables</w:t>
      </w:r>
      <w:r>
        <w:rPr>
          <w:rFonts w:ascii="Times New Roman" w:cs="Times New Roman" w:eastAsia="Times New Roman" w:hAnsi="Times New Roman"/>
          <w:sz w:val="18"/>
          <w:szCs w:val="18"/>
          <w:i w:val="1"/>
          <w:iCs w:val="1"/>
          <w:color w:val="auto"/>
        </w:rPr>
        <w:t>.</w:t>
      </w: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19685</wp:posOffset>
            </wp:positionV>
            <wp:extent cx="5351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51145" cy="8255"/>
                    </a:xfrm>
                    <a:prstGeom prst="rect">
                      <a:avLst/>
                    </a:prstGeom>
                    <a:noFill/>
                  </pic:spPr>
                </pic:pic>
              </a:graphicData>
            </a:graphic>
          </wp:anchor>
        </w:drawing>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6"/>
          </w:tcPr>
          <w:p>
            <w:pPr>
              <w:ind w:left="1100"/>
              <w:spacing w:after="0"/>
              <w:rPr>
                <w:sz w:val="20"/>
                <w:szCs w:val="20"/>
                <w:color w:val="auto"/>
              </w:rPr>
            </w:pPr>
            <w:r>
              <w:rPr>
                <w:rFonts w:ascii="Times New Roman" w:cs="Times New Roman" w:eastAsia="Times New Roman" w:hAnsi="Times New Roman"/>
                <w:sz w:val="16"/>
                <w:szCs w:val="16"/>
                <w:b w:val="1"/>
                <w:bCs w:val="1"/>
                <w:color w:val="auto"/>
              </w:rPr>
              <w:t>New FDMs</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8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 of Total Class of</w:t>
            </w:r>
          </w:p>
        </w:tc>
        <w:tc>
          <w:tcPr>
            <w:tcW w:w="100" w:type="dxa"/>
            <w:vAlign w:val="bottom"/>
          </w:tcPr>
          <w:p>
            <w:pPr>
              <w:spacing w:after="0"/>
              <w:rPr>
                <w:sz w:val="13"/>
                <w:szCs w:val="13"/>
                <w:color w:val="auto"/>
              </w:rPr>
            </w:pPr>
          </w:p>
        </w:tc>
        <w:tc>
          <w:tcPr>
            <w:tcW w:w="2700" w:type="dxa"/>
            <w:vAlign w:val="bottom"/>
            <w:gridSpan w:val="3"/>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Defaults within 12</w:t>
            </w:r>
          </w:p>
        </w:tc>
        <w:tc>
          <w:tcPr>
            <w:tcW w:w="0" w:type="dxa"/>
            <w:vAlign w:val="bottom"/>
          </w:tcPr>
          <w:p>
            <w:pPr>
              <w:spacing w:after="0"/>
              <w:rPr>
                <w:sz w:val="1"/>
                <w:szCs w:val="1"/>
                <w:color w:val="auto"/>
              </w:rPr>
            </w:pPr>
          </w:p>
        </w:tc>
      </w:tr>
      <w:tr>
        <w:trPr>
          <w:trHeight w:val="211"/>
        </w:trPr>
        <w:tc>
          <w:tcPr>
            <w:tcW w:w="35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months of modification</w:t>
            </w:r>
          </w:p>
        </w:tc>
        <w:tc>
          <w:tcPr>
            <w:tcW w:w="0" w:type="dxa"/>
            <w:vAlign w:val="bottom"/>
          </w:tcPr>
          <w:p>
            <w:pPr>
              <w:spacing w:after="0"/>
              <w:rPr>
                <w:sz w:val="1"/>
                <w:szCs w:val="1"/>
                <w:color w:val="auto"/>
              </w:rPr>
            </w:pPr>
          </w:p>
        </w:tc>
      </w:tr>
      <w:tr>
        <w:trPr>
          <w:trHeight w:val="206"/>
        </w:trPr>
        <w:tc>
          <w:tcPr>
            <w:tcW w:w="358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Owner occupied CRE</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Income producing CRE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33,525</w:t>
            </w:r>
          </w:p>
        </w:tc>
        <w:tc>
          <w:tcPr>
            <w:tcW w:w="184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2"/>
          </w:tcPr>
          <w:p>
            <w:pPr>
              <w:jc w:val="right"/>
              <w:ind w:righ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22,682</w:t>
            </w:r>
          </w:p>
        </w:tc>
        <w:tc>
          <w:tcPr>
            <w:tcW w:w="184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Equipment financing</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7,796</w:t>
            </w:r>
          </w:p>
        </w:tc>
        <w:tc>
          <w:tcPr>
            <w:tcW w:w="1840" w:type="dxa"/>
            <w:vAlign w:val="bottom"/>
            <w:tcBorders>
              <w:bottom w:val="single" w:sz="8" w:color="CCEEFF"/>
            </w:tcBorders>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Total commercial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67,705</w:t>
            </w:r>
          </w:p>
        </w:tc>
        <w:tc>
          <w:tcPr>
            <w:tcW w:w="184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Residential mortgage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4,103</w:t>
            </w:r>
          </w:p>
        </w:tc>
        <w:tc>
          <w:tcPr>
            <w:tcW w:w="184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Manufactured housing</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302</w:t>
            </w:r>
          </w:p>
        </w:tc>
        <w:tc>
          <w:tcPr>
            <w:tcW w:w="184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5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72,110</w:t>
            </w:r>
          </w:p>
        </w:tc>
        <w:tc>
          <w:tcPr>
            <w:tcW w:w="184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9"/>
          </w:tcPr>
          <w:p>
            <w:pPr>
              <w:ind w:left="700"/>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New FDMs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2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Weighted Average Modification</w:t>
            </w:r>
          </w:p>
        </w:tc>
        <w:tc>
          <w:tcPr>
            <w:tcW w:w="0" w:type="dxa"/>
            <w:vAlign w:val="bottom"/>
          </w:tcPr>
          <w:p>
            <w:pPr>
              <w:spacing w:after="0"/>
              <w:rPr>
                <w:sz w:val="1"/>
                <w:szCs w:val="1"/>
                <w:color w:val="auto"/>
              </w:rPr>
            </w:pPr>
          </w:p>
        </w:tc>
      </w:tr>
      <w:tr>
        <w:trPr>
          <w:trHeight w:val="17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Extension</w:t>
            </w:r>
          </w:p>
        </w:tc>
        <w:tc>
          <w:tcPr>
            <w:tcW w:w="7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223"/>
              <w:spacing w:after="0"/>
              <w:rPr>
                <w:sz w:val="20"/>
                <w:szCs w:val="20"/>
                <w:color w:val="auto"/>
              </w:rPr>
            </w:pPr>
            <w:r>
              <w:rPr>
                <w:rFonts w:ascii="Times New Roman" w:cs="Times New Roman" w:eastAsia="Times New Roman" w:hAnsi="Times New Roman"/>
                <w:sz w:val="15"/>
                <w:szCs w:val="15"/>
                <w:color w:val="auto"/>
              </w:rPr>
              <w:t>6 months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43"/>
              <w:spacing w:after="0"/>
              <w:rPr>
                <w:sz w:val="20"/>
                <w:szCs w:val="20"/>
                <w:color w:val="auto"/>
              </w:rPr>
            </w:pPr>
            <w:r>
              <w:rPr>
                <w:rFonts w:ascii="Times New Roman" w:cs="Times New Roman" w:eastAsia="Times New Roman" w:hAnsi="Times New Roman"/>
                <w:sz w:val="15"/>
                <w:szCs w:val="15"/>
                <w:color w:val="auto"/>
                <w:w w:val="99"/>
              </w:rPr>
              <w:t>1.3 years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center"/>
              <w:ind w:right="223"/>
              <w:spacing w:after="0"/>
              <w:rPr>
                <w:sz w:val="20"/>
                <w:szCs w:val="20"/>
                <w:color w:val="auto"/>
              </w:rPr>
            </w:pPr>
            <w:r>
              <w:rPr>
                <w:rFonts w:ascii="Times New Roman" w:cs="Times New Roman" w:eastAsia="Times New Roman" w:hAnsi="Times New Roman"/>
                <w:sz w:val="15"/>
                <w:szCs w:val="15"/>
                <w:color w:val="auto"/>
                <w:w w:val="97"/>
              </w:rPr>
              <w:t>12.6 years</w:t>
            </w:r>
          </w:p>
        </w:tc>
        <w:tc>
          <w:tcPr>
            <w:tcW w:w="5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Payment Delay</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40"/>
              <w:spacing w:after="0" w:line="199" w:lineRule="exact"/>
              <w:rPr>
                <w:sz w:val="20"/>
                <w:szCs w:val="20"/>
                <w:color w:val="auto"/>
              </w:rPr>
            </w:pPr>
            <w:r>
              <w:rPr>
                <w:rFonts w:ascii="Times New Roman" w:cs="Times New Roman" w:eastAsia="Times New Roman" w:hAnsi="Times New Roman"/>
                <w:sz w:val="15"/>
                <w:szCs w:val="15"/>
                <w:color w:val="auto"/>
              </w:rPr>
              <w:t xml:space="preserve">Owner occupied CRE </w:t>
            </w:r>
            <w:r>
              <w:rPr>
                <w:rFonts w:ascii="Times New Roman" w:cs="Times New Roman" w:eastAsia="Times New Roman" w:hAnsi="Times New Roman"/>
                <w:sz w:val="19"/>
                <w:szCs w:val="19"/>
                <w:color w:val="auto"/>
                <w:vertAlign w:val="superscript"/>
              </w:rPr>
              <w:t>(1)</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23"/>
              <w:spacing w:after="0"/>
              <w:rPr>
                <w:sz w:val="20"/>
                <w:szCs w:val="20"/>
                <w:color w:val="auto"/>
              </w:rPr>
            </w:pPr>
            <w:r>
              <w:rPr>
                <w:rFonts w:ascii="Times New Roman" w:cs="Times New Roman" w:eastAsia="Times New Roman" w:hAnsi="Times New Roman"/>
                <w:sz w:val="15"/>
                <w:szCs w:val="15"/>
                <w:color w:val="auto"/>
              </w:rPr>
              <w:t>5 months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80" w:type="dxa"/>
            <w:vAlign w:val="bottom"/>
          </w:tcPr>
          <w:p>
            <w:pPr>
              <w:ind w:left="240"/>
              <w:spacing w:after="0" w:line="199" w:lineRule="exact"/>
              <w:rPr>
                <w:sz w:val="20"/>
                <w:szCs w:val="20"/>
                <w:color w:val="auto"/>
              </w:rPr>
            </w:pPr>
            <w:r>
              <w:rPr>
                <w:rFonts w:ascii="Times New Roman" w:cs="Times New Roman" w:eastAsia="Times New Roman" w:hAnsi="Times New Roman"/>
                <w:sz w:val="15"/>
                <w:szCs w:val="15"/>
                <w:color w:val="auto"/>
              </w:rPr>
              <w:t xml:space="preserve">Income producing CRE </w:t>
            </w:r>
            <w:r>
              <w:rPr>
                <w:rFonts w:ascii="Times New Roman" w:cs="Times New Roman" w:eastAsia="Times New Roman" w:hAnsi="Times New Roman"/>
                <w:sz w:val="19"/>
                <w:szCs w:val="19"/>
                <w:color w:val="auto"/>
                <w:vertAlign w:val="superscript"/>
              </w:rPr>
              <w:t>(2)</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25,204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243"/>
              <w:spacing w:after="0"/>
              <w:rPr>
                <w:sz w:val="20"/>
                <w:szCs w:val="20"/>
                <w:color w:val="auto"/>
              </w:rPr>
            </w:pPr>
            <w:r>
              <w:rPr>
                <w:rFonts w:ascii="Times New Roman" w:cs="Times New Roman" w:eastAsia="Times New Roman" w:hAnsi="Times New Roman"/>
                <w:sz w:val="15"/>
                <w:szCs w:val="15"/>
                <w:color w:val="auto"/>
                <w:w w:val="99"/>
              </w:rPr>
              <w:t>1.2 years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40"/>
              <w:spacing w:after="0" w:line="199" w:lineRule="exact"/>
              <w:rPr>
                <w:sz w:val="20"/>
                <w:szCs w:val="20"/>
                <w:color w:val="auto"/>
              </w:rPr>
            </w:pPr>
            <w:r>
              <w:rPr>
                <w:rFonts w:ascii="Times New Roman" w:cs="Times New Roman" w:eastAsia="Times New Roman" w:hAnsi="Times New Roman"/>
                <w:sz w:val="15"/>
                <w:szCs w:val="15"/>
                <w:color w:val="auto"/>
              </w:rPr>
              <w:t xml:space="preserve">Commercial &amp; industrial </w:t>
            </w:r>
            <w:r>
              <w:rPr>
                <w:rFonts w:ascii="Times New Roman" w:cs="Times New Roman" w:eastAsia="Times New Roman" w:hAnsi="Times New Roman"/>
                <w:sz w:val="19"/>
                <w:szCs w:val="19"/>
                <w:color w:val="auto"/>
                <w:vertAlign w:val="superscript"/>
              </w:rPr>
              <w:t>(1)</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23"/>
              <w:spacing w:after="0"/>
              <w:rPr>
                <w:sz w:val="20"/>
                <w:szCs w:val="20"/>
                <w:color w:val="auto"/>
              </w:rPr>
            </w:pPr>
            <w:r>
              <w:rPr>
                <w:rFonts w:ascii="Times New Roman" w:cs="Times New Roman" w:eastAsia="Times New Roman" w:hAnsi="Times New Roman"/>
                <w:sz w:val="15"/>
                <w:szCs w:val="15"/>
                <w:color w:val="auto"/>
              </w:rPr>
              <w:t>6 months</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center"/>
              <w:ind w:right="223"/>
              <w:spacing w:after="0"/>
              <w:rPr>
                <w:sz w:val="20"/>
                <w:szCs w:val="20"/>
                <w:color w:val="auto"/>
              </w:rPr>
            </w:pPr>
            <w:r>
              <w:rPr>
                <w:rFonts w:ascii="Times New Roman" w:cs="Times New Roman" w:eastAsia="Times New Roman" w:hAnsi="Times New Roman"/>
                <w:sz w:val="15"/>
                <w:szCs w:val="15"/>
                <w:color w:val="auto"/>
              </w:rPr>
              <w:t>6 months</w:t>
            </w:r>
          </w:p>
        </w:tc>
        <w:tc>
          <w:tcPr>
            <w:tcW w:w="5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27,866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Payment Delay and Extension</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2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Payment delay: 4 months; Extension: 3.0 years</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Equipment financing</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7,796</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5"/>
          </w:tcPr>
          <w:p>
            <w:pPr>
              <w:jc w:val="center"/>
              <w:ind w:right="80"/>
              <w:spacing w:after="0"/>
              <w:rPr>
                <w:sz w:val="20"/>
                <w:szCs w:val="20"/>
                <w:color w:val="auto"/>
              </w:rPr>
            </w:pPr>
            <w:r>
              <w:rPr>
                <w:rFonts w:ascii="Times New Roman" w:cs="Times New Roman" w:eastAsia="Times New Roman" w:hAnsi="Times New Roman"/>
                <w:sz w:val="15"/>
                <w:szCs w:val="15"/>
                <w:color w:val="auto"/>
                <w:w w:val="99"/>
              </w:rPr>
              <w:t>Extension and payment delay: 8 months</w:t>
            </w: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 and Extension</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Income producing CRE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8,321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2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Rate reduction: 304 basis points; Extension: 4.8 years</w:t>
            </w:r>
          </w:p>
        </w:tc>
        <w:tc>
          <w:tcPr>
            <w:tcW w:w="0" w:type="dxa"/>
            <w:vAlign w:val="bottom"/>
          </w:tcPr>
          <w:p>
            <w:pPr>
              <w:spacing w:after="0"/>
              <w:rPr>
                <w:sz w:val="1"/>
                <w:szCs w:val="1"/>
                <w:color w:val="auto"/>
              </w:rPr>
            </w:pPr>
          </w:p>
        </w:tc>
      </w:tr>
      <w:tr>
        <w:trPr>
          <w:trHeight w:val="196"/>
        </w:trPr>
        <w:tc>
          <w:tcPr>
            <w:tcW w:w="35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color w:val="auto"/>
              </w:rPr>
              <w:t>Rate reduction: 350 basis points; Extension: 7.8 years</w:t>
            </w: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2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Rate reduction: 394 basis points; Extension: 5.4 years</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Manufactured housing</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5"/>
          </w:tcPr>
          <w:p>
            <w:pPr>
              <w:jc w:val="center"/>
              <w:ind w:right="80"/>
              <w:spacing w:after="0"/>
              <w:rPr>
                <w:sz w:val="20"/>
                <w:szCs w:val="20"/>
                <w:color w:val="auto"/>
              </w:rPr>
            </w:pPr>
            <w:r>
              <w:rPr>
                <w:rFonts w:ascii="Times New Roman" w:cs="Times New Roman" w:eastAsia="Times New Roman" w:hAnsi="Times New Roman"/>
                <w:sz w:val="15"/>
                <w:szCs w:val="15"/>
                <w:color w:val="auto"/>
              </w:rPr>
              <w:t>Rate reduction: 539 basis points; Extension: 3.6 years</w:t>
            </w: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 and Payment Delay</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2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Rate reduction: 75 basis points; Payment delay: 6 months</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5"/>
          </w:tcPr>
          <w:p>
            <w:pPr>
              <w:jc w:val="center"/>
              <w:ind w:right="80"/>
              <w:spacing w:after="0"/>
              <w:rPr>
                <w:sz w:val="20"/>
                <w:szCs w:val="20"/>
                <w:color w:val="auto"/>
              </w:rPr>
            </w:pPr>
            <w:r>
              <w:rPr>
                <w:rFonts w:ascii="Times New Roman" w:cs="Times New Roman" w:eastAsia="Times New Roman" w:hAnsi="Times New Roman"/>
                <w:sz w:val="15"/>
                <w:szCs w:val="15"/>
                <w:color w:val="auto"/>
                <w:w w:val="99"/>
              </w:rPr>
              <w:t>Rate reduction: 232 basis points; Payment delay: 9 months</w:t>
            </w: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 Payment Delay &amp; Extension</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520" w:type="dxa"/>
            <w:vAlign w:val="bottom"/>
            <w:gridSpan w:val="5"/>
            <w:shd w:val="clear" w:color="auto" w:fill="CCEEFF"/>
          </w:tcPr>
          <w:p>
            <w:pPr>
              <w:jc w:val="center"/>
              <w:ind w:right="80"/>
              <w:spacing w:after="0" w:line="146" w:lineRule="exact"/>
              <w:rPr>
                <w:sz w:val="20"/>
                <w:szCs w:val="20"/>
                <w:color w:val="auto"/>
              </w:rPr>
            </w:pPr>
            <w:r>
              <w:rPr>
                <w:rFonts w:ascii="Times New Roman" w:cs="Times New Roman" w:eastAsia="Times New Roman" w:hAnsi="Times New Roman"/>
                <w:sz w:val="15"/>
                <w:szCs w:val="15"/>
                <w:color w:val="auto"/>
                <w:w w:val="99"/>
              </w:rPr>
              <w:t>Rate reduction: 75 basis points; Payment delay: 6 months;</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ind w:left="1424"/>
              <w:spacing w:after="0"/>
              <w:rPr>
                <w:sz w:val="20"/>
                <w:szCs w:val="20"/>
                <w:color w:val="auto"/>
              </w:rPr>
            </w:pPr>
            <w:r>
              <w:rPr>
                <w:rFonts w:ascii="Times New Roman" w:cs="Times New Roman" w:eastAsia="Times New Roman" w:hAnsi="Times New Roman"/>
                <w:sz w:val="15"/>
                <w:szCs w:val="15"/>
                <w:color w:val="auto"/>
                <w:w w:val="99"/>
              </w:rPr>
              <w:t>Extension: 3.0 years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0" w:type="dxa"/>
            <w:vAlign w:val="bottom"/>
            <w:gridSpan w:val="6"/>
          </w:tcPr>
          <w:p>
            <w:pPr>
              <w:jc w:val="center"/>
              <w:spacing w:after="0" w:line="146" w:lineRule="exact"/>
              <w:rPr>
                <w:sz w:val="20"/>
                <w:szCs w:val="20"/>
                <w:color w:val="auto"/>
              </w:rPr>
            </w:pPr>
            <w:r>
              <w:rPr>
                <w:rFonts w:ascii="Times New Roman" w:cs="Times New Roman" w:eastAsia="Times New Roman" w:hAnsi="Times New Roman"/>
                <w:sz w:val="15"/>
                <w:szCs w:val="15"/>
                <w:color w:val="auto"/>
              </w:rPr>
              <w:t>Rate reduction: 273 basis points; Payment delay: 6 months; Extension: 4.6</w:t>
            </w:r>
          </w:p>
        </w:tc>
        <w:tc>
          <w:tcPr>
            <w:tcW w:w="0" w:type="dxa"/>
            <w:vAlign w:val="bottom"/>
          </w:tcPr>
          <w:p>
            <w:pPr>
              <w:spacing w:after="0"/>
              <w:rPr>
                <w:sz w:val="1"/>
                <w:szCs w:val="1"/>
                <w:color w:val="auto"/>
              </w:rPr>
            </w:pPr>
          </w:p>
        </w:tc>
      </w:tr>
      <w:tr>
        <w:trPr>
          <w:trHeight w:val="208"/>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center"/>
              <w:ind w:right="223"/>
              <w:spacing w:after="0"/>
              <w:rPr>
                <w:sz w:val="20"/>
                <w:szCs w:val="20"/>
                <w:color w:val="auto"/>
              </w:rPr>
            </w:pPr>
            <w:r>
              <w:rPr>
                <w:rFonts w:ascii="Times New Roman" w:cs="Times New Roman" w:eastAsia="Times New Roman" w:hAnsi="Times New Roman"/>
                <w:sz w:val="15"/>
                <w:szCs w:val="15"/>
                <w:color w:val="auto"/>
              </w:rPr>
              <w:t>years</w:t>
            </w:r>
          </w:p>
        </w:tc>
        <w:tc>
          <w:tcPr>
            <w:tcW w:w="5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72,110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firstLine="4"/>
        <w:spacing w:after="0" w:line="221" w:lineRule="auto"/>
        <w:tabs>
          <w:tab w:leader="none" w:pos="48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Payment delay FDMs in bankruptcy are excluded from the weighted average payment delay calculation.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Generally payment delays in this category reflect principal payment delays, while interest payments continue in accordance with loan terms.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32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aging category and accrual status of loans modified under the terms of a FDM during 2024 on an amortized cost basis as of December 31, 2024.</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2"/>
                <w:szCs w:val="12"/>
                <w:color w:val="auto"/>
              </w:rPr>
            </w:pPr>
          </w:p>
        </w:tc>
        <w:tc>
          <w:tcPr>
            <w:tcW w:w="96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6"/>
                <w:szCs w:val="16"/>
                <w:b w:val="1"/>
                <w:bCs w:val="1"/>
                <w:color w:val="auto"/>
              </w:rPr>
              <w:t>Total New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FDMs</w:t>
            </w:r>
          </w:p>
        </w:tc>
        <w:tc>
          <w:tcPr>
            <w:tcW w:w="0" w:type="dxa"/>
            <w:vAlign w:val="bottom"/>
          </w:tcPr>
          <w:p>
            <w:pPr>
              <w:spacing w:after="0"/>
              <w:rPr>
                <w:sz w:val="1"/>
                <w:szCs w:val="1"/>
                <w:color w:val="auto"/>
              </w:rPr>
            </w:pPr>
          </w:p>
        </w:tc>
      </w:tr>
      <w:tr>
        <w:trPr>
          <w:trHeight w:val="17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17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22,682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67,705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72,110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ind w:left="320" w:right="60"/>
        <w:spacing w:after="0" w:line="27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2023 are presented in the following table.</w:t>
      </w:r>
    </w:p>
    <w:p>
      <w:pPr>
        <w:ind w:left="45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19685</wp:posOffset>
            </wp:positionV>
            <wp:extent cx="66973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97345" cy="8255"/>
                    </a:xfrm>
                    <a:prstGeom prst="rect">
                      <a:avLst/>
                    </a:prstGeom>
                    <a:noFill/>
                  </pic:spPr>
                </pic:pic>
              </a:graphicData>
            </a:graphic>
          </wp:anchor>
        </w:drawing>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New FDMs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19685</wp:posOffset>
            </wp:positionV>
            <wp:extent cx="41897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89730" cy="8255"/>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Amortized Cost</w:t>
      </w:r>
    </w:p>
    <w:p>
      <w:pPr>
        <w:ind w:left="4460"/>
        <w:spacing w:after="0"/>
        <w:rPr>
          <w:sz w:val="20"/>
          <w:szCs w:val="20"/>
          <w:color w:val="auto"/>
        </w:rPr>
      </w:pPr>
      <w:r>
        <w:rPr>
          <w:rFonts w:ascii="Times New Roman" w:cs="Times New Roman" w:eastAsia="Times New Roman" w:hAnsi="Times New Roman"/>
          <w:sz w:val="16"/>
          <w:szCs w:val="16"/>
          <w:b w:val="1"/>
          <w:bCs w:val="1"/>
          <w:color w:val="auto"/>
        </w:rPr>
        <w:t>by Type of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6985</wp:posOffset>
            </wp:positionV>
            <wp:extent cx="33991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of Total Class</w:t>
            </w:r>
          </w:p>
        </w:tc>
        <w:tc>
          <w:tcPr>
            <w:tcW w:w="120" w:type="dxa"/>
            <w:vAlign w:val="bottom"/>
          </w:tcPr>
          <w:p>
            <w:pPr>
              <w:spacing w:after="0"/>
              <w:rPr>
                <w:sz w:val="16"/>
                <w:szCs w:val="16"/>
                <w:color w:val="auto"/>
              </w:rPr>
            </w:pPr>
          </w:p>
        </w:tc>
        <w:tc>
          <w:tcPr>
            <w:tcW w:w="14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FDMs defaulted</w:t>
            </w: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Reduction &amp;</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Delay &amp;</w:t>
            </w:r>
          </w:p>
        </w:tc>
        <w:tc>
          <w:tcPr>
            <w:tcW w:w="220" w:type="dxa"/>
            <w:vAlign w:val="bottom"/>
          </w:tcPr>
          <w:p>
            <w:pPr>
              <w:spacing w:after="0"/>
              <w:rPr>
                <w:sz w:val="13"/>
                <w:szCs w:val="13"/>
                <w:color w:val="auto"/>
              </w:rPr>
            </w:pPr>
          </w:p>
        </w:tc>
        <w:tc>
          <w:tcPr>
            <w:tcW w:w="82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41"/>
              <w:spacing w:after="0" w:line="159" w:lineRule="exact"/>
              <w:rPr>
                <w:sz w:val="20"/>
                <w:szCs w:val="20"/>
                <w:color w:val="auto"/>
              </w:rPr>
            </w:pPr>
            <w:r>
              <w:rPr>
                <w:rFonts w:ascii="Times New Roman" w:cs="Times New Roman" w:eastAsia="Times New Roman" w:hAnsi="Times New Roman"/>
                <w:sz w:val="16"/>
                <w:szCs w:val="16"/>
                <w:b w:val="1"/>
                <w:bCs w:val="1"/>
                <w:color w:val="auto"/>
                <w:w w:val="98"/>
              </w:rPr>
              <w:t>within 12 months of</w:t>
            </w: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Extension</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Receivable</w:t>
            </w:r>
          </w:p>
        </w:tc>
        <w:tc>
          <w:tcPr>
            <w:tcW w:w="120" w:type="dxa"/>
            <w:vAlign w:val="bottom"/>
          </w:tcPr>
          <w:p>
            <w:pPr>
              <w:spacing w:after="0"/>
              <w:rPr>
                <w:sz w:val="18"/>
                <w:szCs w:val="18"/>
                <w:color w:val="auto"/>
              </w:rPr>
            </w:pPr>
          </w:p>
        </w:tc>
        <w:tc>
          <w:tcPr>
            <w:tcW w:w="14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193"/>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83,924</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46,960</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18,143</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207"/>
        </w:trPr>
        <w:tc>
          <w:tcPr>
            <w:tcW w:w="2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153,297</w:t>
            </w:r>
          </w:p>
        </w:tc>
        <w:tc>
          <w:tcPr>
            <w:tcW w:w="1240" w:type="dxa"/>
            <w:vAlign w:val="bottom"/>
            <w:tcBorders>
              <w:top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254</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2"/>
        </w:trPr>
        <w:tc>
          <w:tcPr>
            <w:tcW w:w="2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154,689</w:t>
            </w:r>
          </w:p>
        </w:tc>
        <w:tc>
          <w:tcPr>
            <w:tcW w:w="1240" w:type="dxa"/>
            <w:vAlign w:val="bottom"/>
            <w:tcBorders>
              <w:top w:val="single" w:sz="8" w:color="CCEEFF"/>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paragraphs further describe the terms of FDMs executed during 2023:</w:t>
      </w:r>
    </w:p>
    <w:p>
      <w:pPr>
        <w:spacing w:after="0" w:line="24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Equipment financing FDMs typically consist of extensions and/or payment delays in which the borrower receives one or more three-month payment delays and/or extensions beyond the original maturity. For the remainder of extension FDMs occurring during 2023, the weighted average extension granted was approximately nine months.</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Payment delay FDMs had a weighted average payment delay of approximately three months. $2.79 million of commercial and industrial payment delay FDMs are in bankruptcy status and were excluded from the weighted average payment delay calculation.</w:t>
      </w:r>
    </w:p>
    <w:p>
      <w:pPr>
        <w:spacing w:after="0" w:line="19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Commercial and industrial payment delay and extension FDMs received a weighted average payment delay and extension of approximately eleven months.</w:t>
      </w:r>
    </w:p>
    <w:p>
      <w:pPr>
        <w:spacing w:after="0" w:line="19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Income producing CRE FDMs categorized as rate reduction and extensions resulted in a decrease in weighted average interest rate of 144 basis points and extended the weighted average maturity by approximately two years. Residential loan type rate reduction and extension FDMs resulted in a decrease in weighted average interest rate of 614 basis points and extended the weighted average maturity by approximately 18 years.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14"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For all periods presented, United used a one-year reasonable and supportable forecast period. Expected credit losses were estimated using a regression model for each segment based on historical data from peer banks combined with a baseline economic forecast to predict the change in credit losses. These estimates were then combined with a starting value that was based on United’s recent charge-off experience to produce an expected default rate, with the results subject to a floor. In the case of commercial construction, income producing CRE, multifamily loans (included in income producing CRE) and commercial &amp; industrial loans, at December 31, 2023, the expected default rate was adjusted by a model overlay based on expectations of future performance. Beginning in 2024, United adjusted the model assumption regarding the look-back period used to determine the starting value for the expected default rate, which decreased the need for model overlays and, collectively, had no material impact on the ACL. Accordingly, at December 31, 2024, the expected default rate for only commercial &amp; industrial loans was adjusted downward by a model overlay based on expectations of future performance.</w:t>
      </w:r>
    </w:p>
    <w:p>
      <w:pPr>
        <w:spacing w:after="0" w:line="2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At December 31, 2024, the baseline economic forecast had improved slightly relative to the forecast at December 31, 2023. At December 31, 2024, United applied a qualitative adjustment to the model output for loans in certain western North Carolina areas affected by Hurricane Helene. This qualitative adjustment added $9.80 million to the ACL balance at December 31, 2024.</w:t>
      </w:r>
    </w:p>
    <w:p>
      <w:pPr>
        <w:spacing w:after="0" w:line="204"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At December 31, 2023, the baseline forecast was slightly better than at December 31, 2022. However, the increase in United’s charge-offs raised the initial expected default rates and thus contributed to a higher ACL level at December 31, 2023. At December 31, 2023, United applied qualitative adjustments to the model output for the residential mortgage and income producing commercial real estate portfolios to account for the ongoing performance stability of these two portfolios. United also applied qualitative adjustments to the equipment finance portfolio due to an elevated default rate that resulted from a higher level of recent charge-offs that was mostly coming from the long-haul trucking equipment segment comprising a small portion of the portfolio deemed not representative of the entire equipment financing portfolio.</w:t>
      </w:r>
    </w:p>
    <w:p>
      <w:pPr>
        <w:spacing w:after="0" w:line="21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balance and activity in the ACL by portfolio segment for the periods indicated:</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2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3"/>
                <w:szCs w:val="13"/>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80" w:type="dxa"/>
            <w:vAlign w:val="bottom"/>
          </w:tcPr>
          <w:p>
            <w:pPr>
              <w:spacing w:after="0"/>
              <w:rPr>
                <w:sz w:val="13"/>
                <w:szCs w:val="13"/>
                <w:color w:val="auto"/>
              </w:rPr>
            </w:pPr>
          </w:p>
        </w:tc>
        <w:tc>
          <w:tcPr>
            <w:tcW w:w="1120" w:type="dxa"/>
            <w:vAlign w:val="bottom"/>
          </w:tcPr>
          <w:p>
            <w:pPr>
              <w:jc w:val="right"/>
              <w:ind w:right="409"/>
              <w:spacing w:after="0" w:line="15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1"/>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8"/>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 occupied CRE</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19,873</w:t>
            </w:r>
          </w:p>
        </w:tc>
        <w:tc>
          <w:tcPr>
            <w:tcW w:w="0" w:type="dxa"/>
            <w:vAlign w:val="bottom"/>
          </w:tcPr>
          <w:p>
            <w:pPr>
              <w:spacing w:after="0"/>
              <w:rPr>
                <w:sz w:val="1"/>
                <w:szCs w:val="1"/>
                <w:color w:val="auto"/>
              </w:rPr>
            </w:pPr>
          </w:p>
        </w:tc>
      </w:tr>
      <w:tr>
        <w:trPr>
          <w:trHeight w:val="191"/>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producing CRE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41,427</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35,441</w:t>
            </w:r>
          </w:p>
        </w:tc>
        <w:tc>
          <w:tcPr>
            <w:tcW w:w="0" w:type="dxa"/>
            <w:vAlign w:val="bottom"/>
          </w:tcPr>
          <w:p>
            <w:pPr>
              <w:spacing w:after="0"/>
              <w:rPr>
                <w:sz w:val="1"/>
                <w:szCs w:val="1"/>
                <w:color w:val="auto"/>
              </w:rPr>
            </w:pPr>
          </w:p>
        </w:tc>
      </w:tr>
      <w:tr>
        <w:trPr>
          <w:trHeight w:val="191"/>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16,370</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47,415</w:t>
            </w:r>
          </w:p>
        </w:tc>
        <w:tc>
          <w:tcPr>
            <w:tcW w:w="0" w:type="dxa"/>
            <w:vAlign w:val="bottom"/>
          </w:tcPr>
          <w:p>
            <w:pPr>
              <w:spacing w:after="0"/>
              <w:rPr>
                <w:sz w:val="1"/>
                <w:szCs w:val="1"/>
                <w:color w:val="auto"/>
              </w:rPr>
            </w:pPr>
          </w:p>
        </w:tc>
      </w:tr>
      <w:tr>
        <w:trPr>
          <w:trHeight w:val="191"/>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32,259</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0" w:type="dxa"/>
            <w:vAlign w:val="bottom"/>
          </w:tcPr>
          <w:p>
            <w:pPr>
              <w:spacing w:after="0"/>
              <w:rPr>
                <w:sz w:val="1"/>
                <w:szCs w:val="1"/>
                <w:color w:val="auto"/>
              </w:rPr>
            </w:pPr>
          </w:p>
        </w:tc>
      </w:tr>
      <w:tr>
        <w:trPr>
          <w:trHeight w:val="191"/>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99"/>
        </w:trPr>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ACL - loans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206,998</w:t>
            </w:r>
          </w:p>
        </w:tc>
        <w:tc>
          <w:tcPr>
            <w:tcW w:w="0" w:type="dxa"/>
            <w:vAlign w:val="bottom"/>
          </w:tcPr>
          <w:p>
            <w:pPr>
              <w:spacing w:after="0"/>
              <w:rPr>
                <w:sz w:val="1"/>
                <w:szCs w:val="1"/>
                <w:color w:val="auto"/>
              </w:rPr>
            </w:pPr>
          </w:p>
        </w:tc>
      </w:tr>
      <w:tr>
        <w:trPr>
          <w:trHeight w:val="192"/>
        </w:trPr>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ACL - unfunded commitments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0" w:type="dxa"/>
            <w:vAlign w:val="bottom"/>
          </w:tcPr>
          <w:p>
            <w:pPr>
              <w:spacing w:after="0"/>
              <w:rPr>
                <w:sz w:val="1"/>
                <w:szCs w:val="1"/>
                <w:color w:val="auto"/>
              </w:rPr>
            </w:pPr>
          </w:p>
        </w:tc>
      </w:tr>
      <w:tr>
        <w:trPr>
          <w:trHeight w:val="224"/>
        </w:trPr>
        <w:tc>
          <w:tcPr>
            <w:tcW w:w="31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ACL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217,389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Initial ACL- PCD</w:t>
            </w:r>
          </w:p>
        </w:tc>
        <w:tc>
          <w:tcPr>
            <w:tcW w:w="1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8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8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3"/>
                <w:szCs w:val="13"/>
                <w:color w:val="auto"/>
              </w:rPr>
            </w:pPr>
          </w:p>
        </w:tc>
        <w:tc>
          <w:tcPr>
            <w:tcW w:w="9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9"/>
        </w:trPr>
        <w:tc>
          <w:tcPr>
            <w:tcW w:w="3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7"/>
                <w:szCs w:val="17"/>
                <w:color w:val="auto"/>
              </w:rPr>
            </w:pPr>
          </w:p>
        </w:tc>
        <w:tc>
          <w:tcPr>
            <w:tcW w:w="1000" w:type="dxa"/>
            <w:vAlign w:val="bottom"/>
            <w:gridSpan w:val="2"/>
          </w:tcPr>
          <w:p>
            <w:pPr>
              <w:jc w:val="center"/>
              <w:ind w:right="300"/>
              <w:spacing w:after="0" w:line="199" w:lineRule="exact"/>
              <w:rPr>
                <w:sz w:val="20"/>
                <w:szCs w:val="20"/>
                <w:color w:val="auto"/>
              </w:rPr>
            </w:pPr>
            <w:r>
              <w:rPr>
                <w:rFonts w:ascii="Times New Roman" w:cs="Times New Roman" w:eastAsia="Times New Roman" w:hAnsi="Times New Roman"/>
                <w:sz w:val="14"/>
                <w:szCs w:val="14"/>
                <w:b w:val="1"/>
                <w:bCs w:val="1"/>
                <w:color w:val="auto"/>
                <w:w w:val="92"/>
              </w:rPr>
              <w:t>loans</w:t>
            </w:r>
            <w:r>
              <w:rPr>
                <w:rFonts w:ascii="Times New Roman" w:cs="Times New Roman" w:eastAsia="Times New Roman" w:hAnsi="Times New Roman"/>
                <w:sz w:val="18"/>
                <w:szCs w:val="18"/>
                <w:b w:val="1"/>
                <w:bCs w:val="1"/>
                <w:color w:val="auto"/>
                <w:w w:val="92"/>
                <w:vertAlign w:val="superscript"/>
              </w:rPr>
              <w:t>(1)</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2"/>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 occupied CRE</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23,542</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producing CRE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47,755</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30,890</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21,741</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33,383</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28,219</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9,647</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10,339</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99"/>
        </w:trPr>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ACL - loans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208,071</w:t>
            </w:r>
          </w:p>
        </w:tc>
        <w:tc>
          <w:tcPr>
            <w:tcW w:w="0" w:type="dxa"/>
            <w:vAlign w:val="bottom"/>
          </w:tcPr>
          <w:p>
            <w:pPr>
              <w:spacing w:after="0"/>
              <w:rPr>
                <w:sz w:val="1"/>
                <w:szCs w:val="1"/>
                <w:color w:val="auto"/>
              </w:rPr>
            </w:pPr>
          </w:p>
        </w:tc>
      </w:tr>
      <w:tr>
        <w:trPr>
          <w:trHeight w:val="192"/>
        </w:trPr>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ACL - unfunded commitments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16,057</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ACL</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224,128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460" w:hanging="136"/>
        <w:spacing w:after="0"/>
        <w:tabs>
          <w:tab w:leader="none" w:pos="46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initial ACL related to PCD loans acquired in the Progress and First Miami transactions.</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Initial ACL- PCD</w:t>
            </w:r>
          </w:p>
        </w:tc>
        <w:tc>
          <w:tcPr>
            <w:tcW w:w="1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8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8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3"/>
                <w:szCs w:val="13"/>
                <w:color w:val="auto"/>
              </w:rPr>
            </w:pPr>
          </w:p>
        </w:tc>
        <w:tc>
          <w:tcPr>
            <w:tcW w:w="9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9"/>
        </w:trPr>
        <w:tc>
          <w:tcPr>
            <w:tcW w:w="3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7"/>
                <w:szCs w:val="17"/>
                <w:color w:val="auto"/>
              </w:rPr>
            </w:pPr>
          </w:p>
        </w:tc>
        <w:tc>
          <w:tcPr>
            <w:tcW w:w="1000" w:type="dxa"/>
            <w:vAlign w:val="bottom"/>
            <w:gridSpan w:val="2"/>
          </w:tcPr>
          <w:p>
            <w:pPr>
              <w:jc w:val="center"/>
              <w:ind w:right="300"/>
              <w:spacing w:after="0" w:line="199" w:lineRule="exact"/>
              <w:rPr>
                <w:sz w:val="20"/>
                <w:szCs w:val="20"/>
                <w:color w:val="auto"/>
              </w:rPr>
            </w:pPr>
            <w:r>
              <w:rPr>
                <w:rFonts w:ascii="Times New Roman" w:cs="Times New Roman" w:eastAsia="Times New Roman" w:hAnsi="Times New Roman"/>
                <w:sz w:val="14"/>
                <w:szCs w:val="14"/>
                <w:b w:val="1"/>
                <w:bCs w:val="1"/>
                <w:color w:val="auto"/>
                <w:w w:val="92"/>
              </w:rPr>
              <w:t>loans</w:t>
            </w:r>
            <w:r>
              <w:rPr>
                <w:rFonts w:ascii="Times New Roman" w:cs="Times New Roman" w:eastAsia="Times New Roman" w:hAnsi="Times New Roman"/>
                <w:sz w:val="18"/>
                <w:szCs w:val="18"/>
                <w:b w:val="1"/>
                <w:bCs w:val="1"/>
                <w:color w:val="auto"/>
                <w:w w:val="92"/>
                <w:vertAlign w:val="superscript"/>
              </w:rPr>
              <w:t>(1)</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2"/>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 occupied CRE</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19,834</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producing CRE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32,082</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23,504</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20,120</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23,395</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20,809</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8,707</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99"/>
        </w:trPr>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ACL - loans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159,357</w:t>
            </w:r>
          </w:p>
        </w:tc>
        <w:tc>
          <w:tcPr>
            <w:tcW w:w="0" w:type="dxa"/>
            <w:vAlign w:val="bottom"/>
          </w:tcPr>
          <w:p>
            <w:pPr>
              <w:spacing w:after="0"/>
              <w:rPr>
                <w:sz w:val="1"/>
                <w:szCs w:val="1"/>
                <w:color w:val="auto"/>
              </w:rPr>
            </w:pPr>
          </w:p>
        </w:tc>
      </w:tr>
      <w:tr>
        <w:trPr>
          <w:trHeight w:val="192"/>
        </w:trPr>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ACL - unfunded commitments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21,163</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ACL</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180,520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460" w:hanging="136"/>
        <w:spacing w:after="0"/>
        <w:tabs>
          <w:tab w:leader="none" w:pos="460" w:val="left"/>
        </w:tabs>
        <w:numPr>
          <w:ilvl w:val="1"/>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initial ACL related to PCD loans acquired in the Reliant transaction.</w:t>
      </w:r>
    </w:p>
    <w:p>
      <w:pPr>
        <w:spacing w:after="0" w:line="200" w:lineRule="exact"/>
        <w:rPr>
          <w:rFonts w:ascii="Times New Roman" w:cs="Times New Roman" w:eastAsia="Times New Roman" w:hAnsi="Times New Roman"/>
          <w:sz w:val="17"/>
          <w:szCs w:val="17"/>
          <w:color w:val="auto"/>
          <w:vertAlign w:val="superscript"/>
        </w:rPr>
      </w:pPr>
    </w:p>
    <w:p>
      <w:pPr>
        <w:spacing w:after="0" w:line="267" w:lineRule="exact"/>
        <w:rPr>
          <w:rFonts w:ascii="Times New Roman" w:cs="Times New Roman" w:eastAsia="Times New Roman" w:hAnsi="Times New Roman"/>
          <w:sz w:val="17"/>
          <w:szCs w:val="17"/>
          <w:color w:val="auto"/>
          <w:vertAlign w:val="superscript"/>
        </w:rPr>
      </w:pPr>
    </w:p>
    <w:p>
      <w:pPr>
        <w:ind w:left="380" w:hanging="374"/>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and Equipment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Premises and equipment are summarized as follows as of the dates indicated:</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9"/>
        </w:trPr>
        <w:tc>
          <w:tcPr>
            <w:tcW w:w="57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60" w:type="dxa"/>
            <w:vAlign w:val="bottom"/>
            <w:tcBorders>
              <w:bottom w:val="single" w:sz="8" w:color="CCEEFF"/>
            </w:tcBorders>
          </w:tcPr>
          <w:p>
            <w:pPr>
              <w:spacing w:after="0"/>
              <w:rPr>
                <w:sz w:val="18"/>
                <w:szCs w:val="18"/>
                <w:color w:val="auto"/>
              </w:rPr>
            </w:pPr>
          </w:p>
        </w:tc>
      </w:tr>
      <w:tr>
        <w:trPr>
          <w:trHeight w:val="206"/>
        </w:trPr>
        <w:tc>
          <w:tcPr>
            <w:tcW w:w="5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114,368</w:t>
            </w:r>
          </w:p>
        </w:tc>
        <w:tc>
          <w:tcPr>
            <w:tcW w:w="1560" w:type="dxa"/>
            <w:vAlign w:val="bottom"/>
            <w:shd w:val="clear" w:color="auto" w:fill="CCEEFF"/>
          </w:tcPr>
          <w:p>
            <w:pPr>
              <w:spacing w:after="0"/>
              <w:rPr>
                <w:sz w:val="17"/>
                <w:szCs w:val="17"/>
                <w:color w:val="auto"/>
              </w:rPr>
            </w:pPr>
          </w:p>
        </w:tc>
      </w:tr>
      <w:tr>
        <w:trPr>
          <w:trHeight w:val="210"/>
        </w:trPr>
        <w:tc>
          <w:tcPr>
            <w:tcW w:w="574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232,321</w:t>
            </w:r>
          </w:p>
        </w:tc>
        <w:tc>
          <w:tcPr>
            <w:tcW w:w="1560" w:type="dxa"/>
            <w:vAlign w:val="bottom"/>
          </w:tcPr>
          <w:p>
            <w:pPr>
              <w:spacing w:after="0"/>
              <w:rPr>
                <w:sz w:val="18"/>
                <w:szCs w:val="18"/>
                <w:color w:val="auto"/>
              </w:rPr>
            </w:pPr>
          </w:p>
        </w:tc>
      </w:tr>
      <w:tr>
        <w:trPr>
          <w:trHeight w:val="214"/>
        </w:trPr>
        <w:tc>
          <w:tcPr>
            <w:tcW w:w="5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Furniture and equipment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138,155</w:t>
            </w:r>
          </w:p>
        </w:tc>
        <w:tc>
          <w:tcPr>
            <w:tcW w:w="1560" w:type="dxa"/>
            <w:vAlign w:val="bottom"/>
            <w:shd w:val="clear" w:color="auto" w:fill="CCEEFF"/>
          </w:tcPr>
          <w:p>
            <w:pPr>
              <w:spacing w:after="0"/>
              <w:rPr>
                <w:sz w:val="18"/>
                <w:szCs w:val="18"/>
                <w:color w:val="auto"/>
              </w:rPr>
            </w:pPr>
          </w:p>
        </w:tc>
      </w:tr>
      <w:tr>
        <w:trPr>
          <w:trHeight w:val="210"/>
        </w:trPr>
        <w:tc>
          <w:tcPr>
            <w:tcW w:w="57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71,435</w:t>
            </w:r>
          </w:p>
        </w:tc>
        <w:tc>
          <w:tcPr>
            <w:tcW w:w="1560" w:type="dxa"/>
            <w:vAlign w:val="bottom"/>
            <w:tcBorders>
              <w:bottom w:val="single" w:sz="8" w:color="CCEEFF"/>
            </w:tcBorders>
          </w:tcPr>
          <w:p>
            <w:pPr>
              <w:spacing w:after="0"/>
              <w:rPr>
                <w:sz w:val="18"/>
                <w:szCs w:val="18"/>
                <w:color w:val="auto"/>
              </w:rPr>
            </w:pPr>
          </w:p>
        </w:tc>
      </w:tr>
      <w:tr>
        <w:trPr>
          <w:trHeight w:val="207"/>
        </w:trPr>
        <w:tc>
          <w:tcPr>
            <w:tcW w:w="5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556,279</w:t>
            </w:r>
          </w:p>
        </w:tc>
        <w:tc>
          <w:tcPr>
            <w:tcW w:w="1560" w:type="dxa"/>
            <w:vAlign w:val="bottom"/>
            <w:shd w:val="clear" w:color="auto" w:fill="CCEEFF"/>
          </w:tcPr>
          <w:p>
            <w:pPr>
              <w:spacing w:after="0"/>
              <w:rPr>
                <w:sz w:val="18"/>
                <w:szCs w:val="18"/>
                <w:color w:val="auto"/>
              </w:rPr>
            </w:pPr>
          </w:p>
        </w:tc>
      </w:tr>
      <w:tr>
        <w:trPr>
          <w:trHeight w:val="210"/>
        </w:trPr>
        <w:tc>
          <w:tcPr>
            <w:tcW w:w="57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(179,100)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(177,858)</w:t>
            </w:r>
          </w:p>
        </w:tc>
        <w:tc>
          <w:tcPr>
            <w:tcW w:w="1560" w:type="dxa"/>
            <w:vAlign w:val="bottom"/>
            <w:tcBorders>
              <w:bottom w:val="single" w:sz="8" w:color="CCEEFF"/>
            </w:tcBorders>
          </w:tcPr>
          <w:p>
            <w:pPr>
              <w:spacing w:after="0"/>
              <w:rPr>
                <w:sz w:val="18"/>
                <w:szCs w:val="18"/>
                <w:color w:val="auto"/>
              </w:rPr>
            </w:pPr>
          </w:p>
        </w:tc>
      </w:tr>
      <w:tr>
        <w:trPr>
          <w:trHeight w:val="232"/>
        </w:trPr>
        <w:tc>
          <w:tcPr>
            <w:tcW w:w="57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394,264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378,421</w:t>
            </w:r>
          </w:p>
        </w:tc>
        <w:tc>
          <w:tcPr>
            <w:tcW w:w="1560" w:type="dxa"/>
            <w:vAlign w:val="bottom"/>
            <w:tcBorders>
              <w:bottom w:val="single" w:sz="8" w:color="CCEEFF"/>
            </w:tcBorders>
            <w:shd w:val="clear" w:color="auto" w:fill="CCEEFF"/>
          </w:tcPr>
          <w:p>
            <w:pPr>
              <w:spacing w:after="0"/>
              <w:rPr>
                <w:sz w:val="19"/>
                <w:szCs w:val="19"/>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$24.7 million, $19.0 million and $17.0 million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w:t>
      </w:r>
    </w:p>
    <w:p>
      <w:pPr>
        <w:spacing w:after="0" w:line="24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as of the dates indicated as well as their classification on the consolidated balance sheets:</w:t>
      </w:r>
    </w:p>
    <w:tbl>
      <w:tblPr>
        <w:tblLayout w:type="fixed"/>
        <w:tblInd w:w="32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5"/>
                <w:szCs w:val="15"/>
                <w:color w:val="auto"/>
              </w:rPr>
            </w:pPr>
          </w:p>
        </w:tc>
        <w:tc>
          <w:tcPr>
            <w:tcW w:w="800" w:type="dxa"/>
            <w:vAlign w:val="bottom"/>
          </w:tcPr>
          <w:p>
            <w:pPr>
              <w:jc w:val="right"/>
              <w:ind w:right="81"/>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120" w:type="dxa"/>
            <w:vAlign w:val="bottom"/>
          </w:tcPr>
          <w:p>
            <w:pPr>
              <w:spacing w:after="0"/>
              <w:rPr>
                <w:sz w:val="15"/>
                <w:szCs w:val="15"/>
                <w:color w:val="auto"/>
              </w:rPr>
            </w:pPr>
          </w:p>
        </w:tc>
        <w:tc>
          <w:tcPr>
            <w:tcW w:w="880" w:type="dxa"/>
            <w:vAlign w:val="bottom"/>
          </w:tcPr>
          <w:p>
            <w:pPr>
              <w:jc w:val="right"/>
              <w:ind w:right="61"/>
              <w:spacing w:after="0" w:line="180"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1"/>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140" w:type="dxa"/>
            <w:vAlign w:val="bottom"/>
          </w:tcPr>
          <w:p>
            <w:pPr>
              <w:spacing w:after="0"/>
              <w:rPr>
                <w:sz w:val="15"/>
                <w:szCs w:val="15"/>
                <w:color w:val="auto"/>
              </w:rPr>
            </w:pPr>
          </w:p>
        </w:tc>
        <w:tc>
          <w:tcPr>
            <w:tcW w:w="880" w:type="dxa"/>
            <w:vAlign w:val="bottom"/>
          </w:tcPr>
          <w:p>
            <w:pPr>
              <w:jc w:val="right"/>
              <w:ind w:right="81"/>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0" w:type="dxa"/>
            <w:vAlign w:val="bottom"/>
          </w:tcPr>
          <w:p>
            <w:pPr>
              <w:spacing w:after="0"/>
              <w:rPr>
                <w:sz w:val="1"/>
                <w:szCs w:val="1"/>
                <w:color w:val="auto"/>
              </w:rPr>
            </w:pPr>
          </w:p>
        </w:tc>
      </w:tr>
      <w:tr>
        <w:trPr>
          <w:trHeight w:val="211"/>
        </w:trPr>
        <w:tc>
          <w:tcPr>
            <w:tcW w:w="3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9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of trust preferred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hedge of AFS debt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Fair value hedge of loans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2,591,507</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11,196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925,511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68,384</w:t>
            </w:r>
          </w:p>
        </w:tc>
        <w:tc>
          <w:tcPr>
            <w:tcW w:w="0" w:type="dxa"/>
            <w:vAlign w:val="bottom"/>
          </w:tcPr>
          <w:p>
            <w:pPr>
              <w:spacing w:after="0"/>
              <w:rPr>
                <w:sz w:val="1"/>
                <w:szCs w:val="1"/>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1,197,364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Risk participations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2,766,326</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35,687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2,699,229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5,357,833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3,624,740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(11,330)</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4" w:lineRule="exact"/>
        <w:rPr>
          <w:sz w:val="20"/>
          <w:szCs w:val="20"/>
          <w:color w:val="auto"/>
        </w:rPr>
      </w:pPr>
    </w:p>
    <w:p>
      <w:pPr>
        <w:jc w:val="both"/>
        <w:ind w:left="320"/>
        <w:spacing w:after="0" w:line="238" w:lineRule="auto"/>
        <w:rPr>
          <w:sz w:val="20"/>
          <w:szCs w:val="20"/>
          <w:color w:val="auto"/>
        </w:rPr>
      </w:pPr>
      <w:r>
        <w:rPr>
          <w:rFonts w:ascii="Times New Roman" w:cs="Times New Roman" w:eastAsia="Times New Roman" w:hAnsi="Times New Roman"/>
          <w:sz w:val="18"/>
          <w:szCs w:val="18"/>
          <w:color w:val="auto"/>
        </w:rPr>
        <w:t>At December 31, 2024 and 2023,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Over the next twelve months, United expects to reclassify $4.23 million of gains from AOCI into earnings related to these agreements.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4"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uses interest rate swaps to manage its exposure to changes in fair value attributable to changes in interest rates on certain of its fixed-rate financial instruments. During 2023 and 2024, United entered into fair value hedges on stated amounts of closed portfolios of loans and investment securities using the portfolio layer method.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 continued</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on the consolidated statements of income.</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220" w:type="dxa"/>
            <w:vAlign w:val="bottom"/>
          </w:tcPr>
          <w:p>
            <w:pPr>
              <w:spacing w:after="0"/>
              <w:rPr>
                <w:sz w:val="18"/>
                <w:szCs w:val="18"/>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Brokered time deposits: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recognized on fair value hedges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deposits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0"/>
        </w:trPr>
        <w:tc>
          <w:tcPr>
            <w:tcW w:w="4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AFS securities: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related to interest settlements on derivatives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recognized on derivatives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recognized on hedged items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recognized on AFS fair value hedges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revenue - investment securities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4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6"/>
                <w:szCs w:val="16"/>
                <w:color w:val="auto"/>
              </w:rPr>
              <w:t>Loans:</w:t>
            </w:r>
          </w:p>
        </w:tc>
        <w:tc>
          <w:tcPr>
            <w:tcW w:w="2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Amounts related to interest settlements on derivatives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recognized on derivatives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Gain recognized on hedged items</w:t>
            </w:r>
          </w:p>
        </w:tc>
        <w:tc>
          <w:tcPr>
            <w:tcW w:w="2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recognized on loan fair value hedges</w:t>
            </w:r>
          </w:p>
        </w:tc>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2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0"/>
                <w:szCs w:val="20"/>
                <w:color w:val="auto"/>
                <w:vertAlign w:val="superscript"/>
              </w:rPr>
              <w:t>(1)</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 long term debt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00" w:type="dxa"/>
            <w:vAlign w:val="bottom"/>
          </w:tcPr>
          <w:p>
            <w:pPr>
              <w:spacing w:after="0"/>
              <w:rPr>
                <w:sz w:val="23"/>
                <w:szCs w:val="23"/>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20" w:type="dxa"/>
            <w:vAlign w:val="bottom"/>
          </w:tcPr>
          <w:p>
            <w:pPr>
              <w:spacing w:after="0"/>
              <w:rPr>
                <w:sz w:val="23"/>
                <w:szCs w:val="23"/>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firstLine="4"/>
        <w:spacing w:after="0" w:line="229" w:lineRule="auto"/>
        <w:tabs>
          <w:tab w:leader="none" w:pos="51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$473,000, $472,000 and $472,000 of premium amortization expense excluded from the assessment of hedge effectiveness for each of the years ended December 31, 2024, 2023 and 2022, respectively.</w:t>
      </w:r>
    </w:p>
    <w:p>
      <w:pPr>
        <w:spacing w:after="0" w:line="212"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table below presents the carrying amount of hedged items and cumulative fair value hedging basis adjustments for the periods presented. All fair value hedges of AFS debt securities and loans at December 31, 2024 and 2023 were designated under the portfolio layer method.</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6"/>
                <w:szCs w:val="16"/>
                <w:b w:val="1"/>
                <w:bCs w:val="1"/>
                <w:color w:val="auto"/>
              </w:rPr>
              <w:t>Hedge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Hedged Portfolio</w:t>
            </w:r>
          </w:p>
        </w:tc>
        <w:tc>
          <w:tcPr>
            <w:tcW w:w="200" w:type="dxa"/>
            <w:vAlign w:val="bottom"/>
          </w:tcPr>
          <w:p>
            <w:pPr>
              <w:spacing w:after="0"/>
              <w:rPr>
                <w:sz w:val="13"/>
                <w:szCs w:val="13"/>
                <w:color w:val="auto"/>
              </w:rPr>
            </w:pPr>
          </w:p>
        </w:tc>
        <w:tc>
          <w:tcPr>
            <w:tcW w:w="102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rPr>
              <w:t>Hedge</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159"/>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Accounting Basis</w:t>
            </w:r>
          </w:p>
        </w:tc>
        <w:tc>
          <w:tcPr>
            <w:tcW w:w="13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Accounting Basis</w:t>
            </w: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200" w:type="dxa"/>
            <w:vAlign w:val="bottom"/>
          </w:tcPr>
          <w:p>
            <w:pPr>
              <w:spacing w:after="0"/>
              <w:rPr>
                <w:sz w:val="18"/>
                <w:szCs w:val="18"/>
                <w:color w:val="auto"/>
              </w:rPr>
            </w:pPr>
          </w:p>
        </w:tc>
        <w:tc>
          <w:tcPr>
            <w:tcW w:w="10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240" w:type="dxa"/>
            <w:vAlign w:val="bottom"/>
          </w:tcPr>
          <w:p>
            <w:pPr>
              <w:spacing w:after="0"/>
              <w:rPr>
                <w:sz w:val="18"/>
                <w:szCs w:val="18"/>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06"/>
        </w:trPr>
        <w:tc>
          <w:tcPr>
            <w:tcW w:w="2540" w:type="dxa"/>
            <w:vAlign w:val="bottom"/>
            <w:tcBorders>
              <w:top w:val="single" w:sz="8" w:color="auto"/>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0"/>
                <w:szCs w:val="20"/>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1,002,511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789,908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655,511</w:t>
            </w:r>
          </w:p>
        </w:tc>
        <w:tc>
          <w:tcPr>
            <w:tcW w:w="0" w:type="dxa"/>
            <w:vAlign w:val="bottom"/>
          </w:tcPr>
          <w:p>
            <w:pPr>
              <w:spacing w:after="0"/>
              <w:rPr>
                <w:sz w:val="1"/>
                <w:szCs w:val="1"/>
                <w:color w:val="auto"/>
              </w:rPr>
            </w:pPr>
          </w:p>
        </w:tc>
      </w:tr>
      <w:tr>
        <w:trPr>
          <w:trHeight w:val="20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00" w:hanging="176"/>
        <w:spacing w:after="0"/>
        <w:tabs>
          <w:tab w:leader="none" w:pos="5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Carrying amount for AFS debt securities reflects amortized cost, which excludes the hedge accounting basis adjustment.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economic hedges of market-linked brokered certificates of deposit, which contain embedded derivatives that are bifurcated from the host instruments. The fair value marks on the swaps and the bifurcated embedded derivatives tend to move in opposite directions and therefore provide an economic hedge.</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In addition, in connection with residential mortgage loans that are originated with the intention of selling, United enters into commitments to originate residential mortgage loans and forward loan sales commitments.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 continued</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2,063</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8,144</w:t>
            </w:r>
          </w:p>
        </w:tc>
      </w:tr>
      <w:tr>
        <w:trPr>
          <w:trHeight w:val="21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r>
      <w:tr>
        <w:trPr>
          <w:trHeight w:val="232"/>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gains and losses</w:t>
            </w:r>
          </w:p>
        </w:tc>
        <w:tc>
          <w:tcPr>
            <w:tcW w:w="3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10,401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manages its credit exposure on derivative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require additional collateral if United’s credit rating were downgraded.</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 of goodwill and other intangible assets is summarized below as of the dates indicated:</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69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160" w:type="dxa"/>
            <w:vAlign w:val="bottom"/>
            <w:tcBorders>
              <w:bottom w:val="single" w:sz="8" w:color="CCEEFF"/>
            </w:tcBorders>
          </w:tcPr>
          <w:p>
            <w:pPr>
              <w:spacing w:after="0"/>
              <w:rPr>
                <w:sz w:val="18"/>
                <w:szCs w:val="18"/>
                <w:color w:val="auto"/>
              </w:rPr>
            </w:pPr>
          </w:p>
        </w:tc>
      </w:tr>
      <w:tr>
        <w:trPr>
          <w:trHeight w:val="206"/>
        </w:trPr>
        <w:tc>
          <w:tcPr>
            <w:tcW w:w="6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Core deposit intangible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100,694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104,174</w:t>
            </w:r>
          </w:p>
        </w:tc>
        <w:tc>
          <w:tcPr>
            <w:tcW w:w="1160" w:type="dxa"/>
            <w:vAlign w:val="bottom"/>
            <w:shd w:val="clear" w:color="auto" w:fill="CCEEFF"/>
          </w:tcPr>
          <w:p>
            <w:pPr>
              <w:spacing w:after="0"/>
              <w:rPr>
                <w:sz w:val="17"/>
                <w:szCs w:val="17"/>
                <w:color w:val="auto"/>
              </w:rPr>
            </w:pPr>
          </w:p>
        </w:tc>
      </w:tr>
      <w:tr>
        <w:trPr>
          <w:trHeight w:val="210"/>
        </w:trPr>
        <w:tc>
          <w:tcPr>
            <w:tcW w:w="69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(40,495)</w:t>
            </w:r>
          </w:p>
        </w:tc>
        <w:tc>
          <w:tcPr>
            <w:tcW w:w="1160" w:type="dxa"/>
            <w:vAlign w:val="bottom"/>
            <w:tcBorders>
              <w:bottom w:val="single" w:sz="8" w:color="CCEEFF"/>
            </w:tcBorders>
          </w:tcPr>
          <w:p>
            <w:pPr>
              <w:spacing w:after="0"/>
              <w:rPr>
                <w:sz w:val="18"/>
                <w:szCs w:val="18"/>
                <w:color w:val="auto"/>
              </w:rPr>
            </w:pPr>
          </w:p>
        </w:tc>
      </w:tr>
      <w:tr>
        <w:trPr>
          <w:trHeight w:val="207"/>
        </w:trPr>
        <w:tc>
          <w:tcPr>
            <w:tcW w:w="6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63,679</w:t>
            </w:r>
          </w:p>
        </w:tc>
        <w:tc>
          <w:tcPr>
            <w:tcW w:w="1160" w:type="dxa"/>
            <w:vAlign w:val="bottom"/>
            <w:shd w:val="clear" w:color="auto" w:fill="CCEEFF"/>
          </w:tcPr>
          <w:p>
            <w:pPr>
              <w:spacing w:after="0"/>
              <w:rPr>
                <w:sz w:val="18"/>
                <w:szCs w:val="18"/>
                <w:color w:val="auto"/>
              </w:rPr>
            </w:pPr>
          </w:p>
        </w:tc>
      </w:tr>
      <w:tr>
        <w:trPr>
          <w:trHeight w:val="210"/>
        </w:trPr>
        <w:tc>
          <w:tcPr>
            <w:tcW w:w="69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160" w:type="dxa"/>
            <w:vAlign w:val="bottom"/>
          </w:tcPr>
          <w:p>
            <w:pPr>
              <w:spacing w:after="0"/>
              <w:rPr>
                <w:sz w:val="18"/>
                <w:szCs w:val="18"/>
                <w:color w:val="auto"/>
              </w:rPr>
            </w:pPr>
          </w:p>
        </w:tc>
      </w:tr>
      <w:tr>
        <w:trPr>
          <w:trHeight w:val="214"/>
        </w:trPr>
        <w:tc>
          <w:tcPr>
            <w:tcW w:w="6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160" w:type="dxa"/>
            <w:vAlign w:val="bottom"/>
            <w:shd w:val="clear" w:color="auto" w:fill="CCEEFF"/>
          </w:tcPr>
          <w:p>
            <w:pPr>
              <w:spacing w:after="0"/>
              <w:rPr>
                <w:sz w:val="18"/>
                <w:szCs w:val="18"/>
                <w:color w:val="auto"/>
              </w:rPr>
            </w:pPr>
          </w:p>
        </w:tc>
      </w:tr>
      <w:tr>
        <w:trPr>
          <w:trHeight w:val="203"/>
        </w:trPr>
        <w:tc>
          <w:tcPr>
            <w:tcW w:w="690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160" w:type="dxa"/>
            <w:vAlign w:val="bottom"/>
            <w:tcBorders>
              <w:bottom w:val="single" w:sz="8" w:color="CCEEFF"/>
            </w:tcBorders>
          </w:tcPr>
          <w:p>
            <w:pPr>
              <w:spacing w:after="0"/>
              <w:rPr>
                <w:sz w:val="17"/>
                <w:szCs w:val="17"/>
                <w:color w:val="auto"/>
              </w:rPr>
            </w:pPr>
          </w:p>
        </w:tc>
      </w:tr>
      <w:tr>
        <w:trPr>
          <w:trHeight w:val="207"/>
        </w:trPr>
        <w:tc>
          <w:tcPr>
            <w:tcW w:w="6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intangibles subject to amortization,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70,173</w:t>
            </w:r>
          </w:p>
        </w:tc>
        <w:tc>
          <w:tcPr>
            <w:tcW w:w="1160" w:type="dxa"/>
            <w:vAlign w:val="bottom"/>
            <w:shd w:val="clear" w:color="auto" w:fill="CCEEFF"/>
          </w:tcPr>
          <w:p>
            <w:pPr>
              <w:spacing w:after="0"/>
              <w:rPr>
                <w:sz w:val="18"/>
                <w:szCs w:val="18"/>
                <w:color w:val="auto"/>
              </w:rPr>
            </w:pPr>
          </w:p>
        </w:tc>
      </w:tr>
      <w:tr>
        <w:trPr>
          <w:trHeight w:val="210"/>
        </w:trPr>
        <w:tc>
          <w:tcPr>
            <w:tcW w:w="69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907,090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919,914</w:t>
            </w:r>
          </w:p>
        </w:tc>
        <w:tc>
          <w:tcPr>
            <w:tcW w:w="1160" w:type="dxa"/>
            <w:vAlign w:val="bottom"/>
            <w:tcBorders>
              <w:bottom w:val="single" w:sz="8" w:color="CCEEFF"/>
            </w:tcBorders>
          </w:tcPr>
          <w:p>
            <w:pPr>
              <w:spacing w:after="0"/>
              <w:rPr>
                <w:sz w:val="18"/>
                <w:szCs w:val="18"/>
                <w:color w:val="auto"/>
              </w:rPr>
            </w:pPr>
          </w:p>
        </w:tc>
      </w:tr>
      <w:tr>
        <w:trPr>
          <w:trHeight w:val="232"/>
        </w:trPr>
        <w:tc>
          <w:tcPr>
            <w:tcW w:w="690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956,643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990,087</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Upon completion of the sale of FinTrust on October 1, 2024, United derecognized the net customer relationship intangible of $6.02 million associated with FinTrust. The remainder of United’s customer relationship intangibles became fully amortized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continued</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amounts of goodwill for the years indicated. See Note 3 for further detail.</w:t>
      </w:r>
    </w:p>
    <w:p>
      <w:pPr>
        <w:spacing w:after="0" w:line="12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540" w:type="dxa"/>
            <w:vAlign w:val="bottom"/>
          </w:tcPr>
          <w:p>
            <w:pPr>
              <w:ind w:left="18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9"/>
                <w:szCs w:val="19"/>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Goodwill </w:t>
            </w:r>
            <w:r>
              <w:rPr>
                <w:rFonts w:ascii="Times New Roman" w:cs="Times New Roman" w:eastAsia="Times New Roman" w:hAnsi="Times New Roman"/>
                <w:sz w:val="20"/>
                <w:szCs w:val="20"/>
                <w:b w:val="1"/>
                <w:bCs w:val="1"/>
                <w:color w:val="auto"/>
                <w:vertAlign w:val="superscript"/>
              </w:rPr>
              <w:t>(1)</w:t>
            </w:r>
          </w:p>
        </w:tc>
      </w:tr>
      <w:tr>
        <w:trPr>
          <w:trHeight w:val="205"/>
        </w:trPr>
        <w:tc>
          <w:tcPr>
            <w:tcW w:w="754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751,174</w:t>
            </w:r>
          </w:p>
        </w:tc>
        <w:tc>
          <w:tcPr>
            <w:tcW w:w="1500" w:type="dxa"/>
            <w:vAlign w:val="bottom"/>
            <w:tcBorders>
              <w:top w:val="single" w:sz="8" w:color="CCEEFF"/>
            </w:tcBorders>
            <w:shd w:val="clear" w:color="auto" w:fill="CCEEFF"/>
          </w:tcPr>
          <w:p>
            <w:pPr>
              <w:spacing w:after="0"/>
              <w:rPr>
                <w:sz w:val="17"/>
                <w:szCs w:val="17"/>
                <w:color w:val="auto"/>
              </w:rPr>
            </w:pPr>
          </w:p>
        </w:tc>
      </w:tr>
      <w:tr>
        <w:trPr>
          <w:trHeight w:val="210"/>
        </w:trPr>
        <w:tc>
          <w:tcPr>
            <w:tcW w:w="754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Acquisition of Progress</w:t>
            </w:r>
          </w:p>
        </w:tc>
        <w:tc>
          <w:tcPr>
            <w:tcW w:w="24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145,544</w:t>
            </w:r>
          </w:p>
        </w:tc>
        <w:tc>
          <w:tcPr>
            <w:tcW w:w="1500" w:type="dxa"/>
            <w:vAlign w:val="bottom"/>
          </w:tcPr>
          <w:p>
            <w:pPr>
              <w:spacing w:after="0"/>
              <w:rPr>
                <w:sz w:val="18"/>
                <w:szCs w:val="18"/>
                <w:color w:val="auto"/>
              </w:rPr>
            </w:pPr>
          </w:p>
        </w:tc>
      </w:tr>
      <w:tr>
        <w:trPr>
          <w:trHeight w:val="214"/>
        </w:trPr>
        <w:tc>
          <w:tcPr>
            <w:tcW w:w="75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Acquisition of First Miami</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23,196</w:t>
            </w:r>
          </w:p>
        </w:tc>
        <w:tc>
          <w:tcPr>
            <w:tcW w:w="1500" w:type="dxa"/>
            <w:vAlign w:val="bottom"/>
            <w:shd w:val="clear" w:color="auto" w:fill="CCEEFF"/>
          </w:tcPr>
          <w:p>
            <w:pPr>
              <w:spacing w:after="0"/>
              <w:rPr>
                <w:sz w:val="18"/>
                <w:szCs w:val="18"/>
                <w:color w:val="auto"/>
              </w:rPr>
            </w:pPr>
          </w:p>
        </w:tc>
      </w:tr>
      <w:tr>
        <w:trPr>
          <w:trHeight w:val="203"/>
        </w:trPr>
        <w:tc>
          <w:tcPr>
            <w:tcW w:w="754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919,914</w:t>
            </w:r>
          </w:p>
        </w:tc>
        <w:tc>
          <w:tcPr>
            <w:tcW w:w="1500" w:type="dxa"/>
            <w:vAlign w:val="bottom"/>
          </w:tcPr>
          <w:p>
            <w:pPr>
              <w:spacing w:after="0"/>
              <w:rPr>
                <w:sz w:val="17"/>
                <w:szCs w:val="17"/>
                <w:color w:val="auto"/>
              </w:rPr>
            </w:pPr>
          </w:p>
        </w:tc>
      </w:tr>
      <w:tr>
        <w:trPr>
          <w:trHeight w:val="214"/>
        </w:trPr>
        <w:tc>
          <w:tcPr>
            <w:tcW w:w="75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Measurement period adjustment - First Miami</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1,339</w:t>
            </w:r>
          </w:p>
        </w:tc>
        <w:tc>
          <w:tcPr>
            <w:tcW w:w="1500" w:type="dxa"/>
            <w:vAlign w:val="bottom"/>
            <w:shd w:val="clear" w:color="auto" w:fill="CCEEFF"/>
          </w:tcPr>
          <w:p>
            <w:pPr>
              <w:spacing w:after="0"/>
              <w:rPr>
                <w:sz w:val="18"/>
                <w:szCs w:val="18"/>
                <w:color w:val="auto"/>
              </w:rPr>
            </w:pPr>
          </w:p>
        </w:tc>
      </w:tr>
      <w:tr>
        <w:trPr>
          <w:trHeight w:val="210"/>
        </w:trPr>
        <w:tc>
          <w:tcPr>
            <w:tcW w:w="754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500" w:type="dxa"/>
            <w:vAlign w:val="bottom"/>
          </w:tcPr>
          <w:p>
            <w:pPr>
              <w:spacing w:after="0"/>
              <w:rPr>
                <w:sz w:val="18"/>
                <w:szCs w:val="18"/>
                <w:color w:val="auto"/>
              </w:rPr>
            </w:pPr>
          </w:p>
        </w:tc>
      </w:tr>
      <w:tr>
        <w:trPr>
          <w:trHeight w:val="212"/>
        </w:trPr>
        <w:tc>
          <w:tcPr>
            <w:tcW w:w="75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Sale of FinTrust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500" w:type="dxa"/>
            <w:vAlign w:val="bottom"/>
            <w:shd w:val="clear" w:color="auto" w:fill="CCEEFF"/>
          </w:tcPr>
          <w:p>
            <w:pPr>
              <w:spacing w:after="0"/>
              <w:rPr>
                <w:sz w:val="18"/>
                <w:szCs w:val="18"/>
                <w:color w:val="auto"/>
              </w:rPr>
            </w:pPr>
          </w:p>
        </w:tc>
      </w:tr>
      <w:tr>
        <w:trPr>
          <w:trHeight w:val="207"/>
        </w:trPr>
        <w:tc>
          <w:tcPr>
            <w:tcW w:w="754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907,090</w:t>
            </w:r>
          </w:p>
        </w:tc>
        <w:tc>
          <w:tcPr>
            <w:tcW w:w="15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43" w:lineRule="exact"/>
        <w:rPr>
          <w:sz w:val="20"/>
          <w:szCs w:val="20"/>
          <w:color w:val="auto"/>
        </w:rPr>
      </w:pPr>
    </w:p>
    <w:p>
      <w:pPr>
        <w:ind w:left="480" w:hanging="156"/>
        <w:spacing w:after="0"/>
        <w:tabs>
          <w:tab w:leader="none" w:pos="480"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Goodwill balances presented are shown net of accumulated impairment losses of $306 million incurred prior to 2022.</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estimated aggregate amortization expense for future periods for finite lived intangibles is as follows:</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5"/>
        </w:trPr>
        <w:tc>
          <w:tcPr>
            <w:tcW w:w="284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r>
      <w:tr>
        <w:trPr>
          <w:trHeight w:val="208"/>
        </w:trPr>
        <w:tc>
          <w:tcPr>
            <w:tcW w:w="2840" w:type="dxa"/>
            <w:vAlign w:val="bottom"/>
            <w:shd w:val="clear" w:color="auto" w:fill="CCEEFF"/>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2840" w:type="dxa"/>
            <w:vAlign w:val="bottom"/>
            <w:shd w:val="clear" w:color="auto" w:fill="CCEEFF"/>
          </w:tcPr>
          <w:p>
            <w:pPr>
              <w:spacing w:after="0"/>
              <w:rPr>
                <w:sz w:val="18"/>
                <w:szCs w:val="18"/>
                <w:color w:val="auto"/>
              </w:rPr>
            </w:pPr>
          </w:p>
        </w:tc>
      </w:tr>
      <w:tr>
        <w:trPr>
          <w:trHeight w:val="210"/>
        </w:trPr>
        <w:tc>
          <w:tcPr>
            <w:tcW w:w="6280" w:type="dxa"/>
            <w:vAlign w:val="bottom"/>
            <w:gridSpan w:val="2"/>
          </w:tcPr>
          <w:p>
            <w:pPr>
              <w:ind w:left="286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28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2840" w:type="dxa"/>
            <w:vAlign w:val="bottom"/>
            <w:shd w:val="clear" w:color="auto" w:fill="CCEEFF"/>
          </w:tcPr>
          <w:p>
            <w:pPr>
              <w:spacing w:after="0"/>
              <w:rPr>
                <w:sz w:val="18"/>
                <w:szCs w:val="18"/>
                <w:color w:val="auto"/>
              </w:rPr>
            </w:pPr>
          </w:p>
        </w:tc>
      </w:tr>
      <w:tr>
        <w:trPr>
          <w:trHeight w:val="210"/>
        </w:trPr>
        <w:tc>
          <w:tcPr>
            <w:tcW w:w="6280" w:type="dxa"/>
            <w:vAlign w:val="bottom"/>
            <w:gridSpan w:val="2"/>
          </w:tcPr>
          <w:p>
            <w:pPr>
              <w:ind w:left="2860"/>
              <w:spacing w:after="0"/>
              <w:rPr>
                <w:sz w:val="20"/>
                <w:szCs w:val="20"/>
                <w:color w:val="auto"/>
              </w:rPr>
            </w:pPr>
            <w:r>
              <w:rPr>
                <w:rFonts w:ascii="Times New Roman" w:cs="Times New Roman" w:eastAsia="Times New Roman" w:hAnsi="Times New Roman"/>
                <w:sz w:val="16"/>
                <w:szCs w:val="16"/>
                <w:color w:val="auto"/>
              </w:rPr>
              <w:t>2028</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28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6"/>
                <w:szCs w:val="16"/>
                <w:color w:val="auto"/>
              </w:rPr>
              <w:t>2029</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2840" w:type="dxa"/>
            <w:vAlign w:val="bottom"/>
            <w:shd w:val="clear" w:color="auto" w:fill="CCEEFF"/>
          </w:tcPr>
          <w:p>
            <w:pPr>
              <w:spacing w:after="0"/>
              <w:rPr>
                <w:sz w:val="18"/>
                <w:szCs w:val="18"/>
                <w:color w:val="auto"/>
              </w:rPr>
            </w:pPr>
          </w:p>
        </w:tc>
      </w:tr>
      <w:tr>
        <w:trPr>
          <w:trHeight w:val="210"/>
        </w:trPr>
        <w:tc>
          <w:tcPr>
            <w:tcW w:w="284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2840" w:type="dxa"/>
            <w:vAlign w:val="bottom"/>
            <w:tcBorders>
              <w:bottom w:val="single" w:sz="8" w:color="CCEEFF"/>
            </w:tcBorders>
          </w:tcPr>
          <w:p>
            <w:pPr>
              <w:spacing w:after="0"/>
              <w:rPr>
                <w:sz w:val="18"/>
                <w:szCs w:val="18"/>
                <w:color w:val="auto"/>
              </w:rPr>
            </w:pPr>
          </w:p>
        </w:tc>
      </w:tr>
      <w:tr>
        <w:trPr>
          <w:trHeight w:val="232"/>
        </w:trPr>
        <w:tc>
          <w:tcPr>
            <w:tcW w:w="284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49,553</w:t>
            </w:r>
          </w:p>
        </w:tc>
        <w:tc>
          <w:tcPr>
            <w:tcW w:w="2840" w:type="dxa"/>
            <w:vAlign w:val="bottom"/>
            <w:tcBorders>
              <w:bottom w:val="single" w:sz="8" w:color="CCEEFF"/>
            </w:tcBorders>
            <w:shd w:val="clear" w:color="auto" w:fill="CCEEFF"/>
          </w:tcPr>
          <w:p>
            <w:pPr>
              <w:spacing w:after="0"/>
              <w:rPr>
                <w:sz w:val="19"/>
                <w:szCs w:val="19"/>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Servicing Assets and Liabilities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Rights for SBA/USDA Loans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accounts for servicing rights for SBA/USDA loans at fair value. The following table summarizes the changes in SBA/USDA servicing rights for the years indicated.</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6,513</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servicing rights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Originated servicing rights capitalized upon sale of loans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2,114</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r>
      <w:tr>
        <w:trPr>
          <w:trHeight w:val="212"/>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fair value due to change in inputs or assumptions used in the valuation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5,188</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portfolio of SBA/USDA loans serviced for others, which is not included in the accompanying balance sheets, was $381 million and $419 million, respectively, at December 31, 2024 and 2023. The amount of contractually specified servicing fees earned by United on these servicing rights during the years ended December 31, 2024, 2023 and 2022 was $3.70 million, $3.97 million and $4.05 million,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Servicing Assets and Liabilities,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 summary of the key characteristics, inputs, and economic assumptions used in the discounted cash flow method utilized to estimate the fair value of the servicing asset for SBA/USDA loans and the sensitivity of the fair values to immediate adverse changes in those assumptions are shown in the table below as of the dates indicated:</w:t>
      </w:r>
    </w:p>
    <w:p>
      <w:pPr>
        <w:spacing w:after="0" w:line="10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09"/>
        </w:trPr>
        <w:tc>
          <w:tcPr>
            <w:tcW w:w="5480" w:type="dxa"/>
            <w:vAlign w:val="bottom"/>
            <w:tcBorders>
              <w:bottom w:val="single" w:sz="8" w:color="CCEEFF"/>
            </w:tcBorders>
          </w:tcPr>
          <w:p>
            <w:pPr>
              <w:ind w:left="21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160" w:type="dxa"/>
            <w:vAlign w:val="bottom"/>
            <w:tcBorders>
              <w:bottom w:val="single" w:sz="8" w:color="CCEEFF"/>
            </w:tcBorders>
          </w:tcPr>
          <w:p>
            <w:pPr>
              <w:spacing w:after="0"/>
              <w:rPr>
                <w:sz w:val="18"/>
                <w:szCs w:val="18"/>
                <w:color w:val="auto"/>
              </w:rPr>
            </w:pPr>
          </w:p>
        </w:tc>
      </w:tr>
      <w:tr>
        <w:trPr>
          <w:trHeight w:val="206"/>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Fair value of retained servicing assets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5,444</w:t>
            </w:r>
          </w:p>
        </w:tc>
        <w:tc>
          <w:tcPr>
            <w:tcW w:w="2160" w:type="dxa"/>
            <w:vAlign w:val="bottom"/>
            <w:shd w:val="clear" w:color="auto" w:fill="CCEEFF"/>
          </w:tcPr>
          <w:p>
            <w:pPr>
              <w:spacing w:after="0"/>
              <w:rPr>
                <w:sz w:val="17"/>
                <w:szCs w:val="17"/>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Prepayment rate assumption: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- 39.0%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- 37.4%</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10% adverse change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(246)</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20% adverse change</w:t>
            </w:r>
          </w:p>
        </w:tc>
        <w:tc>
          <w:tcPr>
            <w:tcW w:w="32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(473)</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Discount rate: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- 23.5%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- 25.0%</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100 bps adverse change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(116)</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200 bps adverse change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(228)</w:t>
            </w:r>
          </w:p>
        </w:tc>
        <w:tc>
          <w:tcPr>
            <w:tcW w:w="2160" w:type="dxa"/>
            <w:vAlign w:val="bottom"/>
            <w:shd w:val="clear" w:color="auto" w:fill="CCEEFF"/>
          </w:tcPr>
          <w:p>
            <w:pPr>
              <w:spacing w:after="0"/>
              <w:rPr>
                <w:sz w:val="18"/>
                <w:szCs w:val="18"/>
                <w:color w:val="auto"/>
              </w:rPr>
            </w:pPr>
          </w:p>
        </w:tc>
      </w:tr>
    </w:tbl>
    <w:p>
      <w:pPr>
        <w:spacing w:after="0" w:line="27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Residential Mortgage Servicing Rights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accounts for residential mortgage servicing rights at fair value. The following table summarizes the changes in residential mortgage servicing rights for the years indicated.</w:t>
      </w:r>
    </w:p>
    <w:tbl>
      <w:tblPr>
        <w:tblLayout w:type="fixed"/>
        <w:tblInd w:w="320" w:type="dxa"/>
        <w:tblCellMar>
          <w:top w:w="0" w:type="dxa"/>
          <w:left w:w="0" w:type="dxa"/>
          <w:bottom w:w="0" w:type="dxa"/>
          <w:right w:w="0" w:type="dxa"/>
        </w:tblCellMar>
      </w:tblPr>
      <w:tr>
        <w:trPr>
          <w:trHeight w:val="176"/>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5"/>
                <w:szCs w:val="15"/>
                <w:color w:val="auto"/>
              </w:rPr>
            </w:pPr>
          </w:p>
        </w:tc>
        <w:tc>
          <w:tcPr>
            <w:tcW w:w="1920" w:type="dxa"/>
            <w:vAlign w:val="bottom"/>
          </w:tcPr>
          <w:p>
            <w:pPr>
              <w:jc w:val="right"/>
              <w:ind w:right="261"/>
              <w:spacing w:after="0" w:line="176" w:lineRule="exact"/>
              <w:rPr>
                <w:sz w:val="20"/>
                <w:szCs w:val="20"/>
                <w:color w:val="auto"/>
              </w:rPr>
            </w:pPr>
            <w:r>
              <w:rPr>
                <w:rFonts w:ascii="Times New Roman" w:cs="Times New Roman" w:eastAsia="Times New Roman" w:hAnsi="Times New Roman"/>
                <w:sz w:val="16"/>
                <w:szCs w:val="16"/>
                <w:b w:val="1"/>
                <w:bCs w:val="1"/>
                <w:color w:val="auto"/>
              </w:rPr>
              <w:t>Residential Mortgage</w:t>
            </w:r>
          </w:p>
        </w:tc>
        <w:tc>
          <w:tcPr>
            <w:tcW w:w="0" w:type="dxa"/>
            <w:vAlign w:val="bottom"/>
          </w:tcPr>
          <w:p>
            <w:pPr>
              <w:spacing w:after="0"/>
              <w:rPr>
                <w:sz w:val="1"/>
                <w:szCs w:val="1"/>
                <w:color w:val="auto"/>
              </w:rPr>
            </w:pPr>
          </w:p>
        </w:tc>
      </w:tr>
      <w:tr>
        <w:trPr>
          <w:trHeight w:val="211"/>
        </w:trPr>
        <w:tc>
          <w:tcPr>
            <w:tcW w:w="84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Servicing Rights</w:t>
            </w: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25,161</w:t>
            </w:r>
          </w:p>
        </w:tc>
        <w:tc>
          <w:tcPr>
            <w:tcW w:w="0" w:type="dxa"/>
            <w:vAlign w:val="bottom"/>
          </w:tcPr>
          <w:p>
            <w:pPr>
              <w:spacing w:after="0"/>
              <w:rPr>
                <w:sz w:val="1"/>
                <w:szCs w:val="1"/>
                <w:color w:val="auto"/>
              </w:rPr>
            </w:pPr>
          </w:p>
        </w:tc>
      </w:tr>
      <w:tr>
        <w:trPr>
          <w:trHeight w:val="210"/>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Originated servicing rights capitalized upon sale of loans</w:t>
            </w:r>
          </w:p>
        </w:tc>
        <w:tc>
          <w:tcPr>
            <w:tcW w:w="20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5,051</w:t>
            </w: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Disposals</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CCEEFF"/>
            </w:tcBorders>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Changes in fair value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8,707</w:t>
            </w: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36,559</w:t>
            </w:r>
          </w:p>
        </w:tc>
        <w:tc>
          <w:tcPr>
            <w:tcW w:w="0" w:type="dxa"/>
            <w:vAlign w:val="bottom"/>
          </w:tcPr>
          <w:p>
            <w:pPr>
              <w:spacing w:after="0"/>
              <w:rPr>
                <w:sz w:val="1"/>
                <w:szCs w:val="1"/>
                <w:color w:val="auto"/>
              </w:rPr>
            </w:pPr>
          </w:p>
        </w:tc>
      </w:tr>
      <w:tr>
        <w:trPr>
          <w:trHeight w:val="210"/>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Originated servicing rights capitalized upon sale of loans</w:t>
            </w:r>
          </w:p>
        </w:tc>
        <w:tc>
          <w:tcPr>
            <w:tcW w:w="20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Disposals</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CCEEFF"/>
            </w:tcBorders>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Changes in fair value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35,897</w:t>
            </w:r>
          </w:p>
        </w:tc>
        <w:tc>
          <w:tcPr>
            <w:tcW w:w="0" w:type="dxa"/>
            <w:vAlign w:val="bottom"/>
          </w:tcPr>
          <w:p>
            <w:pPr>
              <w:spacing w:after="0"/>
              <w:rPr>
                <w:sz w:val="1"/>
                <w:szCs w:val="1"/>
                <w:color w:val="auto"/>
              </w:rPr>
            </w:pPr>
          </w:p>
        </w:tc>
      </w:tr>
      <w:tr>
        <w:trPr>
          <w:trHeight w:val="210"/>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Originated servicing rights capitalized upon sale of loans</w:t>
            </w:r>
          </w:p>
        </w:tc>
        <w:tc>
          <w:tcPr>
            <w:tcW w:w="20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4,190</w:t>
            </w: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Disposals</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0" w:type="dxa"/>
            <w:vAlign w:val="bottom"/>
          </w:tcPr>
          <w:p>
            <w:pPr>
              <w:spacing w:after="0"/>
              <w:rPr>
                <w:sz w:val="1"/>
                <w:szCs w:val="1"/>
                <w:color w:val="auto"/>
              </w:rPr>
            </w:pPr>
          </w:p>
        </w:tc>
      </w:tr>
      <w:tr>
        <w:trPr>
          <w:trHeight w:val="210"/>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fair value:</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fair value due to change in inputs or assumptions used in the valuation</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Changes in fair value due to decay, passage of time and other</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3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39,294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20" w:firstLine="4"/>
        <w:spacing w:after="0" w:line="221" w:lineRule="auto"/>
        <w:tabs>
          <w:tab w:leader="none" w:pos="492"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to 2024, the change in fair value related to changes in valuation inputs and assumptions, decay, passage of time and other factors was included within this line item.</w:t>
      </w:r>
    </w:p>
    <w:p>
      <w:pPr>
        <w:spacing w:after="0" w:line="22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portfolio of residential mortgage loans serviced for others, which is not included in the consolidated balance sheets, was $3.02 billion and $2.92 billion, respectively, at December 31, 2024 and 2023. The amount of contractually specified servicing fees earned by United on these servicing rights during the years ended December 31, 2024, 2023 and 2022 was $7.64 million, $7.15 million and $7.24 million,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Servicing Assets and Liabilities,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 summary of the key characteristics, inputs, and economic assumptions used to estimate the fair value of the servicing asset for residential mortgage loans and the sensitivity of the fair values to immediate adverse changes in those assumptions are shown in the table below as of the dates indicated:</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09"/>
        </w:trPr>
        <w:tc>
          <w:tcPr>
            <w:tcW w:w="5480" w:type="dxa"/>
            <w:vAlign w:val="bottom"/>
            <w:tcBorders>
              <w:bottom w:val="single" w:sz="8" w:color="CCEEFF"/>
            </w:tcBorders>
          </w:tcPr>
          <w:p>
            <w:pPr>
              <w:ind w:left="21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160" w:type="dxa"/>
            <w:vAlign w:val="bottom"/>
            <w:tcBorders>
              <w:bottom w:val="single" w:sz="8" w:color="CCEEFF"/>
            </w:tcBorders>
          </w:tcPr>
          <w:p>
            <w:pPr>
              <w:spacing w:after="0"/>
              <w:rPr>
                <w:sz w:val="18"/>
                <w:szCs w:val="18"/>
                <w:color w:val="auto"/>
              </w:rPr>
            </w:pPr>
          </w:p>
        </w:tc>
      </w:tr>
      <w:tr>
        <w:trPr>
          <w:trHeight w:val="206"/>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Fair value of retained servicing assets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39,294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35,897</w:t>
            </w:r>
          </w:p>
        </w:tc>
        <w:tc>
          <w:tcPr>
            <w:tcW w:w="2160" w:type="dxa"/>
            <w:vAlign w:val="bottom"/>
            <w:shd w:val="clear" w:color="auto" w:fill="CCEEFF"/>
          </w:tcPr>
          <w:p>
            <w:pPr>
              <w:spacing w:after="0"/>
              <w:rPr>
                <w:sz w:val="17"/>
                <w:szCs w:val="17"/>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Prepayment rate assumption: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- 77.6%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- 29.9%</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10% adverse change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(1,301)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(1,225)</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20% adverse change</w:t>
            </w:r>
          </w:p>
        </w:tc>
        <w:tc>
          <w:tcPr>
            <w:tcW w:w="28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(2,536)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(2,381)</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Discount rate: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- 14.0%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 - 15.0%</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100 bps adverse change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(1,633)</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(1,486)</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200 bps adverse change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(3,151)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(2,860)</w:t>
            </w:r>
          </w:p>
        </w:tc>
        <w:tc>
          <w:tcPr>
            <w:tcW w:w="2160" w:type="dxa"/>
            <w:vAlign w:val="bottom"/>
            <w:shd w:val="clear" w:color="auto" w:fill="CCEEFF"/>
          </w:tcPr>
          <w:p>
            <w:pPr>
              <w:spacing w:after="0"/>
              <w:rPr>
                <w:sz w:val="18"/>
                <w:szCs w:val="18"/>
                <w:color w:val="auto"/>
              </w:rPr>
            </w:pPr>
          </w:p>
        </w:tc>
      </w:tr>
    </w:tbl>
    <w:p>
      <w:pPr>
        <w:spacing w:after="0" w:line="27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Liabilities for Equipment Financing Loans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accounts for servicing liabilities associated with sold equipment finance loans using the amortization method. The portfolio of equipment financing loans serviced for others, which is not included in the accompanying balance sheets, was $173 million and $170 million at December 31, 2024 and 2023, respectively. The servicing liabilities related to these loans totaled $1.42 million and $1.47 million at December 31, 2024 and 2023, respectively.</w:t>
      </w:r>
    </w:p>
    <w:p>
      <w:pPr>
        <w:spacing w:after="0" w:line="2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Time Deposits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2024, the contractual maturities of time deposits, including brokered time deposits, are summarized as follows:</w:t>
      </w: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0"/>
        </w:trPr>
        <w:tc>
          <w:tcPr>
            <w:tcW w:w="68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3,271,769</w:t>
            </w:r>
          </w:p>
        </w:tc>
        <w:tc>
          <w:tcPr>
            <w:tcW w:w="2280" w:type="dxa"/>
            <w:vAlign w:val="bottom"/>
          </w:tcPr>
          <w:p>
            <w:pPr>
              <w:spacing w:after="0"/>
              <w:rPr>
                <w:sz w:val="18"/>
                <w:szCs w:val="18"/>
                <w:color w:val="auto"/>
              </w:rPr>
            </w:pPr>
          </w:p>
        </w:tc>
      </w:tr>
      <w:tr>
        <w:trPr>
          <w:trHeight w:val="214"/>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123,125</w:t>
            </w:r>
          </w:p>
        </w:tc>
        <w:tc>
          <w:tcPr>
            <w:tcW w:w="2280" w:type="dxa"/>
            <w:vAlign w:val="bottom"/>
            <w:shd w:val="clear" w:color="auto" w:fill="CCEEFF"/>
          </w:tcPr>
          <w:p>
            <w:pPr>
              <w:spacing w:after="0"/>
              <w:rPr>
                <w:sz w:val="18"/>
                <w:szCs w:val="18"/>
                <w:color w:val="auto"/>
              </w:rPr>
            </w:pPr>
          </w:p>
        </w:tc>
      </w:tr>
      <w:tr>
        <w:trPr>
          <w:trHeight w:val="210"/>
        </w:trPr>
        <w:tc>
          <w:tcPr>
            <w:tcW w:w="68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14,827</w:t>
            </w:r>
          </w:p>
        </w:tc>
        <w:tc>
          <w:tcPr>
            <w:tcW w:w="2280" w:type="dxa"/>
            <w:vAlign w:val="bottom"/>
          </w:tcPr>
          <w:p>
            <w:pPr>
              <w:spacing w:after="0"/>
              <w:rPr>
                <w:sz w:val="18"/>
                <w:szCs w:val="18"/>
                <w:color w:val="auto"/>
              </w:rPr>
            </w:pPr>
          </w:p>
        </w:tc>
      </w:tr>
      <w:tr>
        <w:trPr>
          <w:trHeight w:val="214"/>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w:t>
            </w:r>
          </w:p>
        </w:tc>
        <w:tc>
          <w:tcPr>
            <w:tcW w:w="2280" w:type="dxa"/>
            <w:vAlign w:val="bottom"/>
            <w:shd w:val="clear" w:color="auto" w:fill="CCEEFF"/>
          </w:tcPr>
          <w:p>
            <w:pPr>
              <w:spacing w:after="0"/>
              <w:rPr>
                <w:sz w:val="18"/>
                <w:szCs w:val="18"/>
                <w:color w:val="auto"/>
              </w:rPr>
            </w:pPr>
          </w:p>
        </w:tc>
      </w:tr>
      <w:tr>
        <w:trPr>
          <w:trHeight w:val="210"/>
        </w:trPr>
        <w:tc>
          <w:tcPr>
            <w:tcW w:w="68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2029</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14,463</w:t>
            </w:r>
          </w:p>
        </w:tc>
        <w:tc>
          <w:tcPr>
            <w:tcW w:w="2280" w:type="dxa"/>
            <w:vAlign w:val="bottom"/>
          </w:tcPr>
          <w:p>
            <w:pPr>
              <w:spacing w:after="0"/>
              <w:rPr>
                <w:sz w:val="18"/>
                <w:szCs w:val="18"/>
                <w:color w:val="auto"/>
              </w:rPr>
            </w:pPr>
          </w:p>
        </w:tc>
      </w:tr>
      <w:tr>
        <w:trPr>
          <w:trHeight w:val="212"/>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50,451</w:t>
            </w:r>
          </w:p>
        </w:tc>
        <w:tc>
          <w:tcPr>
            <w:tcW w:w="2280" w:type="dxa"/>
            <w:vAlign w:val="bottom"/>
            <w:shd w:val="clear" w:color="auto" w:fill="CCEEFF"/>
          </w:tcPr>
          <w:p>
            <w:pPr>
              <w:spacing w:after="0"/>
              <w:rPr>
                <w:sz w:val="18"/>
                <w:szCs w:val="18"/>
                <w:color w:val="auto"/>
              </w:rPr>
            </w:pPr>
          </w:p>
        </w:tc>
      </w:tr>
      <w:tr>
        <w:trPr>
          <w:trHeight w:val="207"/>
        </w:trPr>
        <w:tc>
          <w:tcPr>
            <w:tcW w:w="6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Total time deposits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3,491,851</w:t>
            </w:r>
          </w:p>
        </w:tc>
        <w:tc>
          <w:tcPr>
            <w:tcW w:w="228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At December 31, 2024 and 2023, time deposits, excluding brokered time deposits, that met or exceeded the FDIC insurance limit of $250,000 totaled $1.08 billion and $1.18 billion,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and Short-term Borrowings</w:t>
      </w:r>
    </w:p>
    <w:p>
      <w:pPr>
        <w:spacing w:after="0" w:line="24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At December 31, 2024, United had $195 million of short-term borrowings outstanding, which consisted of federal funds purchased. As of December 31, 2023, United had no short-term borrowings outstanding.</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consisted of the following. All debt instruments are obligations of the Holding Company.</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vMerge w:val="restart"/>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Stated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Earliest</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Maturity</w:t>
            </w:r>
          </w:p>
        </w:tc>
        <w:tc>
          <w:tcPr>
            <w:tcW w:w="11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Redemption</w:t>
            </w: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7"/>
              </w:rPr>
              <w:t>Interest Rate at</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4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8"/>
                <w:szCs w:val="18"/>
                <w:color w:val="auto"/>
              </w:rPr>
            </w:pPr>
          </w:p>
        </w:tc>
        <w:tc>
          <w:tcPr>
            <w:tcW w:w="72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Interest Rate Type</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2027 senior debentures</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2027</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5"/>
                <w:szCs w:val="15"/>
                <w:color w:val="auto"/>
                <w:w w:val="94"/>
              </w:rPr>
              <w:t xml:space="preserve">Fixed </w:t>
            </w:r>
            <w:r>
              <w:rPr>
                <w:rFonts w:ascii="Times New Roman" w:cs="Times New Roman" w:eastAsia="Times New Roman" w:hAnsi="Times New Roman"/>
                <w:sz w:val="19"/>
                <w:szCs w:val="19"/>
                <w:color w:val="auto"/>
                <w:w w:val="94"/>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5.50%</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color w:val="auto"/>
              </w:rPr>
              <w:t>Fixed to floating; will become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2030 senior debentures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940" w:type="dxa"/>
            <w:vAlign w:val="bottom"/>
            <w:tcBorders>
              <w:bottom w:val="single" w:sz="8" w:color="CCEEFF"/>
            </w:tcBorders>
            <w:gridSpan w:val="2"/>
          </w:tcPr>
          <w:p>
            <w:pPr>
              <w:jc w:val="center"/>
              <w:ind w:left="5"/>
              <w:spacing w:after="0"/>
              <w:rPr>
                <w:sz w:val="20"/>
                <w:szCs w:val="20"/>
                <w:color w:val="auto"/>
              </w:rPr>
            </w:pPr>
            <w:r>
              <w:rPr>
                <w:rFonts w:ascii="Times New Roman" w:cs="Times New Roman" w:eastAsia="Times New Roman" w:hAnsi="Times New Roman"/>
                <w:sz w:val="15"/>
                <w:szCs w:val="15"/>
                <w:color w:val="auto"/>
                <w:w w:val="99"/>
              </w:rPr>
              <w:t>2030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 at earliest call date</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8"/>
              </w:rPr>
              <w:t>5.00</w:t>
            </w: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senior debentures</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 subordinated debentures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940" w:type="dxa"/>
            <w:vAlign w:val="bottom"/>
            <w:gridSpan w:val="2"/>
            <w:shd w:val="clear" w:color="auto" w:fill="CCEEFF"/>
          </w:tcPr>
          <w:p>
            <w:pPr>
              <w:jc w:val="center"/>
              <w:ind w:left="5"/>
              <w:spacing w:after="0"/>
              <w:rPr>
                <w:sz w:val="20"/>
                <w:szCs w:val="20"/>
                <w:color w:val="auto"/>
              </w:rPr>
            </w:pPr>
            <w:r>
              <w:rPr>
                <w:rFonts w:ascii="Times New Roman" w:cs="Times New Roman" w:eastAsia="Times New Roman" w:hAnsi="Times New Roman"/>
                <w:sz w:val="15"/>
                <w:szCs w:val="15"/>
                <w:color w:val="auto"/>
                <w:w w:val="99"/>
              </w:rPr>
              <w:t>2028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6.97</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color w:val="auto"/>
              </w:rPr>
              <w:t>Fixed to floating; will become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 subordinated debentures</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94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w w:val="99"/>
              </w:rPr>
              <w:t>2029</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 at earliest call date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subordinated debentures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Tidelands Statutory Trust I</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8,248</w:t>
            </w:r>
          </w:p>
        </w:tc>
        <w:tc>
          <w:tcPr>
            <w:tcW w:w="940" w:type="dxa"/>
            <w:vAlign w:val="bottom"/>
            <w:gridSpan w:val="2"/>
            <w:shd w:val="clear" w:color="auto" w:fill="CCEEFF"/>
          </w:tcPr>
          <w:p>
            <w:pPr>
              <w:jc w:val="center"/>
              <w:ind w:left="5"/>
              <w:spacing w:after="0"/>
              <w:rPr>
                <w:sz w:val="20"/>
                <w:szCs w:val="20"/>
                <w:color w:val="auto"/>
              </w:rPr>
            </w:pPr>
            <w:r>
              <w:rPr>
                <w:rFonts w:ascii="Times New Roman" w:cs="Times New Roman" w:eastAsia="Times New Roman" w:hAnsi="Times New Roman"/>
                <w:sz w:val="15"/>
                <w:szCs w:val="15"/>
                <w:color w:val="auto"/>
                <w:w w:val="99"/>
              </w:rPr>
              <w:t>2036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6.46</w:t>
            </w: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Four Oaks Statutory Trust I</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12,372</w:t>
            </w:r>
          </w:p>
        </w:tc>
        <w:tc>
          <w:tcPr>
            <w:tcW w:w="94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w w:val="99"/>
              </w:rPr>
              <w:t>2036</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6.43</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Community First Capital Trust I</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3,093</w:t>
            </w:r>
          </w:p>
        </w:tc>
        <w:tc>
          <w:tcPr>
            <w:tcW w:w="940" w:type="dxa"/>
            <w:vAlign w:val="bottom"/>
            <w:gridSpan w:val="2"/>
            <w:shd w:val="clear" w:color="auto" w:fill="CCEEFF"/>
          </w:tcPr>
          <w:p>
            <w:pPr>
              <w:jc w:val="center"/>
              <w:ind w:left="5"/>
              <w:spacing w:after="0"/>
              <w:rPr>
                <w:sz w:val="20"/>
                <w:szCs w:val="20"/>
                <w:color w:val="auto"/>
              </w:rPr>
            </w:pPr>
            <w:r>
              <w:rPr>
                <w:rFonts w:ascii="Times New Roman" w:cs="Times New Roman" w:eastAsia="Times New Roman" w:hAnsi="Times New Roman"/>
                <w:sz w:val="15"/>
                <w:szCs w:val="15"/>
                <w:color w:val="auto"/>
                <w:w w:val="99"/>
              </w:rPr>
              <w:t>2032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w:t>
            </w: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Community First Capital Trust II</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5,155</w:t>
            </w:r>
          </w:p>
        </w:tc>
        <w:tc>
          <w:tcPr>
            <w:tcW w:w="94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w w:val="99"/>
              </w:rPr>
              <w:t>2035</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6.58</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Community First Capital Trust III</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w:t>
            </w:r>
          </w:p>
        </w:tc>
        <w:tc>
          <w:tcPr>
            <w:tcW w:w="940" w:type="dxa"/>
            <w:vAlign w:val="bottom"/>
            <w:gridSpan w:val="2"/>
            <w:shd w:val="clear" w:color="auto" w:fill="CCEEFF"/>
          </w:tcPr>
          <w:p>
            <w:pPr>
              <w:jc w:val="center"/>
              <w:ind w:left="5"/>
              <w:spacing w:after="0"/>
              <w:rPr>
                <w:sz w:val="20"/>
                <w:szCs w:val="20"/>
                <w:color w:val="auto"/>
              </w:rPr>
            </w:pPr>
            <w:r>
              <w:rPr>
                <w:rFonts w:ascii="Times New Roman" w:cs="Times New Roman" w:eastAsia="Times New Roman" w:hAnsi="Times New Roman"/>
                <w:sz w:val="15"/>
                <w:szCs w:val="15"/>
                <w:color w:val="auto"/>
                <w:w w:val="99"/>
              </w:rPr>
              <w:t>2037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Floating</w:t>
            </w: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trust preferred securities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25,775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34,332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net discount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long-term debt</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254,152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324,823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 Indicates currently redeemable.</w:t>
      </w:r>
    </w:p>
    <w:p>
      <w:pPr>
        <w:spacing w:after="0" w:line="11" w:lineRule="exact"/>
        <w:rPr>
          <w:sz w:val="20"/>
          <w:szCs w:val="20"/>
          <w:color w:val="auto"/>
        </w:rPr>
      </w:pPr>
    </w:p>
    <w:p>
      <w:pPr>
        <w:ind w:left="460" w:hanging="136"/>
        <w:spacing w:after="0"/>
        <w:tabs>
          <w:tab w:leader="none" w:pos="46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August of 2025, interest rate will increase to 6.00% through the end of the term.</w:t>
      </w:r>
    </w:p>
    <w:p>
      <w:pPr>
        <w:spacing w:after="0" w:line="21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During 2024, United redeemed the Community First Capital Trust I and Community First Capital Trust III trust preferred securities and the 2029 subordinated debentures prior to maturity. United recognized a $2.27 million gain on extinguishment of debt related to the 2029 subordinated debt, which was assumed from Reliant. The gain represented the debentures’ remaining purchase accounting premium.</w:t>
      </w:r>
    </w:p>
    <w:p>
      <w:pPr>
        <w:spacing w:after="0" w:line="20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Interest is currently paid at least semiannually for all senior and subordinated debentures and trust preferred securities. Floating rate debentures are based off 3-month Term SOFR or Prime plus a spread. Interest rates above exclude the effect of any cash flow hedges on hedged debt instruments. See Note 8 for further detail.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Operating Leases</w:t>
      </w:r>
    </w:p>
    <w:p>
      <w:pPr>
        <w:spacing w:after="0" w:line="24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balances of the ROU asset and corresponding operating lease liability and supplemental lease information as of the dates indicated</w:t>
      </w:r>
      <w:r>
        <w:rPr>
          <w:rFonts w:ascii="Times New Roman" w:cs="Times New Roman" w:eastAsia="Times New Roman" w:hAnsi="Times New Roman"/>
          <w:sz w:val="18"/>
          <w:szCs w:val="18"/>
          <w:i w:val="1"/>
          <w:iCs w:val="1"/>
          <w:color w:val="auto"/>
        </w:rPr>
        <w:t>.</w:t>
      </w:r>
    </w:p>
    <w:tbl>
      <w:tblPr>
        <w:tblLayout w:type="fixed"/>
        <w:tblInd w:w="32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c>
          <w:tcPr>
            <w:tcW w:w="1880" w:type="dxa"/>
            <w:vAlign w:val="bottom"/>
          </w:tcPr>
          <w:p>
            <w:pPr>
              <w:spacing w:after="0"/>
              <w:rPr>
                <w:sz w:val="18"/>
                <w:szCs w:val="18"/>
                <w:color w:val="auto"/>
              </w:rPr>
            </w:pPr>
          </w:p>
        </w:tc>
      </w:tr>
      <w:tr>
        <w:trPr>
          <w:trHeight w:val="209"/>
        </w:trPr>
        <w:tc>
          <w:tcPr>
            <w:tcW w:w="4900" w:type="dxa"/>
            <w:vAlign w:val="bottom"/>
            <w:tcBorders>
              <w:bottom w:val="single" w:sz="8" w:color="CCEEFF"/>
            </w:tcBorders>
          </w:tcPr>
          <w:p>
            <w:pPr>
              <w:ind w:left="18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80" w:type="dxa"/>
            <w:vAlign w:val="bottom"/>
            <w:tcBorders>
              <w:bottom w:val="single" w:sz="8" w:color="CCEEFF"/>
            </w:tcBorders>
          </w:tcPr>
          <w:p>
            <w:pPr>
              <w:spacing w:after="0"/>
              <w:rPr>
                <w:sz w:val="18"/>
                <w:szCs w:val="18"/>
                <w:color w:val="auto"/>
              </w:rPr>
            </w:pPr>
          </w:p>
        </w:tc>
      </w:tr>
      <w:tr>
        <w:trPr>
          <w:trHeight w:val="206"/>
        </w:trPr>
        <w:tc>
          <w:tcPr>
            <w:tcW w:w="49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ROU asset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42,818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42,810</w:t>
            </w:r>
          </w:p>
        </w:tc>
        <w:tc>
          <w:tcPr>
            <w:tcW w:w="1880" w:type="dxa"/>
            <w:vAlign w:val="bottom"/>
            <w:shd w:val="clear" w:color="auto" w:fill="CCEEFF"/>
          </w:tcPr>
          <w:p>
            <w:pPr>
              <w:spacing w:after="0"/>
              <w:rPr>
                <w:sz w:val="17"/>
                <w:szCs w:val="17"/>
                <w:color w:val="auto"/>
              </w:rPr>
            </w:pPr>
          </w:p>
        </w:tc>
      </w:tr>
      <w:tr>
        <w:trPr>
          <w:trHeight w:val="210"/>
        </w:trPr>
        <w:tc>
          <w:tcPr>
            <w:tcW w:w="49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45,162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44,146</w:t>
            </w:r>
          </w:p>
        </w:tc>
        <w:tc>
          <w:tcPr>
            <w:tcW w:w="1880" w:type="dxa"/>
            <w:vAlign w:val="bottom"/>
          </w:tcPr>
          <w:p>
            <w:pPr>
              <w:spacing w:after="0"/>
              <w:rPr>
                <w:sz w:val="18"/>
                <w:szCs w:val="18"/>
                <w:color w:val="auto"/>
              </w:rPr>
            </w:pPr>
          </w:p>
        </w:tc>
      </w:tr>
      <w:tr>
        <w:trPr>
          <w:trHeight w:val="214"/>
        </w:trPr>
        <w:tc>
          <w:tcPr>
            <w:tcW w:w="4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0"/>
        </w:trPr>
        <w:tc>
          <w:tcPr>
            <w:tcW w:w="49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440" w:type="dxa"/>
            <w:vAlign w:val="bottom"/>
          </w:tcPr>
          <w:p>
            <w:pPr>
              <w:spacing w:after="0"/>
              <w:rPr>
                <w:sz w:val="18"/>
                <w:szCs w:val="18"/>
                <w:color w:val="auto"/>
              </w:rPr>
            </w:pPr>
          </w:p>
        </w:tc>
        <w:tc>
          <w:tcPr>
            <w:tcW w:w="15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5.5 years</w:t>
            </w:r>
          </w:p>
        </w:tc>
        <w:tc>
          <w:tcPr>
            <w:tcW w:w="500" w:type="dxa"/>
            <w:vAlign w:val="bottom"/>
          </w:tcPr>
          <w:p>
            <w:pPr>
              <w:spacing w:after="0"/>
              <w:rPr>
                <w:sz w:val="18"/>
                <w:szCs w:val="18"/>
                <w:color w:val="auto"/>
              </w:rPr>
            </w:pPr>
          </w:p>
        </w:tc>
        <w:tc>
          <w:tcPr>
            <w:tcW w:w="3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5.0 years</w:t>
            </w:r>
          </w:p>
        </w:tc>
      </w:tr>
      <w:tr>
        <w:trPr>
          <w:trHeight w:val="214"/>
        </w:trPr>
        <w:tc>
          <w:tcPr>
            <w:tcW w:w="49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8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Operating Leases, continued</w:t>
      </w:r>
    </w:p>
    <w:p>
      <w:pPr>
        <w:spacing w:after="0" w:line="200" w:lineRule="exact"/>
        <w:rPr>
          <w:sz w:val="20"/>
          <w:szCs w:val="20"/>
          <w:color w:val="auto"/>
        </w:rPr>
      </w:pPr>
    </w:p>
    <w:p>
      <w:pPr>
        <w:spacing w:after="0" w:line="20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2024, ROU assets obtained in exchange for an increase in the lease liability totaled $15.6 million. During 2023, ROU assets obtained in exchange for an increase in the lease liability totaled $18.0 million, including leases assumed as part of the Progress and First Miami transactions of $10.4 million. During 2022, ROU assets obtained in exchange for an increase in the lease liability totaled $23.9 million, including leases assumed as part of the Reliant transaction of $14.3 million.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information regarding operating lease income and expense recognized for the periods indicated</w:t>
      </w:r>
      <w:r>
        <w:rPr>
          <w:rFonts w:ascii="Times New Roman" w:cs="Times New Roman" w:eastAsia="Times New Roman" w:hAnsi="Times New Roman"/>
          <w:sz w:val="18"/>
          <w:szCs w:val="18"/>
          <w:i w:val="1"/>
          <w:iCs w:val="1"/>
          <w:color w:val="auto"/>
        </w:rPr>
        <w:t>.</w:t>
      </w:r>
    </w:p>
    <w:p>
      <w:pPr>
        <w:spacing w:after="0" w:line="28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tcBorders>
              <w:bottom w:val="single" w:sz="8" w:color="CCEEFF"/>
            </w:tcBorders>
          </w:tcPr>
          <w:p>
            <w:pPr>
              <w:ind w:left="15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Operating lease cost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12,161</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Variable lease cost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Short-term lease cost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Total lease cost</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980" w:type="dxa"/>
            <w:vAlign w:val="bottom"/>
          </w:tcPr>
          <w:p>
            <w:pPr>
              <w:ind w:left="1540"/>
              <w:spacing w:after="0" w:line="159" w:lineRule="exact"/>
              <w:rPr>
                <w:sz w:val="20"/>
                <w:szCs w:val="20"/>
                <w:color w:val="auto"/>
              </w:rPr>
            </w:pPr>
            <w:r>
              <w:rPr>
                <w:rFonts w:ascii="Times New Roman" w:cs="Times New Roman" w:eastAsia="Times New Roman" w:hAnsi="Times New Roman"/>
                <w:sz w:val="16"/>
                <w:szCs w:val="16"/>
                <w:color w:val="auto"/>
              </w:rPr>
              <w:t>Sublease income and rental income from owned</w:t>
            </w:r>
          </w:p>
        </w:tc>
        <w:tc>
          <w:tcPr>
            <w:tcW w:w="2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80" w:type="dxa"/>
            <w:vAlign w:val="bottom"/>
          </w:tcPr>
          <w:p>
            <w:pPr>
              <w:spacing w:after="0"/>
              <w:rPr>
                <w:sz w:val="13"/>
                <w:szCs w:val="13"/>
                <w:color w:val="auto"/>
              </w:rPr>
            </w:pPr>
          </w:p>
        </w:tc>
        <w:tc>
          <w:tcPr>
            <w:tcW w:w="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properties under operating leases</w:t>
            </w: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Net cash payments related to the lease liability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operating leases were as follows:</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4"/>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r>
      <w:tr>
        <w:trPr>
          <w:trHeight w:val="208"/>
        </w:trPr>
        <w:tc>
          <w:tcPr>
            <w:tcW w:w="266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10,441</w:t>
            </w:r>
          </w:p>
        </w:tc>
        <w:tc>
          <w:tcPr>
            <w:tcW w:w="2680" w:type="dxa"/>
            <w:vAlign w:val="bottom"/>
            <w:shd w:val="clear" w:color="auto" w:fill="CCEEFF"/>
          </w:tcPr>
          <w:p>
            <w:pPr>
              <w:spacing w:after="0"/>
              <w:rPr>
                <w:sz w:val="18"/>
                <w:szCs w:val="18"/>
                <w:color w:val="auto"/>
              </w:rPr>
            </w:pPr>
          </w:p>
        </w:tc>
      </w:tr>
      <w:tr>
        <w:trPr>
          <w:trHeight w:val="210"/>
        </w:trPr>
        <w:tc>
          <w:tcPr>
            <w:tcW w:w="6040" w:type="dxa"/>
            <w:vAlign w:val="bottom"/>
            <w:gridSpan w:val="2"/>
          </w:tcPr>
          <w:p>
            <w:pPr>
              <w:ind w:left="2680"/>
              <w:spacing w:after="0"/>
              <w:rPr>
                <w:sz w:val="20"/>
                <w:szCs w:val="20"/>
                <w:color w:val="auto"/>
              </w:rPr>
            </w:pPr>
            <w:r>
              <w:rPr>
                <w:rFonts w:ascii="Times New Roman" w:cs="Times New Roman" w:eastAsia="Times New Roman" w:hAnsi="Times New Roman"/>
                <w:sz w:val="16"/>
                <w:szCs w:val="16"/>
                <w:color w:val="auto"/>
              </w:rPr>
              <w:t>2026</w:t>
            </w:r>
          </w:p>
        </w:tc>
        <w:tc>
          <w:tcPr>
            <w:tcW w:w="7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10,466</w:t>
            </w:r>
          </w:p>
        </w:tc>
        <w:tc>
          <w:tcPr>
            <w:tcW w:w="2680" w:type="dxa"/>
            <w:vAlign w:val="bottom"/>
          </w:tcPr>
          <w:p>
            <w:pPr>
              <w:spacing w:after="0"/>
              <w:rPr>
                <w:sz w:val="18"/>
                <w:szCs w:val="18"/>
                <w:color w:val="auto"/>
              </w:rPr>
            </w:pPr>
          </w:p>
        </w:tc>
      </w:tr>
      <w:tr>
        <w:trPr>
          <w:trHeight w:val="214"/>
        </w:trPr>
        <w:tc>
          <w:tcPr>
            <w:tcW w:w="604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6"/>
                <w:szCs w:val="16"/>
                <w:color w:val="auto"/>
              </w:rPr>
              <w:t>2027</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9,374</w:t>
            </w:r>
          </w:p>
        </w:tc>
        <w:tc>
          <w:tcPr>
            <w:tcW w:w="2680" w:type="dxa"/>
            <w:vAlign w:val="bottom"/>
            <w:shd w:val="clear" w:color="auto" w:fill="CCEEFF"/>
          </w:tcPr>
          <w:p>
            <w:pPr>
              <w:spacing w:after="0"/>
              <w:rPr>
                <w:sz w:val="18"/>
                <w:szCs w:val="18"/>
                <w:color w:val="auto"/>
              </w:rPr>
            </w:pPr>
          </w:p>
        </w:tc>
      </w:tr>
      <w:tr>
        <w:trPr>
          <w:trHeight w:val="210"/>
        </w:trPr>
        <w:tc>
          <w:tcPr>
            <w:tcW w:w="6040" w:type="dxa"/>
            <w:vAlign w:val="bottom"/>
            <w:gridSpan w:val="2"/>
          </w:tcPr>
          <w:p>
            <w:pPr>
              <w:ind w:left="2680"/>
              <w:spacing w:after="0"/>
              <w:rPr>
                <w:sz w:val="20"/>
                <w:szCs w:val="20"/>
                <w:color w:val="auto"/>
              </w:rPr>
            </w:pPr>
            <w:r>
              <w:rPr>
                <w:rFonts w:ascii="Times New Roman" w:cs="Times New Roman" w:eastAsia="Times New Roman" w:hAnsi="Times New Roman"/>
                <w:sz w:val="16"/>
                <w:szCs w:val="16"/>
                <w:color w:val="auto"/>
              </w:rPr>
              <w:t>2028</w:t>
            </w:r>
          </w:p>
        </w:tc>
        <w:tc>
          <w:tcPr>
            <w:tcW w:w="7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6,315</w:t>
            </w:r>
          </w:p>
        </w:tc>
        <w:tc>
          <w:tcPr>
            <w:tcW w:w="2680" w:type="dxa"/>
            <w:vAlign w:val="bottom"/>
          </w:tcPr>
          <w:p>
            <w:pPr>
              <w:spacing w:after="0"/>
              <w:rPr>
                <w:sz w:val="18"/>
                <w:szCs w:val="18"/>
                <w:color w:val="auto"/>
              </w:rPr>
            </w:pPr>
          </w:p>
        </w:tc>
      </w:tr>
      <w:tr>
        <w:trPr>
          <w:trHeight w:val="214"/>
        </w:trPr>
        <w:tc>
          <w:tcPr>
            <w:tcW w:w="604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6"/>
                <w:szCs w:val="16"/>
                <w:color w:val="auto"/>
              </w:rPr>
              <w:t>2029</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4,728</w:t>
            </w:r>
          </w:p>
        </w:tc>
        <w:tc>
          <w:tcPr>
            <w:tcW w:w="2680" w:type="dxa"/>
            <w:vAlign w:val="bottom"/>
            <w:shd w:val="clear" w:color="auto" w:fill="CCEEFF"/>
          </w:tcPr>
          <w:p>
            <w:pPr>
              <w:spacing w:after="0"/>
              <w:rPr>
                <w:sz w:val="18"/>
                <w:szCs w:val="18"/>
                <w:color w:val="auto"/>
              </w:rPr>
            </w:pPr>
          </w:p>
        </w:tc>
      </w:tr>
      <w:tr>
        <w:trPr>
          <w:trHeight w:val="210"/>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8,637</w:t>
            </w:r>
          </w:p>
        </w:tc>
        <w:tc>
          <w:tcPr>
            <w:tcW w:w="2680" w:type="dxa"/>
            <w:vAlign w:val="bottom"/>
            <w:tcBorders>
              <w:bottom w:val="single" w:sz="8" w:color="CCEEFF"/>
            </w:tcBorders>
          </w:tcPr>
          <w:p>
            <w:pPr>
              <w:spacing w:after="0"/>
              <w:rPr>
                <w:sz w:val="18"/>
                <w:szCs w:val="18"/>
                <w:color w:val="auto"/>
              </w:rPr>
            </w:pPr>
          </w:p>
        </w:tc>
      </w:tr>
      <w:tr>
        <w:trPr>
          <w:trHeight w:val="207"/>
        </w:trPr>
        <w:tc>
          <w:tcPr>
            <w:tcW w:w="266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49,961</w:t>
            </w:r>
          </w:p>
        </w:tc>
        <w:tc>
          <w:tcPr>
            <w:tcW w:w="2680" w:type="dxa"/>
            <w:vAlign w:val="bottom"/>
            <w:shd w:val="clear" w:color="auto" w:fill="CCEEFF"/>
          </w:tcPr>
          <w:p>
            <w:pPr>
              <w:spacing w:after="0"/>
              <w:rPr>
                <w:sz w:val="18"/>
                <w:szCs w:val="18"/>
                <w:color w:val="auto"/>
              </w:rPr>
            </w:pPr>
          </w:p>
        </w:tc>
      </w:tr>
      <w:tr>
        <w:trPr>
          <w:trHeight w:val="210"/>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discount</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2680" w:type="dxa"/>
            <w:vAlign w:val="bottom"/>
            <w:tcBorders>
              <w:bottom w:val="single" w:sz="8" w:color="CCEEFF"/>
            </w:tcBorders>
          </w:tcPr>
          <w:p>
            <w:pPr>
              <w:spacing w:after="0"/>
              <w:rPr>
                <w:sz w:val="18"/>
                <w:szCs w:val="18"/>
                <w:color w:val="auto"/>
              </w:rPr>
            </w:pPr>
          </w:p>
        </w:tc>
      </w:tr>
      <w:tr>
        <w:trPr>
          <w:trHeight w:val="232"/>
        </w:trPr>
        <w:tc>
          <w:tcPr>
            <w:tcW w:w="266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liability</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45,162</w:t>
            </w:r>
          </w:p>
        </w:tc>
        <w:tc>
          <w:tcPr>
            <w:tcW w:w="2680" w:type="dxa"/>
            <w:vAlign w:val="bottom"/>
            <w:tcBorders>
              <w:bottom w:val="single" w:sz="8" w:color="CCEEFF"/>
            </w:tcBorders>
            <w:shd w:val="clear" w:color="auto" w:fill="CCEEFF"/>
          </w:tcPr>
          <w:p>
            <w:pPr>
              <w:spacing w:after="0"/>
              <w:rPr>
                <w:sz w:val="19"/>
                <w:szCs w:val="19"/>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4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Valuation is based upon quoted prices (unadjusted) in active markets for identical assets or liabilities that United has the ability to access.</w:t>
      </w:r>
    </w:p>
    <w:p>
      <w:pPr>
        <w:spacing w:after="0" w:line="207" w:lineRule="exact"/>
        <w:rPr>
          <w:sz w:val="20"/>
          <w:szCs w:val="20"/>
          <w:color w:val="auto"/>
        </w:rPr>
      </w:pPr>
    </w:p>
    <w:p>
      <w:pPr>
        <w:jc w:val="both"/>
        <w:ind w:left="320" w:firstLine="636"/>
        <w:spacing w:after="0" w:line="306"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liability (other than quoted prices), such as interest rates, foreign exchange rates, and yield curves that are observable at commonly quoted intervals.</w:t>
      </w:r>
    </w:p>
    <w:p>
      <w:pPr>
        <w:spacing w:after="0" w:line="138" w:lineRule="exact"/>
        <w:rPr>
          <w:sz w:val="20"/>
          <w:szCs w:val="20"/>
          <w:color w:val="auto"/>
        </w:rPr>
      </w:pPr>
    </w:p>
    <w:p>
      <w:pPr>
        <w:jc w:val="both"/>
        <w:ind w:left="3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which are typically based on an entity’s own assumptions, as there is little, if any, related market activity.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0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Securities</w:t>
      </w:r>
    </w:p>
    <w:p>
      <w:pPr>
        <w:spacing w:after="0" w:line="5"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NYSE,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Mutual Funds and Deferred Compensation Plan Liabilities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Included in other assets in the consolidated balance sheets are mutual funds used to hedge the valuation risk of unfunded employee deferred compensation plans. The mutual funds, classified as Level 1, are purchased to match deferred compensation plan participants’ investment elections and are carried at fair value based on quoted market prices of the underlying fund securities. Deferred compensation liabilities, also classified as Level 1, are carried at the fair value of the obligation to the employee and are included in other liabilities in the consolidated balance sheet.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Mortgage Loans Held for Sale</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has elected the fair value option for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6"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7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 In other cases, derivatives are categorized as Level 3 when there is not an observable forward-rate curve available for the duration of the contract.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0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Consideration Receivable</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As part of the FinTrust sale, United recognized a receivable for contingent consideration. The contingent consideration receivable is measured at fair value using a probability-weighted discounted cash flow approach which includes significant unobservable inputs classified within Level 3 of the fair value hierarchy.</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Rights for Residential Mortgage and SBA/USDA Loans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mortgage and SBA/USDA loans sold with servicing retained. Management has elected to carry these assets at fair value. Given the nature of the assets, the key valuation inputs are unobservable and management considers these Level 3 assets. For disclosure regarding the fair value of servicing rights, see Note 10.</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26" w:lineRule="exact"/>
        <w:rPr>
          <w:sz w:val="20"/>
          <w:szCs w:val="20"/>
          <w:color w:val="auto"/>
        </w:rPr>
      </w:pPr>
    </w:p>
    <w:p>
      <w:pPr>
        <w:ind w:left="320" w:right="420"/>
        <w:spacing w:after="0" w:line="251"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aggregated by the level in the fair value hierarchy within which those measurements fall:</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503,669</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320,267</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158,232</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2,229,959</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822,897</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152,620</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248,647</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2,341</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57,534</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15,335</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4,697</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39,294</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7,470</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46,883</w:t>
            </w:r>
          </w:p>
        </w:tc>
      </w:tr>
      <w:tr>
        <w:trPr>
          <w:trHeight w:val="232"/>
        </w:trPr>
        <w:tc>
          <w:tcPr>
            <w:tcW w:w="49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4,609,845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2"/>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15,331</w:t>
            </w:r>
          </w:p>
        </w:tc>
      </w:tr>
      <w:tr>
        <w:trPr>
          <w:trHeight w:val="212"/>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77,834</w:t>
            </w:r>
          </w:p>
        </w:tc>
      </w:tr>
      <w:tr>
        <w:trPr>
          <w:trHeight w:val="207"/>
        </w:trPr>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93,165</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387,349</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267,500</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164,049</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1,507,598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1,507,598</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641,654</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201,222</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161,712</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7,395</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33,008</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12,791</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5,444</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35,897</w:t>
            </w:r>
          </w:p>
        </w:tc>
      </w:tr>
      <w:tr>
        <w:trPr>
          <w:trHeight w:val="212"/>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50,352</w:t>
            </w:r>
          </w:p>
        </w:tc>
      </w:tr>
      <w:tr>
        <w:trPr>
          <w:trHeight w:val="207"/>
        </w:trPr>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405,907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3,015,876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3,475,971</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5"/>
        </w:trPr>
        <w:tc>
          <w:tcPr>
            <w:tcW w:w="4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1"/>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12,838</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84,811</w:t>
            </w:r>
          </w:p>
        </w:tc>
      </w:tr>
      <w:tr>
        <w:trPr>
          <w:trHeight w:val="232"/>
        </w:trPr>
        <w:tc>
          <w:tcPr>
            <w:tcW w:w="49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97,649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For disclosure regarding the fair value of servicing rights, see Note 10. The following table shows a reconciliation of the beginning and ending balances for all other assets and liabilities measured at fair value on a recurring basis using significant unobservable inputs that are classified as Level 3 values: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20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488"/>
              <w:spacing w:after="0"/>
              <w:rPr>
                <w:sz w:val="20"/>
                <w:szCs w:val="20"/>
                <w:color w:val="auto"/>
              </w:rPr>
            </w:pPr>
            <w:r>
              <w:rPr>
                <w:rFonts w:ascii="Times New Roman" w:cs="Times New Roman" w:eastAsia="Times New Roman" w:hAnsi="Times New Roman"/>
                <w:sz w:val="16"/>
                <w:szCs w:val="16"/>
                <w:b w:val="1"/>
                <w:bCs w:val="1"/>
                <w:color w:val="auto"/>
                <w:w w:val="99"/>
              </w:rPr>
              <w:t>Contingent</w:t>
            </w:r>
          </w:p>
        </w:tc>
        <w:tc>
          <w:tcPr>
            <w:tcW w:w="0" w:type="dxa"/>
            <w:vAlign w:val="bottom"/>
          </w:tcPr>
          <w:p>
            <w:pPr>
              <w:spacing w:after="0"/>
              <w:rPr>
                <w:sz w:val="1"/>
                <w:szCs w:val="1"/>
                <w:color w:val="auto"/>
              </w:rPr>
            </w:pPr>
          </w:p>
        </w:tc>
      </w:tr>
      <w:tr>
        <w:trPr>
          <w:trHeight w:val="159"/>
        </w:trPr>
        <w:tc>
          <w:tcPr>
            <w:tcW w:w="47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Corporate Bonds</w:t>
            </w:r>
          </w:p>
        </w:tc>
        <w:tc>
          <w:tcPr>
            <w:tcW w:w="120" w:type="dxa"/>
            <w:vAlign w:val="bottom"/>
          </w:tcPr>
          <w:p>
            <w:pPr>
              <w:spacing w:after="0"/>
              <w:rPr>
                <w:sz w:val="13"/>
                <w:szCs w:val="13"/>
                <w:color w:val="auto"/>
              </w:rPr>
            </w:pPr>
          </w:p>
        </w:tc>
        <w:tc>
          <w:tcPr>
            <w:tcW w:w="1540" w:type="dxa"/>
            <w:vAlign w:val="bottom"/>
            <w:gridSpan w:val="3"/>
          </w:tcPr>
          <w:p>
            <w:pPr>
              <w:jc w:val="center"/>
              <w:ind w:right="508"/>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consideration</w:t>
            </w:r>
          </w:p>
        </w:tc>
        <w:tc>
          <w:tcPr>
            <w:tcW w:w="0" w:type="dxa"/>
            <w:vAlign w:val="bottom"/>
          </w:tcPr>
          <w:p>
            <w:pPr>
              <w:spacing w:after="0"/>
              <w:rPr>
                <w:sz w:val="1"/>
                <w:szCs w:val="1"/>
                <w:color w:val="auto"/>
              </w:rPr>
            </w:pPr>
          </w:p>
        </w:tc>
      </w:tr>
      <w:tr>
        <w:trPr>
          <w:trHeight w:val="211"/>
        </w:trPr>
        <w:tc>
          <w:tcPr>
            <w:tcW w:w="4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Liability</w:t>
            </w: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508"/>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206"/>
        </w:trPr>
        <w:tc>
          <w:tcPr>
            <w:tcW w:w="47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2,395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Pr>
          <w:p>
            <w:pPr>
              <w:ind w:left="440"/>
              <w:spacing w:after="0" w:line="212" w:lineRule="exact"/>
              <w:rPr>
                <w:sz w:val="20"/>
                <w:szCs w:val="20"/>
                <w:color w:val="auto"/>
              </w:rPr>
            </w:pPr>
            <w:r>
              <w:rPr>
                <w:rFonts w:ascii="Times New Roman" w:cs="Times New Roman" w:eastAsia="Times New Roman" w:hAnsi="Times New Roman"/>
                <w:sz w:val="16"/>
                <w:szCs w:val="16"/>
                <w:color w:val="auto"/>
              </w:rPr>
              <w:t xml:space="preserve">Transfers from Level 3 </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Additions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Sales and settlements</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adjustments included in OCI</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Fair value adjustments included in earnings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12,840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Additions</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Sales and settlements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Fair value adjustments included in OCI</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adjustments included in earnings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2,205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6"/>
                <w:szCs w:val="16"/>
                <w:color w:val="auto"/>
              </w:rPr>
              <w:t xml:space="preserve">Transfers from Level 3 </w:t>
            </w:r>
            <w:r>
              <w:rPr>
                <w:rFonts w:ascii="Times New Roman" w:cs="Times New Roman" w:eastAsia="Times New Roman" w:hAnsi="Times New Roman"/>
                <w:sz w:val="20"/>
                <w:szCs w:val="20"/>
                <w:color w:val="auto"/>
                <w:vertAlign w:val="superscript"/>
              </w:rPr>
              <w:t>(2)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tcPr>
          <w:p>
            <w:pPr>
              <w:ind w:left="440"/>
              <w:spacing w:after="0" w:line="212" w:lineRule="exact"/>
              <w:rPr>
                <w:sz w:val="20"/>
                <w:szCs w:val="20"/>
                <w:color w:val="auto"/>
              </w:rPr>
            </w:pPr>
            <w:r>
              <w:rPr>
                <w:rFonts w:ascii="Times New Roman" w:cs="Times New Roman" w:eastAsia="Times New Roman" w:hAnsi="Times New Roman"/>
                <w:sz w:val="16"/>
                <w:szCs w:val="16"/>
                <w:color w:val="auto"/>
              </w:rPr>
              <w:t xml:space="preserve">Transfers from Level 2 </w:t>
            </w:r>
            <w:r>
              <w:rPr>
                <w:rFonts w:ascii="Times New Roman" w:cs="Times New Roman" w:eastAsia="Times New Roman" w:hAnsi="Times New Roman"/>
                <w:sz w:val="20"/>
                <w:szCs w:val="20"/>
                <w:color w:val="auto"/>
                <w:vertAlign w:val="superscript"/>
              </w:rPr>
              <w:t>(2)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Additions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7,623</w:t>
            </w:r>
          </w:p>
        </w:tc>
        <w:tc>
          <w:tcPr>
            <w:tcW w:w="3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Sales and settlements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adjustments included in OCI</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Fair value adjustments included in earnings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left="320"/>
        <w:spacing w:after="0" w:line="237" w:lineRule="auto"/>
        <w:rPr>
          <w:sz w:val="20"/>
          <w:szCs w:val="20"/>
          <w:color w:val="auto"/>
        </w:rPr>
      </w:pPr>
      <w:r>
        <w:rPr>
          <w:rFonts w:ascii="Times New Roman" w:cs="Times New Roman" w:eastAsia="Times New Roman" w:hAnsi="Times New Roman"/>
          <w:sz w:val="16"/>
          <w:szCs w:val="16"/>
          <w:color w:val="auto"/>
        </w:rPr>
        <w:t xml:space="preserve">Certain derivative assets were transferred from Level 3 of the fair value hierarchy due to a change in the assessment of significance of the CVA.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Certain derivative assets were transferred between Level 2 and Level 3 of the fair value hierarchy due to a change in the availability of an observable forward-rate curve for the duration of the contract.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excluding servicing rights which are detailed in</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78105</wp:posOffset>
            </wp:positionV>
            <wp:extent cx="28435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43530" cy="8255"/>
                    </a:xfrm>
                    <a:prstGeom prst="rect">
                      <a:avLst/>
                    </a:prstGeom>
                    <a:noFill/>
                  </pic:spPr>
                </pic:pic>
              </a:graphicData>
            </a:graphic>
          </wp:anchor>
        </w:drawing>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40" w:type="dxa"/>
            <w:vAlign w:val="bottom"/>
            <w:gridSpan w:val="2"/>
            <w:vMerge w:val="continue"/>
          </w:tcPr>
          <w:p>
            <w:pPr>
              <w:spacing w:after="0" w:line="20" w:lineRule="exact"/>
              <w:rPr>
                <w:sz w:val="1"/>
                <w:szCs w:val="1"/>
                <w:color w:val="auto"/>
              </w:rPr>
            </w:pPr>
          </w:p>
        </w:tc>
        <w:tc>
          <w:tcPr>
            <w:tcW w:w="2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c>
          <w:tcPr>
            <w:tcW w:w="13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200" w:type="dxa"/>
            <w:vAlign w:val="bottom"/>
            <w:gridSpan w:val="2"/>
            <w:vMerge w:val="continue"/>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72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Range</w:t>
            </w:r>
          </w:p>
        </w:tc>
        <w:tc>
          <w:tcPr>
            <w:tcW w:w="860" w:type="dxa"/>
            <w:vAlign w:val="bottom"/>
            <w:tcBorders>
              <w:top w:val="single" w:sz="8" w:color="auto"/>
            </w:tcBorders>
          </w:tcPr>
          <w:p>
            <w:pPr>
              <w:jc w:val="center"/>
              <w:ind w:right="21"/>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880" w:type="dxa"/>
            <w:vAlign w:val="bottom"/>
            <w:tcBorders>
              <w:top w:val="single" w:sz="8" w:color="auto"/>
            </w:tcBorders>
          </w:tcPr>
          <w:p>
            <w:pPr>
              <w:jc w:val="center"/>
              <w:ind w:right="1"/>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3"/>
            <w:vMerge w:val="continue"/>
          </w:tcPr>
          <w:p>
            <w:pPr>
              <w:spacing w:after="0"/>
              <w:rPr>
                <w:sz w:val="18"/>
                <w:szCs w:val="18"/>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206"/>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70.4% - 100%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w w:val="96"/>
              </w:rPr>
              <w:t>91.6%</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 - 100%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159"/>
        </w:trPr>
        <w:tc>
          <w:tcPr>
            <w:tcW w:w="2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Derivative assets &amp; liabilities -</w:t>
            </w:r>
          </w:p>
        </w:tc>
        <w:tc>
          <w:tcPr>
            <w:tcW w:w="134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rPr>
              <w:t>Dealer priced</w:t>
            </w:r>
          </w:p>
        </w:tc>
        <w:tc>
          <w:tcPr>
            <w:tcW w:w="27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Dealer priced</w:t>
            </w:r>
          </w:p>
        </w:tc>
        <w:tc>
          <w:tcPr>
            <w:tcW w:w="132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6"/>
                <w:szCs w:val="16"/>
                <w:color w:val="auto"/>
                <w:w w:val="94"/>
              </w:rPr>
              <w:t>N/A</w:t>
            </w: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color w:val="auto"/>
              </w:rPr>
              <w:t>N/A</w:t>
            </w:r>
          </w:p>
        </w:tc>
        <w:tc>
          <w:tcPr>
            <w:tcW w:w="130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6"/>
                <w:szCs w:val="16"/>
                <w:color w:val="auto"/>
              </w:rPr>
              <w:t>N/A</w:t>
            </w:r>
          </w:p>
        </w:tc>
        <w:tc>
          <w:tcPr>
            <w:tcW w:w="880" w:type="dxa"/>
            <w:vAlign w:val="bottom"/>
          </w:tcPr>
          <w:p>
            <w:pPr>
              <w:jc w:val="center"/>
              <w:ind w:right="21"/>
              <w:spacing w:after="0" w:line="159" w:lineRule="exact"/>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21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0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Corporate bonds</w:t>
            </w:r>
          </w:p>
        </w:tc>
        <w:tc>
          <w:tcPr>
            <w:tcW w:w="134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Discounted cash</w:t>
            </w:r>
          </w:p>
        </w:tc>
        <w:tc>
          <w:tcPr>
            <w:tcW w:w="272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Discount rate</w:t>
            </w:r>
          </w:p>
        </w:tc>
        <w:tc>
          <w:tcPr>
            <w:tcW w:w="11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6.3 - 6.5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21"/>
              <w:spacing w:after="0" w:line="161" w:lineRule="exact"/>
              <w:rPr>
                <w:sz w:val="20"/>
                <w:szCs w:val="20"/>
                <w:color w:val="auto"/>
              </w:rPr>
            </w:pPr>
            <w:r>
              <w:rPr>
                <w:rFonts w:ascii="Times New Roman" w:cs="Times New Roman" w:eastAsia="Times New Roman" w:hAnsi="Times New Roman"/>
                <w:sz w:val="16"/>
                <w:szCs w:val="16"/>
                <w:color w:val="auto"/>
                <w:w w:val="99"/>
              </w:rPr>
              <w:t>6.4</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7"/>
              </w:rPr>
              <w:t>6.1 - 6.7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1"/>
              <w:spacing w:after="0" w:line="161" w:lineRule="exact"/>
              <w:rPr>
                <w:sz w:val="20"/>
                <w:szCs w:val="20"/>
                <w:color w:val="auto"/>
              </w:rPr>
            </w:pPr>
            <w:r>
              <w:rPr>
                <w:rFonts w:ascii="Times New Roman" w:cs="Times New Roman" w:eastAsia="Times New Roman" w:hAnsi="Times New Roman"/>
                <w:sz w:val="16"/>
                <w:szCs w:val="16"/>
                <w:color w:val="auto"/>
                <w:w w:val="99"/>
              </w:rPr>
              <w:t>6.5</w:t>
            </w: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Contingent consideration</w:t>
            </w:r>
          </w:p>
        </w:tc>
        <w:tc>
          <w:tcPr>
            <w:tcW w:w="134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rPr>
              <w:t>Discounted cash</w:t>
            </w:r>
          </w:p>
        </w:tc>
        <w:tc>
          <w:tcPr>
            <w:tcW w:w="27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Discount rate</w:t>
            </w: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0.0 - 7.1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1"/>
              <w:spacing w:after="0" w:line="159" w:lineRule="exact"/>
              <w:rPr>
                <w:sz w:val="20"/>
                <w:szCs w:val="20"/>
                <w:color w:val="auto"/>
              </w:rPr>
            </w:pPr>
            <w:r>
              <w:rPr>
                <w:rFonts w:ascii="Times New Roman" w:cs="Times New Roman" w:eastAsia="Times New Roman" w:hAnsi="Times New Roman"/>
                <w:sz w:val="16"/>
                <w:szCs w:val="16"/>
                <w:color w:val="auto"/>
                <w:w w:val="99"/>
              </w:rPr>
              <w:t>6.4</w:t>
            </w:r>
          </w:p>
        </w:tc>
        <w:tc>
          <w:tcPr>
            <w:tcW w:w="120" w:type="dxa"/>
            <w:vAlign w:val="bottom"/>
          </w:tcPr>
          <w:p>
            <w:pPr>
              <w:spacing w:after="0"/>
              <w:rPr>
                <w:sz w:val="13"/>
                <w:szCs w:val="13"/>
                <w:color w:val="auto"/>
              </w:rPr>
            </w:pPr>
          </w:p>
        </w:tc>
        <w:tc>
          <w:tcPr>
            <w:tcW w:w="130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right="1"/>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receivable</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flow</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w w:val="99"/>
              </w:rPr>
              <w:t>92.6</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0"/>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w w:val="98"/>
              </w:rPr>
              <w:t>Mortgage Loans Held for Sale</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Fair value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1280" w:type="dxa"/>
            <w:vAlign w:val="bottom"/>
          </w:tcPr>
          <w:p>
            <w:pPr>
              <w:spacing w:after="0"/>
              <w:rPr>
                <w:sz w:val="24"/>
                <w:szCs w:val="24"/>
                <w:color w:val="auto"/>
              </w:rPr>
            </w:pP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24"/>
                <w:szCs w:val="24"/>
                <w:color w:val="auto"/>
              </w:rPr>
            </w:pPr>
          </w:p>
        </w:tc>
        <w:tc>
          <w:tcPr>
            <w:tcW w:w="5420" w:type="dxa"/>
            <w:vAlign w:val="bottom"/>
            <w:gridSpan w:val="15"/>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9"/>
              </w:rPr>
              <w:t>Amount of Gain (Loss) Recognized on</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9"/>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9"/>
              </w:rPr>
              <w:t>Mortgage Loans Held for Sale</w:t>
            </w: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Borders>
              <w:bottom w:val="single" w:sz="8" w:color="CCEEFF"/>
            </w:tcBorders>
          </w:tcPr>
          <w:p>
            <w:pPr>
              <w:spacing w:after="0"/>
              <w:rPr>
                <w:sz w:val="17"/>
                <w:szCs w:val="17"/>
                <w:color w:val="auto"/>
              </w:rPr>
            </w:pPr>
          </w:p>
        </w:tc>
        <w:tc>
          <w:tcPr>
            <w:tcW w:w="33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1380" w:type="dxa"/>
            <w:vAlign w:val="bottom"/>
            <w:gridSpan w:val="2"/>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lower of amortized cost or fair value accounting or write-downs of individual assets due to impairment.</w:t>
      </w:r>
    </w:p>
    <w:p>
      <w:pPr>
        <w:spacing w:after="0" w:line="210"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fair value hierarchy and carrying value of all assets that were still held as of December 31, 2024 and 2023, for which a nonrecurring fair value adjustment was recorded during the periods presented.</w:t>
      </w:r>
    </w:p>
    <w:tbl>
      <w:tblPr>
        <w:tblLayout w:type="fixed"/>
        <w:tblInd w:w="32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4"/>
        </w:trPr>
        <w:tc>
          <w:tcPr>
            <w:tcW w:w="174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17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27,313</w:t>
            </w:r>
          </w:p>
        </w:tc>
        <w:tc>
          <w:tcPr>
            <w:tcW w:w="1780" w:type="dxa"/>
            <w:vAlign w:val="bottom"/>
            <w:tcBorders>
              <w:top w:val="single" w:sz="8" w:color="CCEEFF"/>
            </w:tcBorders>
            <w:shd w:val="clear" w:color="auto" w:fill="CCEEFF"/>
          </w:tcPr>
          <w:p>
            <w:pPr>
              <w:spacing w:after="0"/>
              <w:rPr>
                <w:sz w:val="18"/>
                <w:szCs w:val="18"/>
                <w:color w:val="auto"/>
              </w:rPr>
            </w:pPr>
          </w:p>
        </w:tc>
      </w:tr>
      <w:tr>
        <w:trPr>
          <w:trHeight w:val="212"/>
        </w:trPr>
        <w:tc>
          <w:tcPr>
            <w:tcW w:w="1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2"/>
        </w:trPr>
        <w:tc>
          <w:tcPr>
            <w:tcW w:w="1740" w:type="dxa"/>
            <w:vAlign w:val="bottom"/>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01"/>
        </w:trPr>
        <w:tc>
          <w:tcPr>
            <w:tcW w:w="1740" w:type="dxa"/>
            <w:vAlign w:val="bottom"/>
          </w:tcPr>
          <w:p>
            <w:pPr>
              <w:spacing w:after="0"/>
              <w:rPr>
                <w:sz w:val="17"/>
                <w:szCs w:val="17"/>
                <w:color w:val="auto"/>
              </w:rPr>
            </w:pPr>
          </w:p>
        </w:tc>
        <w:tc>
          <w:tcPr>
            <w:tcW w:w="2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2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36,984</w:t>
            </w:r>
          </w:p>
        </w:tc>
        <w:tc>
          <w:tcPr>
            <w:tcW w:w="1780" w:type="dxa"/>
            <w:vAlign w:val="bottom"/>
          </w:tcPr>
          <w:p>
            <w:pPr>
              <w:spacing w:after="0"/>
              <w:rPr>
                <w:sz w:val="17"/>
                <w:szCs w:val="17"/>
                <w:color w:val="auto"/>
              </w:rPr>
            </w:pPr>
          </w:p>
        </w:tc>
      </w:tr>
    </w:tbl>
    <w:p>
      <w:pPr>
        <w:spacing w:after="0" w:line="27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been assigned a specific reserve. Nonaccrual loans that are collateral dependent are generally written down to net realizable value, which reflects fair values less the estimated costs to sell. Specific reserves that are established based on appraised value of collateral are considered nonrecurring fair value adjustments as well.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0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When the fair value of the collateral is based on an observable market price or a current appraised value, United records the impaired loan as nonrecurring Level 2. When an appraised value is not available or management determines the fair value is further impaired below the appraised value and there is no observable market price, United records the impaired loan as nonrecurring Level 3.</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1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4"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wealth management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carrying amount and fair values for other financial instruments that are not measured at fair value on a recurring basis in United’s consolidated balance sheets are as follows: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6"/>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18,162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1,925,964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1,944,126</w:t>
            </w: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17,325,630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r>
      <w:tr>
        <w:trPr>
          <w:trHeight w:val="212"/>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248,657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r>
      <w:tr>
        <w:trPr>
          <w:trHeight w:val="212"/>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2,077,670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2,095,620</w:t>
            </w: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17,585,073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17,585,073</w:t>
            </w:r>
          </w:p>
        </w:tc>
      </w:tr>
      <w:tr>
        <w:trPr>
          <w:trHeight w:val="214"/>
        </w:trPr>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23,305,223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23,305,223</w:t>
            </w:r>
          </w:p>
        </w:tc>
      </w:tr>
      <w:tr>
        <w:trPr>
          <w:trHeight w:val="208"/>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310,060</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Common and Preferred Stock</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6" w:lineRule="exact"/>
        <w:rPr>
          <w:sz w:val="20"/>
          <w:szCs w:val="20"/>
          <w:color w:val="auto"/>
        </w:rPr>
      </w:pPr>
    </w:p>
    <w:p>
      <w:pPr>
        <w:jc w:val="both"/>
        <w:ind w:left="320"/>
        <w:spacing w:after="0" w:line="236" w:lineRule="auto"/>
        <w:rPr>
          <w:sz w:val="20"/>
          <w:szCs w:val="20"/>
          <w:color w:val="auto"/>
        </w:rPr>
      </w:pPr>
      <w:r>
        <w:rPr>
          <w:rFonts w:ascii="Times New Roman" w:cs="Times New Roman" w:eastAsia="Times New Roman" w:hAnsi="Times New Roman"/>
          <w:sz w:val="18"/>
          <w:szCs w:val="18"/>
          <w:color w:val="auto"/>
        </w:rPr>
        <w:t>In August of 2024, the Board approved an increase in the amount of United’s common stock that management was authorized to repurchase from $50.0 million to $100 million and approved an extension of the repurchase program through December 31, 2025. Under the program, shares may be repurchased in open market transactions or in privately negotiated transactions, from time to time, subject to market conditions. During 2024, 2023, and 2022, no shares were repurchased under the program. As of December 31, 2024, United had remaining authorization to repurchase up to $100 million of outstanding common stock.</w:t>
      </w:r>
    </w:p>
    <w:p>
      <w:pPr>
        <w:spacing w:after="0" w:line="222"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United sponsors a DRIP that allows participants who already own United’s common stock to purchase additional shares directly from the Company. The DRIP also allows participants to automatically reinvest their quarterly dividends in additional shares of common stock without a commission. In 2024, 2023 and 2022, 12,345, 11,307 and 8,941 shares, respectively, were issued under the DRIP.</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United’s Series I perpetual non-cumulative preferred stock (“Preferred Stock”) and corresponding depositary shares each representing a 1/1,000th interest in one share of Preferred Stock have a dividend rate of 6.875% per annum. If declared, dividends are payable quarterly in arrears. The Preferred Stock has no stated maturity and redemption is solely at the option of United in whole, but not in part, upon the occurrence of a regulatory capital treatment event, as defined. In addition, the Preferred Stock may be redeemed on or after September 15, 2025 at a cash redemption price equal to $25,000 per share (equivalent to $25 per depositary share) plus any declared and unpaid dividends. As of December 31, 2024 and 2023, the Preferred Stock had a carrying amount of $88.3 million.</w:t>
      </w:r>
    </w:p>
    <w:p>
      <w:pPr>
        <w:spacing w:after="0" w:line="218"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In November 2023, the Board approved an extension of United’s preferred stock repurchase program, authorizing the repurchase of up to $18.4 million of shares of its outstanding Series I Non-Cumulative Preferred Stock directly or through the repurchase of depositary shares representing 1/1000th of a share of Series I Non-Cumulative Preferred Stock through December 31, 2024. The extended repurchase authorization expired on December 31, 2024. During 2024, no shares were repurchased under the program; during 2023, 338,350 depositary shares were repurchased.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 Compensation Plans</w:t>
      </w:r>
    </w:p>
    <w:p>
      <w:pPr>
        <w:spacing w:after="0" w:line="24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stock-based compensation. The general terms of the plan include a vesting period (usually four years) with an exercisable period not to exceed ten years. Certain options and restricted stock unit awards provide for accelerated vesting if there is a change in control of United or certain other conditions are met (as defined in the plan document). As of December 31, 2024, 1.79 million additional awards could be granted under the plan.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units and options outstanding and activity for the years ended December 31 consisted of the following:</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420" w:type="dxa"/>
            <w:vAlign w:val="bottom"/>
            <w:tcBorders>
              <w:bottom w:val="single" w:sz="8" w:color="auto"/>
            </w:tcBorders>
            <w:gridSpan w:val="7"/>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vMerge w:val="restart"/>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20" w:type="dxa"/>
            <w:vAlign w:val="bottom"/>
          </w:tcPr>
          <w:p>
            <w:pPr>
              <w:spacing w:after="0"/>
              <w:rPr>
                <w:sz w:val="13"/>
                <w:szCs w:val="13"/>
                <w:color w:val="auto"/>
              </w:rPr>
            </w:pPr>
          </w:p>
        </w:tc>
        <w:tc>
          <w:tcPr>
            <w:tcW w:w="112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7"/>
              </w:rPr>
              <w:t>Grant Date</w:t>
            </w: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Intrinsic Value</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Value (000’s)</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Term (Yrs.)</w:t>
            </w:r>
          </w:p>
        </w:tc>
        <w:tc>
          <w:tcPr>
            <w:tcW w:w="160" w:type="dxa"/>
            <w:vAlign w:val="bottom"/>
          </w:tcPr>
          <w:p>
            <w:pPr>
              <w:spacing w:after="0"/>
              <w:rPr>
                <w:sz w:val="18"/>
                <w:szCs w:val="18"/>
                <w:color w:val="auto"/>
              </w:rPr>
            </w:pPr>
          </w:p>
        </w:tc>
        <w:tc>
          <w:tcPr>
            <w:tcW w:w="9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(000’s)</w:t>
            </w:r>
          </w:p>
        </w:tc>
        <w:tc>
          <w:tcPr>
            <w:tcW w:w="0" w:type="dxa"/>
            <w:vAlign w:val="bottom"/>
          </w:tcPr>
          <w:p>
            <w:pPr>
              <w:spacing w:after="0"/>
              <w:rPr>
                <w:sz w:val="1"/>
                <w:szCs w:val="1"/>
                <w:color w:val="auto"/>
              </w:rPr>
            </w:pPr>
          </w:p>
        </w:tc>
      </w:tr>
      <w:tr>
        <w:trPr>
          <w:trHeight w:val="20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 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Granted/Assumed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 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31.21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 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(91,812)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1,101,977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 Exercisable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Options granted or assumed in 2023 and 2022 were related to the Progress and Reliant acquisitions, respectively, with the weighted average exercise price of the acquired institution’s fully vested converted options determined pursuant to the purchase agreement. The value of the options was determined using a Black-Scholes model and was included in each acquisition’s purchase price. No compensation expense relating to options was included in earnings for 2024, 2023 or 2022.</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Compensation expense for restricted stock units without market conditions is based on the market value of United’s common stock on the date of grant.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United recognizes the impact of forfeitures as they occur. The value of restricted stock unit awards is amortized into expense over the service period.</w:t>
      </w:r>
    </w:p>
    <w:p>
      <w:pPr>
        <w:spacing w:after="0" w:line="19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addition to time-based restricted stock unit awards, the Board has also approved performance-based restricted stock units (“PSUs”), which vest based on achieving certain performance and market targets relative to a bank peer group. Achievement of the target-level performance and market criteria for all applicable periods will result in the issuance of 207,887 shares, which are included in the outstanding balance as of December 31, 2024 in the table above. The actual number of shares issued related to the vesting of PSUs may be greater or less than target depending on the achievement of the performance and market criteria during any applicable performance period. The grant date per share fair market value of PSUs is estimated using the Monte Carlo Simulation valuation model.</w:t>
      </w:r>
    </w:p>
    <w:p>
      <w:pPr>
        <w:spacing w:after="0" w:line="21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Compensation expense recognized in the consolidated statements of income for employee restricted stock unit awards in 2024, 2023 and 2022 was $10.1 million, $8.21 million and $8.17 million, respectively, which was recognized in salaries and employee benefits expense. In addition, in 2024, 2023 and 2022, $743,000, $725,000 and $540,000, respectively, was recognized in other operating expenses for restricted stock unit awards granted to members of the Board. Deferred income tax benefits related to stock-based compensation expense of $2.73 million, $2.28 million and $2.22 million were included in the determination of income tax expense in 2024, 2023 and 2022, respectively. As of December 31, 2024, there was $23.8 million of unrecognized compensation cost related to restricted stock units granted under the plan. The cost is expected to be recognized over a weighted-average period of 2.6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Reclassifications Out of AOCI</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presents the details regarding amounts reclassified out of AOCI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Amounts shown above in parentheses reduce earnings.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6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Amounts Reclassified from AOCI For the Years Ended</w:t>
            </w: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12"/>
        </w:trPr>
        <w:tc>
          <w:tcPr>
            <w:tcW w:w="3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Affected Line Item in the Statement Where Net</w:t>
            </w:r>
          </w:p>
        </w:tc>
      </w:tr>
      <w:tr>
        <w:trPr>
          <w:trHeight w:val="204"/>
        </w:trPr>
        <w:tc>
          <w:tcPr>
            <w:tcW w:w="3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Income is Presented</w:t>
            </w:r>
          </w:p>
        </w:tc>
      </w:tr>
      <w:tr>
        <w:trPr>
          <w:trHeight w:val="20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losses on AFS securities: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14"/>
        </w:trPr>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losses, net</w:t>
            </w:r>
          </w:p>
        </w:tc>
      </w:tr>
      <w:tr>
        <w:trPr>
          <w:trHeight w:val="210"/>
        </w:trPr>
        <w:tc>
          <w:tcPr>
            <w:tcW w:w="3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2"/>
        </w:trPr>
        <w:tc>
          <w:tcPr>
            <w:tcW w:w="3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r>
        <w:trPr>
          <w:trHeight w:val="106"/>
        </w:trPr>
        <w:tc>
          <w:tcPr>
            <w:tcW w:w="33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2"/>
        </w:trPr>
        <w:tc>
          <w:tcPr>
            <w:tcW w:w="4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10"/>
        </w:trPr>
        <w:tc>
          <w:tcPr>
            <w:tcW w:w="33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2"/>
        </w:trPr>
        <w:tc>
          <w:tcPr>
            <w:tcW w:w="3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07"/>
        </w:trPr>
        <w:tc>
          <w:tcPr>
            <w:tcW w:w="33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178"/>
        </w:trPr>
        <w:tc>
          <w:tcPr>
            <w:tcW w:w="3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r>
      <w:tr>
        <w:trPr>
          <w:trHeight w:val="210"/>
        </w:trPr>
        <w:tc>
          <w:tcPr>
            <w:tcW w:w="49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Gains (losses) on derivative instruments accounted for as cash flow hedges: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0"/>
        </w:trPr>
        <w:tc>
          <w:tcPr>
            <w:tcW w:w="3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2"/>
        </w:trPr>
        <w:tc>
          <w:tcPr>
            <w:tcW w:w="3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540" w:type="dxa"/>
            <w:vAlign w:val="bottom"/>
            <w:tcBorders>
              <w:top w:val="single" w:sz="8" w:color="CCEEFF"/>
            </w:tcBorders>
            <w:gridSpan w:val="3"/>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r>
        <w:trPr>
          <w:trHeight w:val="106"/>
        </w:trPr>
        <w:tc>
          <w:tcPr>
            <w:tcW w:w="33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2"/>
        </w:trPr>
        <w:tc>
          <w:tcPr>
            <w:tcW w:w="59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10"/>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Prior service cost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Actuarial losses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03"/>
        </w:trPr>
        <w:tc>
          <w:tcPr>
            <w:tcW w:w="3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2"/>
        </w:trPr>
        <w:tc>
          <w:tcPr>
            <w:tcW w:w="3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07"/>
        </w:trPr>
        <w:tc>
          <w:tcPr>
            <w:tcW w:w="33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179"/>
        </w:trPr>
        <w:tc>
          <w:tcPr>
            <w:tcW w:w="3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(44,177)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 for the years indicated:</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277,472</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on preferred shares repurchased</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0" w:type="dxa"/>
            <w:vAlign w:val="bottom"/>
          </w:tcPr>
          <w:p>
            <w:pPr>
              <w:spacing w:after="0"/>
              <w:rPr>
                <w:sz w:val="1"/>
                <w:szCs w:val="1"/>
                <w:color w:val="auto"/>
              </w:rPr>
            </w:pPr>
          </w:p>
        </w:tc>
      </w:tr>
      <w:tr>
        <w:trPr>
          <w:trHeight w:val="23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244,626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269,135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0"/>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106,661</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119,900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117,745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106,778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2024 and 2023, United excluded from the computation of earnings per share 984 and 1,968, respectively, potentially dilutive shares of common stock issuable upon exercise of stock options because of their antidilutive effect. In 2022, United had no potentially dilutive instruments outstanding that were not included in the above analysis.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tax expense is as follows for the years indicated:</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67,612</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10,918</w:t>
            </w:r>
          </w:p>
        </w:tc>
      </w:tr>
      <w:tr>
        <w:trPr>
          <w:trHeight w:val="232"/>
        </w:trPr>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78,530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differences between the provision for income taxes and the amount computed by applying the statutory federal income tax rate of 21% in 2024, 2023 and 2022 to income before income taxes are as follows for the years indicated:</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0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on pretax income at statutory rates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74,760</w:t>
            </w: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 earnings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to reserve for uncertain tax positions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Tax-exempt interest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costs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credit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 surrender</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FDIC premium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2"/>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 continued</w:t>
      </w:r>
    </w:p>
    <w:p>
      <w:pPr>
        <w:spacing w:after="0" w:line="200" w:lineRule="exact"/>
        <w:rPr>
          <w:sz w:val="20"/>
          <w:szCs w:val="20"/>
          <w:color w:val="auto"/>
        </w:rPr>
      </w:pPr>
    </w:p>
    <w:p>
      <w:pPr>
        <w:spacing w:after="0" w:line="231"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summarizes the sources and expected tax consequences of future taxable deductions (revenue) which comprise the net DTA as of the dates indicated:</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DTAs: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49,542</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50,163</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14,649</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12,179</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purchase accounting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17,707</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Nonqualified share 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1,802</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10,577</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2,359</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AFS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74,947</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gains on SBA/USDA loan sales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1,651</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10,710</w:t>
            </w:r>
          </w:p>
        </w:tc>
      </w:tr>
      <w:tr>
        <w:trPr>
          <w:trHeight w:val="21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4,986</w:t>
            </w:r>
          </w:p>
        </w:tc>
      </w:tr>
      <w:tr>
        <w:trPr>
          <w:trHeight w:val="207"/>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DTAs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184,738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201,730</w:t>
            </w:r>
          </w:p>
        </w:tc>
      </w:tr>
      <w:tr>
        <w:trPr>
          <w:trHeight w:val="19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DTLs: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on cash flow hedges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4,804</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15,528</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12,806</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origination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11,500</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True tax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12,656</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Servicing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8,774</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10,460</w:t>
            </w:r>
          </w:p>
        </w:tc>
      </w:tr>
      <w:tr>
        <w:trPr>
          <w:trHeight w:val="214"/>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purchase accounting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3,057</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1,748</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Trust preferred securities debt issuance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1,552</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Uncertain tax positions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2,382</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2,044</w:t>
            </w:r>
          </w:p>
        </w:tc>
      </w:tr>
      <w:tr>
        <w:trPr>
          <w:trHeight w:val="203"/>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DTLs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87,477</w:t>
            </w:r>
          </w:p>
        </w:tc>
      </w:tr>
      <w:tr>
        <w:trPr>
          <w:trHeight w:val="205"/>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1,039</w:t>
            </w:r>
          </w:p>
        </w:tc>
      </w:tr>
      <w:tr>
        <w:trPr>
          <w:trHeight w:val="207"/>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DTA</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96,982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113,214</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2024, United had:</w:t>
      </w:r>
    </w:p>
    <w:p>
      <w:pPr>
        <w:spacing w:after="0" w:line="230" w:lineRule="exact"/>
        <w:rPr>
          <w:sz w:val="20"/>
          <w:szCs w:val="20"/>
          <w:color w:val="auto"/>
        </w:rPr>
      </w:pPr>
    </w:p>
    <w:p>
      <w:pPr>
        <w:ind w:left="960" w:right="60" w:hanging="318"/>
        <w:spacing w:after="0" w:line="234"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of state net operating loss carryforwards subject to annual limitation under Internal Revenue Code Section 382 that begin to expire in 2026, if not previously utilized.</w:t>
      </w:r>
    </w:p>
    <w:p>
      <w:pPr>
        <w:spacing w:after="0" w:line="179"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 million of state net operating loss carryforwards that begin to expire in 2025, if not previously utilized.</w:t>
      </w:r>
    </w:p>
    <w:p>
      <w:pPr>
        <w:spacing w:after="0" w:line="217" w:lineRule="exact"/>
        <w:rPr>
          <w:rFonts w:ascii="Times New Roman" w:cs="Times New Roman" w:eastAsia="Times New Roman" w:hAnsi="Times New Roman"/>
          <w:sz w:val="18"/>
          <w:szCs w:val="18"/>
          <w:color w:val="auto"/>
        </w:rPr>
      </w:pPr>
    </w:p>
    <w:p>
      <w:pPr>
        <w:ind w:left="960" w:right="200" w:hanging="318"/>
        <w:spacing w:after="0" w:line="234"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 million in federal net operating loss carryforwards subject to annual limitation under IRC Section 382 that begin to expire in 2027, if not previously utilized.</w:t>
      </w:r>
    </w:p>
    <w:p>
      <w:pPr>
        <w:spacing w:after="0" w:line="179"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 million of state tax credits that begin to expire in 2025, if not previously utilized.</w:t>
      </w:r>
    </w:p>
    <w:p>
      <w:pPr>
        <w:spacing w:after="0" w:line="20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Management assesses the valuation allowance recorded against DTAs at each reporting period. The determination of whether a valuation allowance for DTAs is appropriate is subject to considerable judgment and requires an evaluation of all the positive and negative evidence. ASC 740 requires that companies assess whether a valuation allowance should be established against their DTAs based on the consideration of all available evidence using a “more likely than not” standard.</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At December 31, 2024 and 2023, based on the assessment of all the positive and negative evidence, management concluded that it is more likely than not that nearly all of the net DTA will be realized based upon future taxable income. The valuation allowance of $1.17 million and $1.04 million, respectively, was related to acquired state net operating losses, which are subject to limitations and are therefore expected to expire unused.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December 31, 2024 that it was more likely than not that the net DTA of $97.0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net DTA.</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related to uncertain tax positions is as follows for the years indicated:</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2,356</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Decreases resulting from a lapse in the applicable statute of limitations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0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2,848</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Approximately $2.79 million of the unrecognized tax benefit at December 31, 2024 would increase income from continuing operations, and thus affect United’s effective tax rate, if ultimately recognized into income.</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It is United’s policy to recognize interest and penalties accrued relative to unrecognized tax benefits in their respective federal or state income taxes accounts. There were no penalties and interest related to income taxes recorded in the income statement in 2024, 2023 or 2022. No amounts were accrued for interest and penalties on the consolidated balance sheets at December 31, 2024 or 2023.</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and its subsidiaries file a consolidated U.S. federal income tax return, as well as various state returns in the states where it operates. United’s federal and state income tax returns are generally no longer subject to examination by taxing authorities for years before 2021.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Benefit Plans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Benefit Plans</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401(k) Plan</w:t>
      </w:r>
    </w:p>
    <w:p>
      <w:pPr>
        <w:jc w:val="both"/>
        <w:ind w:left="320"/>
        <w:spacing w:after="0" w:line="255" w:lineRule="auto"/>
        <w:rPr>
          <w:sz w:val="20"/>
          <w:szCs w:val="20"/>
          <w:color w:val="auto"/>
        </w:rPr>
      </w:pPr>
      <w:r>
        <w:rPr>
          <w:rFonts w:ascii="Times New Roman" w:cs="Times New Roman" w:eastAsia="Times New Roman" w:hAnsi="Times New Roman"/>
          <w:sz w:val="17"/>
          <w:szCs w:val="17"/>
          <w:color w:val="auto"/>
        </w:rPr>
        <w:t>United offers a defined contribution safe harbor 401(k) plan (the “401(k) Plan”) that covers substantially all employees meeting certain minimum service requirements. The 401(k) Plan allows employees to make pre-tax contributions to the 401(k) Plan and United matches 100% of employee contributions up to 5% of eligible compensation. Employees begin to receive matching contributions after completing 90 days of service. Under safe harbor provisions, United is required to provide a matching contribution and participants are immediately 100% vested in safe harbor matching contributions.</w:t>
      </w:r>
    </w:p>
    <w:p>
      <w:pPr>
        <w:spacing w:after="0" w:line="209"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United’s 401(k) Plan is administered in accordance with applicable laws and regulations. Compensation expense related to the 401(k) Plan totaled $11.2 million, $10.9 million and $9.60 million in 2024, 2023 and 2022, respectively.</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also sponsors a non-qualified deferred compensation plan for its executive officers, certain other key employees and members of the Board and its community banks’ advisory boards of directors. The deferred compensation plan provides for the pre-tax deferral of compensation, fees and other specified benefits. Specifically, the deferred compensation plan permits each employee participant to elect to defer a portion of base salary, bonus or vested restricted stock units and permits each eligible director participant to elect to defer all or a portion of director’s fees. Further, the deferred compensation plan allows for additional contributions by an employee, with matching contributions by United, for amounts that exceed the allowable amounts under the 401(k) Plan. The deferred compensation plan is an unfunded obligation of United with participants of the plan being general unsecured creditors of United.</w:t>
      </w:r>
    </w:p>
    <w:p>
      <w:pPr>
        <w:spacing w:after="0" w:line="21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During 2024, 2023 and 2022, United recognized $125,000, $85,000 and $104,000, respectively, in matching contributions for this provision of the deferred compensation plan. The Board may also elect to make a discretionary contribution to any or all participants. No discretionary contributions were made in 2024, 2023 or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Benefit Plans,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addition to common stock related to elected deferrals of vested restricted stock units, United offers its common stock as an investment option for cash contributions to the deferred compensation plan. The common stock component is accounted for as an equity instrument and is reflected in the consolidated balance sheets as common stock issuable. The deferred compensation plan does not allow for diversification once an election is made to invest in United stock and settlement must be accomplished in shares at the time the deferral period is completed. At December 31, 2024 and 2023, United had 600,168 shares and 620,108 shares, respectively, of its common stock that were issuable under the deferred compensation plan.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Defined Benefit Pension Plan</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has an unfunded noncontributory defined benefit pension plan, or the Modified Retirement Plan, that covers certain executive officers and other key employees. The Modified Retirement Plan provides a fixed annual retirement benefit to plan participants.</w:t>
      </w:r>
    </w:p>
    <w:p>
      <w:pPr>
        <w:spacing w:after="0" w:line="18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Weighted-average assumptions used to determine the pension benefit obligation of the Modified Retirement Plan at year-end and net periodic pension cost are shown in the table below:</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40" w:type="dxa"/>
            <w:vAlign w:val="bottom"/>
            <w:tcBorders>
              <w:bottom w:val="single" w:sz="8" w:color="CCEEFF"/>
            </w:tcBorders>
          </w:tcPr>
          <w:p>
            <w:pPr>
              <w:spacing w:after="0"/>
              <w:rPr>
                <w:sz w:val="18"/>
                <w:szCs w:val="18"/>
                <w:color w:val="auto"/>
              </w:rPr>
            </w:pPr>
          </w:p>
        </w:tc>
      </w:tr>
      <w:tr>
        <w:trPr>
          <w:trHeight w:val="208"/>
        </w:trPr>
        <w:tc>
          <w:tcPr>
            <w:tcW w:w="62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Discount rate for disclosures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640" w:type="dxa"/>
            <w:vAlign w:val="bottom"/>
            <w:shd w:val="clear" w:color="auto" w:fill="CCEEFF"/>
          </w:tcPr>
          <w:p>
            <w:pPr>
              <w:spacing w:after="0"/>
              <w:rPr>
                <w:sz w:val="18"/>
                <w:szCs w:val="18"/>
                <w:color w:val="auto"/>
              </w:rPr>
            </w:pPr>
          </w:p>
        </w:tc>
      </w:tr>
      <w:tr>
        <w:trPr>
          <w:trHeight w:val="210"/>
        </w:trPr>
        <w:tc>
          <w:tcPr>
            <w:tcW w:w="62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Discount rate for net periodic benefit cost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640" w:type="dxa"/>
            <w:vAlign w:val="bottom"/>
          </w:tcPr>
          <w:p>
            <w:pPr>
              <w:spacing w:after="0"/>
              <w:rPr>
                <w:sz w:val="18"/>
                <w:szCs w:val="18"/>
                <w:color w:val="auto"/>
              </w:rPr>
            </w:pPr>
          </w:p>
        </w:tc>
      </w:tr>
      <w:tr>
        <w:trPr>
          <w:trHeight w:val="214"/>
        </w:trPr>
        <w:tc>
          <w:tcPr>
            <w:tcW w:w="62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Measurement date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12/31/2024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12/31/2023</w:t>
            </w:r>
          </w:p>
        </w:tc>
        <w:tc>
          <w:tcPr>
            <w:tcW w:w="1640" w:type="dxa"/>
            <w:vAlign w:val="bottom"/>
            <w:shd w:val="clear" w:color="auto" w:fill="CCEEFF"/>
          </w:tcPr>
          <w:p>
            <w:pPr>
              <w:spacing w:after="0"/>
              <w:rPr>
                <w:sz w:val="18"/>
                <w:szCs w:val="18"/>
                <w:color w:val="auto"/>
              </w:rPr>
            </w:pPr>
          </w:p>
        </w:tc>
      </w:tr>
    </w:tbl>
    <w:p>
      <w:pPr>
        <w:spacing w:after="0" w:line="27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Discount rates are determined in consultation with the third-party actuary and are set by matching the projected benefit cash flow to a notional yield curve developed by reference to high-quality fixed income investments. The discount rates are determined as the rate which would provide the same present value as the plan cash flows discounted to the measurement date using the full series of spot rates along the notional yield curve as of the measurement date.</w:t>
      </w:r>
    </w:p>
    <w:p>
      <w:pPr>
        <w:spacing w:after="0" w:line="20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recognizes the unfunded status of the Modified Retirement Plan as a liability in the consolidated balance sheets. Information about changes in obligations and plan assets follows:</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54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60" w:type="dxa"/>
            <w:vAlign w:val="bottom"/>
            <w:tcBorders>
              <w:bottom w:val="single" w:sz="8" w:color="CCEEFF"/>
            </w:tcBorders>
          </w:tcPr>
          <w:p>
            <w:pPr>
              <w:spacing w:after="0"/>
              <w:rPr>
                <w:sz w:val="18"/>
                <w:szCs w:val="18"/>
                <w:color w:val="auto"/>
              </w:rPr>
            </w:pPr>
          </w:p>
        </w:tc>
      </w:tr>
      <w:tr>
        <w:trPr>
          <w:trHeight w:val="208"/>
        </w:trPr>
        <w:tc>
          <w:tcPr>
            <w:tcW w:w="65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b w:val="1"/>
                <w:bCs w:val="1"/>
                <w:color w:val="auto"/>
              </w:rPr>
              <w:t>Accumulated benefit obligation: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Accumulated benefit obligation - beginning of year</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21,641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20,674</w:t>
            </w:r>
          </w:p>
        </w:tc>
        <w:tc>
          <w:tcPr>
            <w:tcW w:w="1260" w:type="dxa"/>
            <w:vAlign w:val="bottom"/>
          </w:tcPr>
          <w:p>
            <w:pPr>
              <w:spacing w:after="0"/>
              <w:rPr>
                <w:sz w:val="18"/>
                <w:szCs w:val="18"/>
                <w:color w:val="auto"/>
              </w:rPr>
            </w:pPr>
          </w:p>
        </w:tc>
      </w:tr>
      <w:tr>
        <w:trPr>
          <w:trHeight w:val="214"/>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Service cost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Interest cost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260" w:type="dxa"/>
            <w:vAlign w:val="bottom"/>
          </w:tcPr>
          <w:p>
            <w:pPr>
              <w:spacing w:after="0"/>
              <w:rPr>
                <w:sz w:val="18"/>
                <w:szCs w:val="18"/>
                <w:color w:val="auto"/>
              </w:rPr>
            </w:pPr>
          </w:p>
        </w:tc>
      </w:tr>
      <w:tr>
        <w:trPr>
          <w:trHeight w:val="214"/>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Actuarial (gains) losses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138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60" w:type="dxa"/>
            <w:vAlign w:val="bottom"/>
            <w:tcBorders>
              <w:bottom w:val="single" w:sz="8" w:color="CCEEFF"/>
            </w:tcBorders>
          </w:tcPr>
          <w:p>
            <w:pPr>
              <w:spacing w:after="0"/>
              <w:rPr>
                <w:sz w:val="18"/>
                <w:szCs w:val="18"/>
                <w:color w:val="auto"/>
              </w:rPr>
            </w:pPr>
          </w:p>
        </w:tc>
      </w:tr>
      <w:tr>
        <w:trPr>
          <w:trHeight w:val="207"/>
        </w:trPr>
        <w:tc>
          <w:tcPr>
            <w:tcW w:w="6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Accumulated benefit obligation - end of year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21,641</w:t>
            </w:r>
          </w:p>
        </w:tc>
        <w:tc>
          <w:tcPr>
            <w:tcW w:w="1260" w:type="dxa"/>
            <w:vAlign w:val="bottom"/>
            <w:shd w:val="clear" w:color="auto" w:fill="CCEEFF"/>
          </w:tcPr>
          <w:p>
            <w:pPr>
              <w:spacing w:after="0"/>
              <w:rPr>
                <w:sz w:val="18"/>
                <w:szCs w:val="18"/>
                <w:color w:val="auto"/>
              </w:rPr>
            </w:pPr>
          </w:p>
        </w:tc>
      </w:tr>
      <w:tr>
        <w:trPr>
          <w:trHeight w:val="191"/>
        </w:trPr>
        <w:tc>
          <w:tcPr>
            <w:tcW w:w="654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Change in plan assets, at fair value: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3"/>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Beginning plan assets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Employer contribution</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60" w:type="dxa"/>
            <w:vAlign w:val="bottom"/>
          </w:tcPr>
          <w:p>
            <w:pPr>
              <w:spacing w:after="0"/>
              <w:rPr>
                <w:sz w:val="18"/>
                <w:szCs w:val="18"/>
                <w:color w:val="auto"/>
              </w:rPr>
            </w:pPr>
          </w:p>
        </w:tc>
      </w:tr>
      <w:tr>
        <w:trPr>
          <w:trHeight w:val="214"/>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60" w:type="dxa"/>
            <w:vAlign w:val="bottom"/>
            <w:shd w:val="clear" w:color="auto" w:fill="CCEEFF"/>
          </w:tcPr>
          <w:p>
            <w:pPr>
              <w:spacing w:after="0"/>
              <w:rPr>
                <w:sz w:val="18"/>
                <w:szCs w:val="18"/>
                <w:color w:val="auto"/>
              </w:rPr>
            </w:pPr>
          </w:p>
        </w:tc>
      </w:tr>
      <w:tr>
        <w:trPr>
          <w:trHeight w:val="203"/>
        </w:trPr>
        <w:tc>
          <w:tcPr>
            <w:tcW w:w="6540" w:type="dxa"/>
            <w:vAlign w:val="bottom"/>
            <w:tcBorders>
              <w:bottom w:val="single" w:sz="8" w:color="CCEEFF"/>
            </w:tcBorders>
          </w:tcPr>
          <w:p>
            <w:pPr>
              <w:ind w:left="1460"/>
              <w:spacing w:after="0"/>
              <w:rPr>
                <w:sz w:val="20"/>
                <w:szCs w:val="20"/>
                <w:color w:val="auto"/>
              </w:rPr>
            </w:pPr>
            <w:r>
              <w:rPr>
                <w:rFonts w:ascii="Times New Roman" w:cs="Times New Roman" w:eastAsia="Times New Roman" w:hAnsi="Times New Roman"/>
                <w:sz w:val="16"/>
                <w:szCs w:val="16"/>
                <w:color w:val="auto"/>
              </w:rPr>
              <w:t>Plan assets - end of 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tcPr>
          <w:p>
            <w:pPr>
              <w:spacing w:after="0"/>
              <w:rPr>
                <w:sz w:val="17"/>
                <w:szCs w:val="17"/>
                <w:color w:val="auto"/>
              </w:rPr>
            </w:pPr>
          </w:p>
        </w:tc>
      </w:tr>
      <w:tr>
        <w:trPr>
          <w:trHeight w:val="232"/>
        </w:trPr>
        <w:tc>
          <w:tcPr>
            <w:tcW w:w="65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Funded status - end of year (plan assets less benefit obligations)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(21,641)</w:t>
            </w:r>
          </w:p>
        </w:tc>
        <w:tc>
          <w:tcPr>
            <w:tcW w:w="1260" w:type="dxa"/>
            <w:vAlign w:val="bottom"/>
            <w:tcBorders>
              <w:bottom w:val="single" w:sz="8" w:color="CCEEFF"/>
            </w:tcBorders>
            <w:shd w:val="clear" w:color="auto" w:fill="CCEEFF"/>
          </w:tcPr>
          <w:p>
            <w:pPr>
              <w:spacing w:after="0"/>
              <w:rPr>
                <w:sz w:val="19"/>
                <w:szCs w:val="19"/>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Components of net periodic benefit cost and other amounts recognized in other comprehensive income related to the Modified Retirement Plan are as follows</w:t>
      </w:r>
      <w:r>
        <w:rPr>
          <w:rFonts w:ascii="Times New Roman" w:cs="Times New Roman" w:eastAsia="Times New Roman" w:hAnsi="Times New Roman"/>
          <w:sz w:val="18"/>
          <w:szCs w:val="18"/>
          <w:i w:val="1"/>
          <w:iCs w:val="1"/>
          <w:color w:val="auto"/>
        </w:rPr>
        <w:t>:</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660" w:type="dxa"/>
            <w:vAlign w:val="bottom"/>
            <w:tcBorders>
              <w:bottom w:val="single" w:sz="8" w:color="CCEEFF"/>
            </w:tcBorders>
          </w:tcPr>
          <w:p>
            <w:pPr>
              <w:ind w:left="17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00" w:type="dxa"/>
            <w:vAlign w:val="bottom"/>
            <w:tcBorders>
              <w:bottom w:val="single" w:sz="8" w:color="CCEEFF"/>
            </w:tcBorders>
          </w:tcPr>
          <w:p>
            <w:pPr>
              <w:spacing w:after="0"/>
              <w:rPr>
                <w:sz w:val="18"/>
                <w:szCs w:val="18"/>
                <w:color w:val="auto"/>
              </w:rPr>
            </w:pPr>
          </w:p>
        </w:tc>
      </w:tr>
      <w:tr>
        <w:trPr>
          <w:trHeight w:val="208"/>
        </w:trPr>
        <w:tc>
          <w:tcPr>
            <w:tcW w:w="46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Service cost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626</w:t>
            </w:r>
          </w:p>
        </w:tc>
        <w:tc>
          <w:tcPr>
            <w:tcW w:w="1700" w:type="dxa"/>
            <w:vAlign w:val="bottom"/>
            <w:shd w:val="clear" w:color="auto" w:fill="CCEEFF"/>
          </w:tcPr>
          <w:p>
            <w:pPr>
              <w:spacing w:after="0"/>
              <w:rPr>
                <w:sz w:val="18"/>
                <w:szCs w:val="18"/>
                <w:color w:val="auto"/>
              </w:rPr>
            </w:pPr>
          </w:p>
        </w:tc>
      </w:tr>
      <w:tr>
        <w:trPr>
          <w:trHeight w:val="210"/>
        </w:trPr>
        <w:tc>
          <w:tcPr>
            <w:tcW w:w="46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Interest cost</w:t>
            </w:r>
          </w:p>
        </w:tc>
        <w:tc>
          <w:tcPr>
            <w:tcW w:w="3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1700" w:type="dxa"/>
            <w:vAlign w:val="bottom"/>
          </w:tcPr>
          <w:p>
            <w:pPr>
              <w:spacing w:after="0"/>
              <w:rPr>
                <w:sz w:val="18"/>
                <w:szCs w:val="18"/>
                <w:color w:val="auto"/>
              </w:rPr>
            </w:pPr>
          </w:p>
        </w:tc>
      </w:tr>
      <w:tr>
        <w:trPr>
          <w:trHeight w:val="214"/>
        </w:trPr>
        <w:tc>
          <w:tcPr>
            <w:tcW w:w="46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w:t>
            </w:r>
          </w:p>
        </w:tc>
        <w:tc>
          <w:tcPr>
            <w:tcW w:w="1700" w:type="dxa"/>
            <w:vAlign w:val="bottom"/>
            <w:shd w:val="clear" w:color="auto" w:fill="CCEEFF"/>
          </w:tcPr>
          <w:p>
            <w:pPr>
              <w:spacing w:after="0"/>
              <w:rPr>
                <w:sz w:val="18"/>
                <w:szCs w:val="18"/>
                <w:color w:val="auto"/>
              </w:rPr>
            </w:pPr>
          </w:p>
        </w:tc>
      </w:tr>
      <w:tr>
        <w:trPr>
          <w:trHeight w:val="210"/>
        </w:trPr>
        <w:tc>
          <w:tcPr>
            <w:tcW w:w="46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3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367</w:t>
            </w:r>
          </w:p>
        </w:tc>
        <w:tc>
          <w:tcPr>
            <w:tcW w:w="1700" w:type="dxa"/>
            <w:vAlign w:val="bottom"/>
          </w:tcPr>
          <w:p>
            <w:pPr>
              <w:spacing w:after="0"/>
              <w:rPr>
                <w:sz w:val="18"/>
                <w:szCs w:val="18"/>
                <w:color w:val="auto"/>
              </w:rPr>
            </w:pPr>
          </w:p>
        </w:tc>
      </w:tr>
      <w:tr>
        <w:trPr>
          <w:trHeight w:val="232"/>
        </w:trPr>
        <w:tc>
          <w:tcPr>
            <w:tcW w:w="4660" w:type="dxa"/>
            <w:vAlign w:val="bottom"/>
            <w:tcBorders>
              <w:top w:val="single" w:sz="8" w:color="CCEEFF"/>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2,050</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Benefit Plans, continued</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estimated future benefit payments expected to be paid from the Modified Retirement Plan for the periods indicated.</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0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r>
      <w:tr>
        <w:trPr>
          <w:trHeight w:val="210"/>
        </w:trPr>
        <w:tc>
          <w:tcPr>
            <w:tcW w:w="50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2025</w:t>
            </w:r>
          </w:p>
        </w:tc>
        <w:tc>
          <w:tcPr>
            <w:tcW w:w="14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4140" w:type="dxa"/>
            <w:vAlign w:val="bottom"/>
          </w:tcPr>
          <w:p>
            <w:pPr>
              <w:jc w:val="right"/>
              <w:ind w:right="3241"/>
              <w:spacing w:after="0"/>
              <w:rPr>
                <w:sz w:val="20"/>
                <w:szCs w:val="20"/>
                <w:color w:val="auto"/>
              </w:rPr>
            </w:pPr>
            <w:r>
              <w:rPr>
                <w:rFonts w:ascii="Times New Roman" w:cs="Times New Roman" w:eastAsia="Times New Roman" w:hAnsi="Times New Roman"/>
                <w:sz w:val="16"/>
                <w:szCs w:val="16"/>
                <w:color w:val="auto"/>
              </w:rPr>
              <w:t>1,212</w:t>
            </w:r>
          </w:p>
        </w:tc>
      </w:tr>
      <w:tr>
        <w:trPr>
          <w:trHeight w:val="214"/>
        </w:trPr>
        <w:tc>
          <w:tcPr>
            <w:tcW w:w="50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2026</w:t>
            </w:r>
          </w:p>
        </w:tc>
        <w:tc>
          <w:tcPr>
            <w:tcW w:w="1400" w:type="dxa"/>
            <w:vAlign w:val="bottom"/>
            <w:shd w:val="clear" w:color="auto" w:fill="CCEEFF"/>
          </w:tcPr>
          <w:p>
            <w:pPr>
              <w:spacing w:after="0"/>
              <w:rPr>
                <w:sz w:val="18"/>
                <w:szCs w:val="18"/>
                <w:color w:val="auto"/>
              </w:rPr>
            </w:pPr>
          </w:p>
        </w:tc>
        <w:tc>
          <w:tcPr>
            <w:tcW w:w="4140" w:type="dxa"/>
            <w:vAlign w:val="bottom"/>
            <w:shd w:val="clear" w:color="auto" w:fill="CCEEFF"/>
          </w:tcPr>
          <w:p>
            <w:pPr>
              <w:jc w:val="right"/>
              <w:ind w:right="3241"/>
              <w:spacing w:after="0"/>
              <w:rPr>
                <w:sz w:val="20"/>
                <w:szCs w:val="20"/>
                <w:color w:val="auto"/>
              </w:rPr>
            </w:pPr>
            <w:r>
              <w:rPr>
                <w:rFonts w:ascii="Times New Roman" w:cs="Times New Roman" w:eastAsia="Times New Roman" w:hAnsi="Times New Roman"/>
                <w:sz w:val="16"/>
                <w:szCs w:val="16"/>
                <w:color w:val="auto"/>
              </w:rPr>
              <w:t>1,231</w:t>
            </w:r>
          </w:p>
        </w:tc>
      </w:tr>
      <w:tr>
        <w:trPr>
          <w:trHeight w:val="210"/>
        </w:trPr>
        <w:tc>
          <w:tcPr>
            <w:tcW w:w="50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2027</w:t>
            </w:r>
          </w:p>
        </w:tc>
        <w:tc>
          <w:tcPr>
            <w:tcW w:w="1400" w:type="dxa"/>
            <w:vAlign w:val="bottom"/>
          </w:tcPr>
          <w:p>
            <w:pPr>
              <w:spacing w:after="0"/>
              <w:rPr>
                <w:sz w:val="18"/>
                <w:szCs w:val="18"/>
                <w:color w:val="auto"/>
              </w:rPr>
            </w:pPr>
          </w:p>
        </w:tc>
        <w:tc>
          <w:tcPr>
            <w:tcW w:w="4140" w:type="dxa"/>
            <w:vAlign w:val="bottom"/>
          </w:tcPr>
          <w:p>
            <w:pPr>
              <w:jc w:val="right"/>
              <w:ind w:right="3241"/>
              <w:spacing w:after="0"/>
              <w:rPr>
                <w:sz w:val="20"/>
                <w:szCs w:val="20"/>
                <w:color w:val="auto"/>
              </w:rPr>
            </w:pPr>
            <w:r>
              <w:rPr>
                <w:rFonts w:ascii="Times New Roman" w:cs="Times New Roman" w:eastAsia="Times New Roman" w:hAnsi="Times New Roman"/>
                <w:sz w:val="16"/>
                <w:szCs w:val="16"/>
                <w:color w:val="auto"/>
              </w:rPr>
              <w:t>1,476</w:t>
            </w:r>
          </w:p>
        </w:tc>
      </w:tr>
      <w:tr>
        <w:trPr>
          <w:trHeight w:val="214"/>
        </w:trPr>
        <w:tc>
          <w:tcPr>
            <w:tcW w:w="50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2028</w:t>
            </w:r>
          </w:p>
        </w:tc>
        <w:tc>
          <w:tcPr>
            <w:tcW w:w="1400" w:type="dxa"/>
            <w:vAlign w:val="bottom"/>
            <w:shd w:val="clear" w:color="auto" w:fill="CCEEFF"/>
          </w:tcPr>
          <w:p>
            <w:pPr>
              <w:spacing w:after="0"/>
              <w:rPr>
                <w:sz w:val="18"/>
                <w:szCs w:val="18"/>
                <w:color w:val="auto"/>
              </w:rPr>
            </w:pPr>
          </w:p>
        </w:tc>
        <w:tc>
          <w:tcPr>
            <w:tcW w:w="4140" w:type="dxa"/>
            <w:vAlign w:val="bottom"/>
            <w:shd w:val="clear" w:color="auto" w:fill="CCEEFF"/>
          </w:tcPr>
          <w:p>
            <w:pPr>
              <w:jc w:val="right"/>
              <w:ind w:right="3241"/>
              <w:spacing w:after="0"/>
              <w:rPr>
                <w:sz w:val="20"/>
                <w:szCs w:val="20"/>
                <w:color w:val="auto"/>
              </w:rPr>
            </w:pPr>
            <w:r>
              <w:rPr>
                <w:rFonts w:ascii="Times New Roman" w:cs="Times New Roman" w:eastAsia="Times New Roman" w:hAnsi="Times New Roman"/>
                <w:sz w:val="16"/>
                <w:szCs w:val="16"/>
                <w:color w:val="auto"/>
              </w:rPr>
              <w:t>1,507</w:t>
            </w:r>
          </w:p>
        </w:tc>
      </w:tr>
      <w:tr>
        <w:trPr>
          <w:trHeight w:val="210"/>
        </w:trPr>
        <w:tc>
          <w:tcPr>
            <w:tcW w:w="50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2029</w:t>
            </w:r>
          </w:p>
        </w:tc>
        <w:tc>
          <w:tcPr>
            <w:tcW w:w="1400" w:type="dxa"/>
            <w:vAlign w:val="bottom"/>
          </w:tcPr>
          <w:p>
            <w:pPr>
              <w:spacing w:after="0"/>
              <w:rPr>
                <w:sz w:val="18"/>
                <w:szCs w:val="18"/>
                <w:color w:val="auto"/>
              </w:rPr>
            </w:pPr>
          </w:p>
        </w:tc>
        <w:tc>
          <w:tcPr>
            <w:tcW w:w="4140" w:type="dxa"/>
            <w:vAlign w:val="bottom"/>
          </w:tcPr>
          <w:p>
            <w:pPr>
              <w:jc w:val="right"/>
              <w:ind w:right="3241"/>
              <w:spacing w:after="0"/>
              <w:rPr>
                <w:sz w:val="20"/>
                <w:szCs w:val="20"/>
                <w:color w:val="auto"/>
              </w:rPr>
            </w:pPr>
            <w:r>
              <w:rPr>
                <w:rFonts w:ascii="Times New Roman" w:cs="Times New Roman" w:eastAsia="Times New Roman" w:hAnsi="Times New Roman"/>
                <w:sz w:val="16"/>
                <w:szCs w:val="16"/>
                <w:color w:val="auto"/>
              </w:rPr>
              <w:t>1,551</w:t>
            </w:r>
          </w:p>
        </w:tc>
      </w:tr>
      <w:tr>
        <w:trPr>
          <w:trHeight w:val="214"/>
        </w:trPr>
        <w:tc>
          <w:tcPr>
            <w:tcW w:w="50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2030-2034</w:t>
            </w:r>
          </w:p>
        </w:tc>
        <w:tc>
          <w:tcPr>
            <w:tcW w:w="1400" w:type="dxa"/>
            <w:vAlign w:val="bottom"/>
            <w:shd w:val="clear" w:color="auto" w:fill="CCEEFF"/>
          </w:tcPr>
          <w:p>
            <w:pPr>
              <w:spacing w:after="0"/>
              <w:rPr>
                <w:sz w:val="18"/>
                <w:szCs w:val="18"/>
                <w:color w:val="auto"/>
              </w:rPr>
            </w:pPr>
          </w:p>
        </w:tc>
        <w:tc>
          <w:tcPr>
            <w:tcW w:w="4140" w:type="dxa"/>
            <w:vAlign w:val="bottom"/>
            <w:shd w:val="clear" w:color="auto" w:fill="CCEEFF"/>
          </w:tcPr>
          <w:p>
            <w:pPr>
              <w:jc w:val="right"/>
              <w:ind w:right="3241"/>
              <w:spacing w:after="0"/>
              <w:rPr>
                <w:sz w:val="20"/>
                <w:szCs w:val="20"/>
                <w:color w:val="auto"/>
              </w:rPr>
            </w:pPr>
            <w:r>
              <w:rPr>
                <w:rFonts w:ascii="Times New Roman" w:cs="Times New Roman" w:eastAsia="Times New Roman" w:hAnsi="Times New Roman"/>
                <w:sz w:val="16"/>
                <w:szCs w:val="16"/>
                <w:color w:val="auto"/>
              </w:rPr>
              <w:t>8,235</w:t>
            </w: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Regulatory Matters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Capital Requirements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United and the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CET1 to RWAs, and of Tier 1 capital to average assets.</w:t>
      </w:r>
    </w:p>
    <w:p>
      <w:pPr>
        <w:spacing w:after="0" w:line="21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and the Bank are also subject to a “capital conservation buffer,” which is designed to absorb losses during periods of economic stress. Banking organizations with a ratio of CET1 to RWAs above the minimum but below the conservation buffer (or below the combined capital conservation buffer and counter-cyclical capital buffer, when the latter is applied) will face constraints on dividends, equity repurchases and discretionary bonus compensation based on the amount of the shortfall.</w:t>
      </w:r>
    </w:p>
    <w:p>
      <w:pPr>
        <w:spacing w:after="0" w:line="20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As of December 31, 2024, United and the Bank were categorized as well-capitalized under the regulatory framework for prompt corrective action in effect at such time, and management believes there have been no conditions or events since year-end that would change the status of well-capitalized. To be categorized as well-capitalized, United and the Bank must have exceeded the well-capitalized guideline ratios in effect at such time, as set forth in the table below, and have met certain other requirements.</w:t>
      </w:r>
    </w:p>
    <w:p>
      <w:pPr>
        <w:spacing w:after="0" w:line="20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Regulatory capital ratios at December 31, 2024 and 2023, along with the minimum amounts required for capital adequacy purposes and to be well-capitalized under prompt corrective action provisions in effect at such times are presented below for United and the Bank:</w:t>
      </w:r>
    </w:p>
    <w:p>
      <w:pPr>
        <w:spacing w:after="0" w:line="27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54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Basel III Guidelines</w:t>
            </w:r>
          </w:p>
        </w:tc>
        <w:tc>
          <w:tcPr>
            <w:tcW w:w="240" w:type="dxa"/>
            <w:vAlign w:val="bottom"/>
          </w:tcPr>
          <w:p>
            <w:pPr>
              <w:spacing w:after="0"/>
              <w:rPr>
                <w:sz w:val="16"/>
                <w:szCs w:val="16"/>
                <w:color w:val="auto"/>
              </w:rPr>
            </w:pPr>
          </w:p>
        </w:tc>
        <w:tc>
          <w:tcPr>
            <w:tcW w:w="27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United Community Banks, Inc.</w:t>
            </w:r>
          </w:p>
        </w:tc>
        <w:tc>
          <w:tcPr>
            <w:tcW w:w="280" w:type="dxa"/>
            <w:vAlign w:val="bottom"/>
          </w:tcPr>
          <w:p>
            <w:pPr>
              <w:spacing w:after="0"/>
              <w:rPr>
                <w:sz w:val="16"/>
                <w:szCs w:val="16"/>
                <w:color w:val="auto"/>
              </w:rPr>
            </w:pPr>
          </w:p>
        </w:tc>
        <w:tc>
          <w:tcPr>
            <w:tcW w:w="2640" w:type="dxa"/>
            <w:vAlign w:val="bottom"/>
            <w:gridSpan w:val="4"/>
            <w:vMerge w:val="restart"/>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0"/>
                <w:szCs w:val="20"/>
                <w:b w:val="1"/>
                <w:bCs w:val="1"/>
                <w:color w:val="auto"/>
                <w:vertAlign w:val="superscript"/>
              </w:rPr>
              <w:t>(1)</w:t>
            </w:r>
          </w:p>
        </w:tc>
        <w:tc>
          <w:tcPr>
            <w:tcW w:w="118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Well</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2"/>
        </w:trPr>
        <w:tc>
          <w:tcPr>
            <w:tcW w:w="208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0"/>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2,608,136</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2,432,518</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2,555,941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2,435,962</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2,696,402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2,520,784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2,555,941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2,435,962</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2,982,273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2,898,474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2,756,811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2,638,009</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RWAs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19,655,227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20,007,236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19,582,815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19,933,429</w:t>
            </w:r>
          </w:p>
        </w:tc>
        <w:tc>
          <w:tcPr>
            <w:tcW w:w="0" w:type="dxa"/>
            <w:vAlign w:val="bottom"/>
          </w:tcPr>
          <w:p>
            <w:pPr>
              <w:spacing w:after="0"/>
              <w:rPr>
                <w:sz w:val="1"/>
                <w:szCs w:val="1"/>
                <w:color w:val="auto"/>
              </w:rPr>
            </w:pPr>
          </w:p>
        </w:tc>
      </w:tr>
      <w:tr>
        <w:trPr>
          <w:trHeight w:val="208"/>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total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27,059,513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26,621,561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27,014,385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26,563,946</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80" w:hanging="156"/>
        <w:spacing w:after="0"/>
        <w:tabs>
          <w:tab w:leader="none" w:pos="48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and 2023, the additional capital conservation buffer in effect was 2.50%.</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55" w:lineRule="exact"/>
        <w:rPr>
          <w:rFonts w:ascii="Times New Roman" w:cs="Times New Roman" w:eastAsia="Times New Roman" w:hAnsi="Times New Roman"/>
          <w:sz w:val="20"/>
          <w:szCs w:val="20"/>
          <w:color w:val="auto"/>
          <w:vertAlign w:val="superscript"/>
        </w:rPr>
      </w:pPr>
    </w:p>
    <w:p>
      <w:pPr>
        <w:ind w:left="550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Regulatory Matters, continued</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Cash, Dividend, Loan and Other Restrictions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Federal and state banking regulations place certain restrictions on dividends paid by the Bank to the Holding Company. See Note 1 for further detail.</w:t>
      </w:r>
    </w:p>
    <w:p>
      <w:pPr>
        <w:spacing w:after="0" w:line="19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Federal Reserve Act requires that extensions of credit by the Bank to certain affiliates, including the Holding Company, be secured by specific collateral, that the extension of credit to any one affiliate be limited to 10% of capital and surplus (as defined), and that extensions of credit to all such affiliates be limited to 20% of capital and surplus.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Commitments and Contingencies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as of the dates indicated, the contract amount of certain off-balance sheet instruments:</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3,970,991</w:t>
            </w:r>
          </w:p>
        </w:tc>
        <w:tc>
          <w:tcPr>
            <w:tcW w:w="120" w:type="dxa"/>
            <w:vAlign w:val="bottom"/>
          </w:tcPr>
          <w:p>
            <w:pPr>
              <w:spacing w:after="0"/>
              <w:rPr>
                <w:sz w:val="18"/>
                <w:szCs w:val="18"/>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4,305,483</w:t>
            </w:r>
          </w:p>
        </w:tc>
      </w:tr>
      <w:tr>
        <w:trPr>
          <w:trHeight w:val="214"/>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61,808</w:t>
            </w:r>
          </w:p>
        </w:tc>
      </w:tr>
    </w:tbl>
    <w:p>
      <w:pPr>
        <w:spacing w:after="0" w:line="27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w:t>
      </w:r>
    </w:p>
    <w:p>
      <w:pPr>
        <w:spacing w:after="0" w:line="1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212"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maintains an ACL for these unfunded commitments, which is included in other liabilities in the consolidated balance sheets. The ACL for unfunded loan commitments is determined as part of the quarterly ACL analysis. See Note 1 for further detail.</w:t>
      </w:r>
    </w:p>
    <w:p>
      <w:pPr>
        <w:spacing w:after="0" w:line="190"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For certain purchase card and credit card agreements between United customers and a third party institution, in the case of the borrower’s default, United will make the holder of the loan whole. As of December 31, 2024, the outstanding balance of these purchase and credit card loans totaled $3.25 million.</w:t>
      </w:r>
    </w:p>
    <w:p>
      <w:pPr>
        <w:spacing w:after="0" w:line="14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financial position or results of operations.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Tax Credit and Certain Equity Investments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balance, future funding commitments and any related loans to the entity. Loans to these entities are underwritten in substantially the same manner as other loans and are generally secured.</w:t>
      </w:r>
    </w:p>
    <w:p>
      <w:pPr>
        <w:spacing w:after="0" w:line="21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also has investments in and future funding commitments related to fintech fund limited partnerships, other community development entities and certain other equity method investments. United has concluded that these partnerships are VIEs of which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Commitments and Contingencies, continued</w:t>
      </w:r>
    </w:p>
    <w:p>
      <w:pPr>
        <w:spacing w:after="0" w:line="200" w:lineRule="exact"/>
        <w:rPr>
          <w:sz w:val="20"/>
          <w:szCs w:val="20"/>
          <w:color w:val="auto"/>
        </w:rPr>
      </w:pPr>
    </w:p>
    <w:p>
      <w:pPr>
        <w:spacing w:after="0" w:line="23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of investments and future funding commitments made.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as of the dates indicated, tax credit and certain equity method investments:</w:t>
      </w: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80" w:type="dxa"/>
            <w:vAlign w:val="bottom"/>
          </w:tcPr>
          <w:p>
            <w:pPr>
              <w:spacing w:after="0"/>
              <w:rPr>
                <w:sz w:val="18"/>
                <w:szCs w:val="18"/>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9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2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52,626</w:t>
            </w:r>
          </w:p>
        </w:tc>
        <w:tc>
          <w:tcPr>
            <w:tcW w:w="14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48,867</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14,176</w:t>
            </w:r>
          </w:p>
        </w:tc>
        <w:tc>
          <w:tcPr>
            <w:tcW w:w="0" w:type="dxa"/>
            <w:vAlign w:val="bottom"/>
          </w:tcPr>
          <w:p>
            <w:pPr>
              <w:spacing w:after="0"/>
              <w:rPr>
                <w:sz w:val="1"/>
                <w:szCs w:val="1"/>
                <w:color w:val="auto"/>
              </w:rPr>
            </w:pPr>
          </w:p>
        </w:tc>
      </w:tr>
      <w:tr>
        <w:trPr>
          <w:trHeight w:val="159"/>
        </w:trPr>
        <w:tc>
          <w:tcPr>
            <w:tcW w:w="5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Lending exposure</w:t>
            </w:r>
          </w:p>
        </w:tc>
        <w:tc>
          <w:tcPr>
            <w:tcW w:w="24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Loans and leases held for</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14,344</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Renewable energy investments: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18,631</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140"/>
              <w:spacing w:after="0" w:line="214" w:lineRule="exact"/>
              <w:rPr>
                <w:sz w:val="20"/>
                <w:szCs w:val="20"/>
                <w:color w:val="auto"/>
              </w:rPr>
            </w:pPr>
            <w:r>
              <w:rPr>
                <w:rFonts w:ascii="Times New Roman" w:cs="Times New Roman" w:eastAsia="Times New Roman" w:hAnsi="Times New Roman"/>
                <w:sz w:val="16"/>
                <w:szCs w:val="16"/>
                <w:color w:val="auto"/>
              </w:rPr>
              <w:t xml:space="preserve">Amount of future funding commitments </w:t>
            </w:r>
            <w:r>
              <w:rPr>
                <w:rFonts w:ascii="Times New Roman" w:cs="Times New Roman" w:eastAsia="Times New Roman" w:hAnsi="Times New Roman"/>
                <w:sz w:val="20"/>
                <w:szCs w:val="20"/>
                <w:color w:val="auto"/>
                <w:vertAlign w:val="superscript"/>
              </w:rPr>
              <w:t>(1)</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14,406</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Fintech funds and certain other equity method investments: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33,720</w:t>
            </w:r>
          </w:p>
        </w:tc>
        <w:tc>
          <w:tcPr>
            <w:tcW w:w="0" w:type="dxa"/>
            <w:vAlign w:val="bottom"/>
          </w:tcPr>
          <w:p>
            <w:pPr>
              <w:spacing w:after="0"/>
              <w:rPr>
                <w:sz w:val="1"/>
                <w:szCs w:val="1"/>
                <w:color w:val="auto"/>
              </w:rPr>
            </w:pPr>
          </w:p>
        </w:tc>
      </w:tr>
      <w:tr>
        <w:trPr>
          <w:trHeight w:val="208"/>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not included in carrying amount</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25,008</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firstLine="4"/>
        <w:spacing w:after="0" w:line="221" w:lineRule="auto"/>
        <w:tabs>
          <w:tab w:leader="none" w:pos="512"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Starting in 2024, United no longer records future funding commitments related to its renewable energy investments on the balance sheet. Prior to 2024, these commitments were included in other liabilities.</w:t>
      </w:r>
    </w:p>
    <w:p>
      <w:pPr>
        <w:spacing w:after="0" w:line="21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a summary of tax credits and amortization expense associated with those investments accounted for using the proportional amortization method for the period indicated.</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340" w:type="dxa"/>
            <w:vAlign w:val="bottom"/>
          </w:tcPr>
          <w:p>
            <w:pPr>
              <w:ind w:left="11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Statement Location</w:t>
            </w:r>
          </w:p>
        </w:tc>
        <w:tc>
          <w:tcPr>
            <w:tcW w:w="460" w:type="dxa"/>
            <w:vAlign w:val="bottom"/>
          </w:tcPr>
          <w:p>
            <w:pPr>
              <w:spacing w:after="0"/>
              <w:rPr>
                <w:sz w:val="18"/>
                <w:szCs w:val="18"/>
                <w:color w:val="auto"/>
              </w:rPr>
            </w:pPr>
          </w:p>
        </w:tc>
        <w:tc>
          <w:tcPr>
            <w:tcW w:w="1480" w:type="dxa"/>
            <w:vAlign w:val="bottom"/>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Pr>
          <w:p>
            <w:pPr>
              <w:spacing w:after="0"/>
              <w:rPr>
                <w:sz w:val="18"/>
                <w:szCs w:val="18"/>
                <w:color w:val="auto"/>
              </w:rPr>
            </w:pPr>
          </w:p>
        </w:tc>
      </w:tr>
      <w:tr>
        <w:trPr>
          <w:trHeight w:val="195"/>
        </w:trPr>
        <w:tc>
          <w:tcPr>
            <w:tcW w:w="534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Investments in LIHTC:</w:t>
            </w:r>
          </w:p>
        </w:tc>
        <w:tc>
          <w:tcPr>
            <w:tcW w:w="2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r>
      <w:tr>
        <w:trPr>
          <w:trHeight w:val="210"/>
        </w:trPr>
        <w:tc>
          <w:tcPr>
            <w:tcW w:w="53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Income tax credits and other income tax benefits</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Income tax expense</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80" w:type="dxa"/>
            <w:vAlign w:val="bottom"/>
          </w:tcPr>
          <w:p>
            <w:pPr>
              <w:spacing w:after="0"/>
              <w:rPr>
                <w:sz w:val="18"/>
                <w:szCs w:val="18"/>
                <w:color w:val="auto"/>
              </w:rPr>
            </w:pPr>
          </w:p>
        </w:tc>
      </w:tr>
      <w:tr>
        <w:trPr>
          <w:trHeight w:val="214"/>
        </w:trPr>
        <w:tc>
          <w:tcPr>
            <w:tcW w:w="53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Amortization expense</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Income tax expense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7,046</w:t>
            </w:r>
          </w:p>
        </w:tc>
        <w:tc>
          <w:tcPr>
            <w:tcW w:w="10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Condensed Financial Statements of United Community Banks, Inc. (Holding Company Only)</w:t>
      </w: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330" w:type="dxa"/>
        <w:tblCellMar>
          <w:top w:w="0" w:type="dxa"/>
          <w:left w:w="0" w:type="dxa"/>
          <w:bottom w:w="0" w:type="dxa"/>
          <w:right w:w="0" w:type="dxa"/>
        </w:tblCellMar>
      </w:tblPr>
      <w:tr>
        <w:trPr>
          <w:trHeight w:val="212"/>
        </w:trPr>
        <w:tc>
          <w:tcPr>
            <w:tcW w:w="4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5"/>
        </w:trPr>
        <w:tc>
          <w:tcPr>
            <w:tcW w:w="7800" w:type="dxa"/>
            <w:vAlign w:val="bottom"/>
            <w:tcBorders>
              <w:left w:val="single" w:sz="8" w:color="CCEEFF"/>
            </w:tcBorders>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40"/>
        </w:trPr>
        <w:tc>
          <w:tcPr>
            <w:tcW w:w="440" w:type="dxa"/>
            <w:vAlign w:val="bottom"/>
            <w:tcBorders>
              <w:left w:val="single" w:sz="8" w:color="CCEEFF"/>
            </w:tcBorders>
            <w:shd w:val="clear" w:color="auto" w:fill="000000"/>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3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1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358,383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395,523</w:t>
            </w:r>
          </w:p>
        </w:tc>
      </w:tr>
      <w:tr>
        <w:trPr>
          <w:trHeight w:val="214"/>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Bank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3,145,899</w:t>
            </w:r>
          </w:p>
        </w:tc>
      </w:tr>
      <w:tr>
        <w:trPr>
          <w:trHeight w:val="21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 in other subsidiaries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39,516</w:t>
            </w:r>
          </w:p>
        </w:tc>
      </w:tr>
      <w:tr>
        <w:trPr>
          <w:trHeight w:val="212"/>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119,946</w:t>
            </w:r>
          </w:p>
        </w:tc>
      </w:tr>
      <w:tr>
        <w:trPr>
          <w:trHeight w:val="207"/>
        </w:trPr>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3,759,689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3,700,884</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9"/>
        </w:trPr>
        <w:tc>
          <w:tcPr>
            <w:tcW w:w="7800" w:type="dxa"/>
            <w:vAlign w:val="bottom"/>
            <w:tcBorders>
              <w:lef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10"/>
        </w:trPr>
        <w:tc>
          <w:tcPr>
            <w:tcW w:w="2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334,823</w:t>
            </w:r>
          </w:p>
        </w:tc>
      </w:tr>
      <w:tr>
        <w:trPr>
          <w:trHeight w:val="214"/>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104,536</w:t>
            </w:r>
          </w:p>
        </w:tc>
      </w:tr>
      <w:tr>
        <w:trPr>
          <w:trHeight w:val="20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439,359</w:t>
            </w:r>
          </w:p>
        </w:tc>
      </w:tr>
      <w:tr>
        <w:trPr>
          <w:trHeight w:val="212"/>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3,261,525</w:t>
            </w:r>
          </w:p>
        </w:tc>
      </w:tr>
      <w:tr>
        <w:trPr>
          <w:trHeight w:val="207"/>
        </w:trPr>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3,759,689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3,700,884</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from Bank</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132,688</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from other subsidiaries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2,788</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Shared service fees from subsidiaries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16,335</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566</w:t>
            </w:r>
          </w:p>
        </w:tc>
      </w:tr>
      <w:tr>
        <w:trPr>
          <w:trHeight w:val="207"/>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152,377</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17,250</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18,058</w:t>
            </w:r>
          </w:p>
        </w:tc>
      </w:tr>
      <w:tr>
        <w:trPr>
          <w:trHeight w:val="203"/>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35,308</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3,251</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equity in undistributed earnings of subsidiaries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120,320</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undistributed earnings of subsidiaries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157,152</w:t>
            </w:r>
          </w:p>
        </w:tc>
      </w:tr>
      <w:tr>
        <w:trPr>
          <w:trHeight w:val="207"/>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252,397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277,472</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Condensed Financial Statements of United Community Banks, Inc. (Holding Company Only),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252,397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undistributed earnings of the subsidiaries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(157,152)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7,736</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154,820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142,855</w:t>
            </w:r>
          </w:p>
        </w:tc>
        <w:tc>
          <w:tcPr>
            <w:tcW w:w="0" w:type="dxa"/>
            <w:vAlign w:val="bottom"/>
          </w:tcPr>
          <w:p>
            <w:pPr>
              <w:spacing w:after="0"/>
              <w:rPr>
                <w:sz w:val="1"/>
                <w:szCs w:val="1"/>
                <w:color w:val="auto"/>
              </w:rPr>
            </w:pPr>
          </w:p>
        </w:tc>
      </w:tr>
      <w:tr>
        <w:trPr>
          <w:trHeight w:val="19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received (paid) for acquisition</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1"/>
        </w:trPr>
        <w:tc>
          <w:tcPr>
            <w:tcW w:w="636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6"/>
                <w:szCs w:val="16"/>
                <w:color w:val="auto"/>
              </w:rPr>
              <w:t>Purchases of debt securities available-for-sale and equity securities with readily determinable</w:t>
            </w:r>
          </w:p>
        </w:tc>
        <w:tc>
          <w:tcPr>
            <w:tcW w:w="3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(19,060)</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values</w:t>
            </w:r>
          </w:p>
        </w:tc>
        <w:tc>
          <w:tcPr>
            <w:tcW w:w="3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6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color w:val="auto"/>
              </w:rPr>
              <w:t>Proceeds from sales and maturities of debt securities available-for-sale and equity securities</w:t>
            </w:r>
          </w:p>
        </w:tc>
        <w:tc>
          <w:tcPr>
            <w:tcW w:w="300" w:type="dxa"/>
            <w:vAlign w:val="bottom"/>
          </w:tcPr>
          <w:p>
            <w:pPr>
              <w:spacing w:after="0"/>
              <w:rPr>
                <w:sz w:val="13"/>
                <w:szCs w:val="13"/>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 readily determinable fair values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investing inflows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investing outflows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(18,291)</w:t>
            </w:r>
          </w:p>
        </w:tc>
        <w:tc>
          <w:tcPr>
            <w:tcW w:w="0" w:type="dxa"/>
            <w:vAlign w:val="bottom"/>
          </w:tcPr>
          <w:p>
            <w:pPr>
              <w:spacing w:after="0"/>
              <w:rPr>
                <w:sz w:val="1"/>
                <w:szCs w:val="1"/>
                <w:color w:val="auto"/>
              </w:rPr>
            </w:pPr>
          </w:p>
        </w:tc>
      </w:tr>
      <w:tr>
        <w:trPr>
          <w:trHeight w:val="191"/>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shares withheld to cover payroll taxes related to equity instruments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for dividend reinvestment plan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of preferred stock</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on preferred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(86,883)</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financing outflows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0" w:type="dxa"/>
            <w:vAlign w:val="bottom"/>
          </w:tcPr>
          <w:p>
            <w:pPr>
              <w:spacing w:after="0"/>
              <w:rPr>
                <w:sz w:val="1"/>
                <w:szCs w:val="1"/>
                <w:color w:val="auto"/>
              </w:rPr>
            </w:pPr>
          </w:p>
        </w:tc>
      </w:tr>
      <w:tr>
        <w:trPr>
          <w:trHeight w:val="207"/>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(197,179)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(100,527)</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24,037</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395,523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298,316</w:t>
            </w: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at end of year</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358,383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395,523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322,353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Declared</w:t>
      </w:r>
    </w:p>
    <w:p>
      <w:pPr>
        <w:spacing w:after="0" w:line="26"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On February 18, 2025, the Board approved a preferred stock dividend of $429.6875 per preferred share (equivalent to $0.4296875 per depositary share, or 1/1000 interest per share). The preferred stock dividend is payable March 14, 2025 to preferred shareholders of record on February 28, 2025.</w:t>
      </w:r>
    </w:p>
    <w:p>
      <w:pPr>
        <w:spacing w:after="0" w:line="210"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On February 20, 2025, the Board approved a regular quarterly cash dividend of $0.24 per common share payable April 4, 2025 to common shareholders of record on March 14, 2025.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Exchange Act Rule 13a-15(e)) as of December 31, 2024. Based on that evaluation, our principal executive officer and chief financial officer concluded that our disclosure controls and procedures were effective as of the end of the period covered by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changes were made to our internal control over financial reporting (as such term is defined in Exchange Act Rule 13a-15(f)) during the fourth quarter of 2024 that materially affected, or are reasonably likely to materially affect, United’s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Management’s assessment of the effectiveness of our internal control over financial reporting as of December 31, 2024 is included in Part II, Item 8 of this Report under the heading “Management’s Report on Internal Control Over Financial Reporting.”</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independent auditors have issued an audit report on management’s assessment of internal controls over financial reporting. This report is included in Part II, Item 8 of this Report under the heading “Report of Independent Registered Public Accounting Firm.”</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17" w:lineRule="exact"/>
        <w:rPr>
          <w:sz w:val="20"/>
          <w:szCs w:val="20"/>
          <w:color w:val="auto"/>
        </w:rPr>
      </w:pPr>
    </w:p>
    <w:p>
      <w:pPr>
        <w:jc w:val="both"/>
        <w:ind w:firstLine="196"/>
        <w:spacing w:after="0" w:line="256" w:lineRule="auto"/>
        <w:tabs>
          <w:tab w:leader="none" w:pos="44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Regarding Directors and Executive Officers. </w:t>
      </w:r>
      <w:r>
        <w:rPr>
          <w:rFonts w:ascii="Times New Roman" w:cs="Times New Roman" w:eastAsia="Times New Roman" w:hAnsi="Times New Roman"/>
          <w:sz w:val="18"/>
          <w:szCs w:val="18"/>
          <w:color w:val="auto"/>
        </w:rPr>
        <w:t>Information required by this Item 10 regarding our directors and director nominees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caption “Director Nominees for Election” under the heading “Proposal 1: Election of Directors” in the 2025 Proxy Statement is incorporated herein by reference. Information required by this Item 10 regarding our executive officers contained under the heading “Executive Officers” in the 2025 Proxy Statement is incorporated herein by reference.</w:t>
      </w:r>
    </w:p>
    <w:p>
      <w:pPr>
        <w:spacing w:after="0" w:line="203" w:lineRule="exact"/>
        <w:rPr>
          <w:rFonts w:ascii="Times New Roman" w:cs="Times New Roman" w:eastAsia="Times New Roman" w:hAnsi="Times New Roman"/>
          <w:sz w:val="18"/>
          <w:szCs w:val="18"/>
          <w:i w:val="1"/>
          <w:iCs w:val="1"/>
          <w:color w:val="auto"/>
        </w:rPr>
      </w:pPr>
    </w:p>
    <w:p>
      <w:pPr>
        <w:jc w:val="both"/>
        <w:ind w:firstLine="642"/>
        <w:spacing w:after="0" w:line="261" w:lineRule="auto"/>
        <w:tabs>
          <w:tab w:leader="none" w:pos="937" w:val="left"/>
        </w:tabs>
        <w:numPr>
          <w:ilvl w:val="1"/>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Compliance with Section 16(a) of the Exchange </w:t>
      </w:r>
      <w:r>
        <w:rPr>
          <w:rFonts w:ascii="Times New Roman" w:cs="Times New Roman" w:eastAsia="Times New Roman" w:hAnsi="Times New Roman"/>
          <w:sz w:val="18"/>
          <w:szCs w:val="18"/>
          <w:color w:val="auto"/>
        </w:rPr>
        <w:t>Act. If applicable, information required by this Item 10 regarding compliance with Section 16(a)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contained under the caption “Delinquent Section 16(a) Reports” under the heading “Security Ownership” in the 2025 Proxy Statement is incorporated herein by reference.</w:t>
      </w:r>
    </w:p>
    <w:p>
      <w:pPr>
        <w:spacing w:after="0" w:line="172" w:lineRule="exact"/>
        <w:rPr>
          <w:rFonts w:ascii="Times New Roman" w:cs="Times New Roman" w:eastAsia="Times New Roman" w:hAnsi="Times New Roman"/>
          <w:sz w:val="18"/>
          <w:szCs w:val="18"/>
          <w:i w:val="1"/>
          <w:iCs w:val="1"/>
          <w:color w:val="auto"/>
        </w:rPr>
      </w:pPr>
    </w:p>
    <w:p>
      <w:pPr>
        <w:jc w:val="both"/>
        <w:ind w:firstLine="642"/>
        <w:spacing w:after="0" w:line="250" w:lineRule="auto"/>
        <w:tabs>
          <w:tab w:leader="none" w:pos="924" w:val="left"/>
        </w:tabs>
        <w:numPr>
          <w:ilvl w:val="1"/>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Code of Business Conduct and Ethics. </w:t>
      </w:r>
      <w:r>
        <w:rPr>
          <w:rFonts w:ascii="Times New Roman" w:cs="Times New Roman" w:eastAsia="Times New Roman" w:hAnsi="Times New Roman"/>
          <w:sz w:val="18"/>
          <w:szCs w:val="18"/>
          <w:color w:val="auto"/>
        </w:rPr>
        <w:t>We have adopted a Code of Business Conduct and Ethics (“Code”). This Code is posted on the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section of our Internet website at www.ucbi.com. If we choose to no longer post such Code, we will provide a free copy to any person upon written request to Corporate Secretary, United Community Banks, Inc., 2 West Washington Street, Suite 700, Greenville, South Carolina 29601. We intend to provide any required disclosure of any amendment to or waiver from such Code that applies to our principal executive officer, principal financial officer, principal accounting officer or controller, or persons performing similar functions, on our Internet website located at www.ucbi.com promptly following the amendment or waiver. We may elect to disclose any such amendment or waiver in a Current Report on Form 8-K filed with the SEC either in addition to or in lieu of the website disclosure. The information contained on or connected to our Internet website is not incorporated by reference into this Report and should not be considered part of this or any other report that we file with or furnish to the SEC.</w:t>
      </w:r>
    </w:p>
    <w:p>
      <w:pPr>
        <w:spacing w:after="0" w:line="209" w:lineRule="exact"/>
        <w:rPr>
          <w:rFonts w:ascii="Times New Roman" w:cs="Times New Roman" w:eastAsia="Times New Roman" w:hAnsi="Times New Roman"/>
          <w:sz w:val="18"/>
          <w:szCs w:val="18"/>
          <w:i w:val="1"/>
          <w:iCs w:val="1"/>
          <w:color w:val="auto"/>
        </w:rPr>
      </w:pPr>
    </w:p>
    <w:p>
      <w:pPr>
        <w:ind w:firstLine="642"/>
        <w:spacing w:after="0" w:line="276" w:lineRule="auto"/>
        <w:tabs>
          <w:tab w:leader="none" w:pos="983" w:val="left"/>
        </w:tabs>
        <w:numPr>
          <w:ilvl w:val="1"/>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Procedures for Shareholders to Recommend Director Nominees. </w:t>
      </w:r>
      <w:r>
        <w:rPr>
          <w:rFonts w:ascii="Times New Roman" w:cs="Times New Roman" w:eastAsia="Times New Roman" w:hAnsi="Times New Roman"/>
          <w:sz w:val="18"/>
          <w:szCs w:val="18"/>
          <w:color w:val="auto"/>
        </w:rPr>
        <w:t>There have been no material changes to the procedures by which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may recommend nominees to our Board.</w:t>
      </w:r>
    </w:p>
    <w:p>
      <w:pPr>
        <w:spacing w:after="0" w:line="159" w:lineRule="exact"/>
        <w:rPr>
          <w:rFonts w:ascii="Times New Roman" w:cs="Times New Roman" w:eastAsia="Times New Roman" w:hAnsi="Times New Roman"/>
          <w:sz w:val="18"/>
          <w:szCs w:val="18"/>
          <w:i w:val="1"/>
          <w:iCs w:val="1"/>
          <w:color w:val="auto"/>
        </w:rPr>
      </w:pPr>
    </w:p>
    <w:p>
      <w:pPr>
        <w:jc w:val="both"/>
        <w:ind w:firstLine="642"/>
        <w:spacing w:after="0" w:line="261" w:lineRule="auto"/>
        <w:tabs>
          <w:tab w:leader="none" w:pos="930" w:val="left"/>
        </w:tabs>
        <w:numPr>
          <w:ilvl w:val="1"/>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Audit Committee Information. </w:t>
      </w:r>
      <w:r>
        <w:rPr>
          <w:rFonts w:ascii="Times New Roman" w:cs="Times New Roman" w:eastAsia="Times New Roman" w:hAnsi="Times New Roman"/>
          <w:sz w:val="18"/>
          <w:szCs w:val="18"/>
          <w:color w:val="auto"/>
        </w:rPr>
        <w:t>Information required by this Item 10 regarding our Audit Committee and our audit committee financial experts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under the caption “Audit Committee Financial Expert,” under the heading “Corporate Governance” in the 2025 Proxy Statement is incorporated herein by reference.</w:t>
      </w:r>
    </w:p>
    <w:p>
      <w:pPr>
        <w:spacing w:after="0" w:line="199" w:lineRule="exact"/>
        <w:rPr>
          <w:rFonts w:ascii="Times New Roman" w:cs="Times New Roman" w:eastAsia="Times New Roman" w:hAnsi="Times New Roman"/>
          <w:sz w:val="18"/>
          <w:szCs w:val="18"/>
          <w:i w:val="1"/>
          <w:iCs w:val="1"/>
          <w:color w:val="auto"/>
        </w:rPr>
      </w:pPr>
    </w:p>
    <w:p>
      <w:pPr>
        <w:jc w:val="both"/>
        <w:ind w:firstLine="642"/>
        <w:spacing w:after="0" w:line="261" w:lineRule="auto"/>
        <w:tabs>
          <w:tab w:leader="none" w:pos="873" w:val="left"/>
        </w:tabs>
        <w:numPr>
          <w:ilvl w:val="1"/>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Insider Trading Agreements and Policies. </w:t>
      </w:r>
      <w:r>
        <w:rPr>
          <w:rFonts w:ascii="Times New Roman" w:cs="Times New Roman" w:eastAsia="Times New Roman" w:hAnsi="Times New Roman"/>
          <w:sz w:val="18"/>
          <w:szCs w:val="18"/>
          <w:color w:val="auto"/>
        </w:rPr>
        <w:t>We have adopted insider trading policies and procedures applicable to our directors,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have implemented processes for the company, that we believe are reasonably designed to promote compliance with insider trading laws, regulations and the NYSE listing standards. Our insider trading policy is filed as Exhibit 19 to this Annual Report on Form 10-K.</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Information required by this Item 11 regarding director and executive officer compensation, the Compensation Committee Report, the risks arising from our compensation policies and practices for employees, pay ratio disclosure, and compensation committee interlocks and insider participation contained under the headings “Director Compensation” and “Executive Compensation” in the 2025 Proxy Statement is incorporated herein by reference.</w:t>
      </w:r>
    </w:p>
    <w:p>
      <w:pPr>
        <w:spacing w:after="0" w:line="176" w:lineRule="exact"/>
        <w:rPr>
          <w:sz w:val="20"/>
          <w:szCs w:val="20"/>
          <w:color w:val="auto"/>
        </w:rPr>
      </w:pPr>
    </w:p>
    <w:p>
      <w:pPr>
        <w:ind w:left="920" w:right="620" w:hanging="1271"/>
        <w:spacing w:after="0" w:line="27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Information contained under the heading “Security Ownership” and under the caption “Equity Compensation Plan Information” under the heading “Executive Compensation” in the 2025 Proxy Statement is incorporated herein by reference.</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Information required by this Item 13 regarding certain relationships and related transactions contained under the heading “Transactions With Management and Others” in the 2025 Proxy Statement is incorporated herein by reference. Information required by this Item 13 regarding director independence contained under the caption “Director Independence” under the heading “Corporate Governance” in the 2025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8" w:name="page129"/>
    <w:bookmarkEnd w:id="128"/>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Information required by Item 14 regarding fees we paid to our principal accountant and the pre-approval policies and procedures established by the Audit Committee of our Board contained under the heading “Fees Paid to Auditors” in the 2025 Proxy Statement is incorporated herein by reference.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391" w:lineRule="exact"/>
        <w:rPr>
          <w:sz w:val="20"/>
          <w:szCs w:val="20"/>
          <w:color w:val="auto"/>
        </w:rPr>
      </w:pPr>
    </w:p>
    <w:p>
      <w:pPr>
        <w:ind w:left="400" w:hanging="376"/>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documents filed as a part of this Report:</w:t>
      </w:r>
    </w:p>
    <w:p>
      <w:pPr>
        <w:spacing w:after="0" w:line="58" w:lineRule="exact"/>
        <w:rPr>
          <w:rFonts w:ascii="Times New Roman" w:cs="Times New Roman" w:eastAsia="Times New Roman" w:hAnsi="Times New Roman"/>
          <w:sz w:val="18"/>
          <w:szCs w:val="18"/>
          <w:color w:val="auto"/>
        </w:rPr>
      </w:pPr>
    </w:p>
    <w:p>
      <w:pPr>
        <w:ind w:left="860" w:hanging="452"/>
        <w:spacing w:after="0"/>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860" w:right="214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United and its subsidiaries and related reports of our independent registered public accounting firm are located in Item 8 of this Report:</w:t>
      </w:r>
    </w:p>
    <w:p>
      <w:pPr>
        <w:spacing w:after="0" w:line="46" w:lineRule="exact"/>
        <w:rPr>
          <w:rFonts w:ascii="Times New Roman" w:cs="Times New Roman" w:eastAsia="Times New Roman" w:hAnsi="Times New Roman"/>
          <w:sz w:val="18"/>
          <w:szCs w:val="18"/>
          <w:color w:val="auto"/>
        </w:rPr>
      </w:pPr>
    </w:p>
    <w:p>
      <w:pPr>
        <w:ind w:left="860" w:right="6100"/>
        <w:spacing w:after="0" w:line="3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Report of Independent Registered Public Accounting Firm Consolidated Balance Sheets - December 31, 2024 and 2023</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 Years ended December 31, 2024, 2023, and 2022</w:t>
      </w:r>
    </w:p>
    <w:p>
      <w:pPr>
        <w:spacing w:after="0" w:line="58" w:lineRule="exact"/>
        <w:rPr>
          <w:rFonts w:ascii="Times New Roman" w:cs="Times New Roman" w:eastAsia="Times New Roman" w:hAnsi="Times New Roman"/>
          <w:sz w:val="18"/>
          <w:szCs w:val="18"/>
          <w:color w:val="auto"/>
        </w:rPr>
      </w:pPr>
    </w:p>
    <w:p>
      <w:pPr>
        <w:ind w:left="860" w:right="2440"/>
        <w:spacing w:after="0" w:line="3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 Years ended December 31, 2024, 2023, and 2022 Consolidated Statements of Changes in Shareholders’ Equity - Years ended December 31, 2024, 2023, and 2022 Consolidated Statements of Cash Flows - Years ended December 31, 2024, 2023, and 2022</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23" w:lineRule="exact"/>
        <w:rPr>
          <w:rFonts w:ascii="Times New Roman" w:cs="Times New Roman" w:eastAsia="Times New Roman" w:hAnsi="Times New Roman"/>
          <w:sz w:val="18"/>
          <w:szCs w:val="18"/>
          <w:color w:val="auto"/>
        </w:rPr>
      </w:pPr>
    </w:p>
    <w:p>
      <w:pPr>
        <w:ind w:left="860" w:hanging="452"/>
        <w:spacing w:after="0"/>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the consolidated financial statements are omitted, as the required information is not applicable.</w:t>
      </w:r>
    </w:p>
    <w:p>
      <w:pPr>
        <w:spacing w:after="0" w:line="323" w:lineRule="exact"/>
        <w:rPr>
          <w:rFonts w:ascii="Times New Roman" w:cs="Times New Roman" w:eastAsia="Times New Roman" w:hAnsi="Times New Roman"/>
          <w:sz w:val="18"/>
          <w:szCs w:val="18"/>
          <w:color w:val="auto"/>
        </w:rPr>
      </w:pPr>
    </w:p>
    <w:p>
      <w:pPr>
        <w:ind w:left="860" w:hanging="452"/>
        <w:spacing w:after="0"/>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to be filed with this Report by Item 601 of Regulation S-K are listed in the Exhibit Index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340" w:type="dxa"/>
            <w:vAlign w:val="bottom"/>
            <w:gridSpan w:val="1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4"/>
        </w:trPr>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51"/>
        </w:trPr>
        <w:tc>
          <w:tcPr>
            <w:tcW w:w="240" w:type="dxa"/>
            <w:vAlign w:val="bottom"/>
            <w:gridSpan w:val="2"/>
          </w:tcPr>
          <w:p>
            <w:pPr>
              <w:ind w:left="20"/>
              <w:spacing w:after="0"/>
              <w:rPr>
                <w:rFonts w:ascii="Times New Roman" w:cs="Times New Roman" w:eastAsia="Times New Roman" w:hAnsi="Times New Roman"/>
                <w:sz w:val="18"/>
                <w:szCs w:val="18"/>
                <w:color w:val="0000FF"/>
                <w:w w:val="88"/>
              </w:rPr>
            </w:pPr>
            <w:hyperlink r:id="rId200">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1</w:t>
              </w:r>
            </w:hyperlink>
          </w:p>
        </w:tc>
        <w:tc>
          <w:tcPr>
            <w:tcW w:w="1020" w:type="dxa"/>
            <w:vAlign w:val="bottom"/>
          </w:tcPr>
          <w:p>
            <w:pPr>
              <w:spacing w:after="0"/>
              <w:rPr>
                <w:sz w:val="21"/>
                <w:szCs w:val="21"/>
                <w:color w:val="auto"/>
              </w:rPr>
            </w:pPr>
          </w:p>
        </w:tc>
        <w:tc>
          <w:tcPr>
            <w:tcW w:w="10040" w:type="dxa"/>
            <w:vAlign w:val="bottom"/>
            <w:gridSpan w:val="17"/>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Agreement and Plan of Merger by and between United Community Banks, Inc. and Progress Financial Corporation dated as of May 3, 2022</w:t>
              </w:r>
            </w:hyperlink>
          </w:p>
        </w:tc>
      </w:tr>
      <w:tr>
        <w:trPr>
          <w:trHeight w:val="165"/>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9"/>
          </w:tcPr>
          <w:p>
            <w:pPr>
              <w:spacing w:after="0" w:line="165"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(incorporated herein by reference to Exhibit 2.1 to United Community Banks, Inc.’s Current Report on Form 8-K dated May 3, 2022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filed with the SEC on May 4, 2022).</w:t>
              </w:r>
            </w:hyperlink>
          </w:p>
        </w:tc>
        <w:tc>
          <w:tcPr>
            <w:tcW w:w="7080" w:type="dxa"/>
            <w:vAlign w:val="bottom"/>
            <w:tcBorders>
              <w:top w:val="single" w:sz="8" w:color="0000FF"/>
            </w:tcBorders>
            <w:gridSpan w:val="7"/>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8"/>
        </w:trPr>
        <w:tc>
          <w:tcPr>
            <w:tcW w:w="240" w:type="dxa"/>
            <w:vAlign w:val="bottom"/>
            <w:gridSpan w:val="2"/>
          </w:tcPr>
          <w:p>
            <w:pPr>
              <w:ind w:left="20"/>
              <w:spacing w:after="0"/>
              <w:rPr>
                <w:rFonts w:ascii="Times New Roman" w:cs="Times New Roman" w:eastAsia="Times New Roman" w:hAnsi="Times New Roman"/>
                <w:sz w:val="18"/>
                <w:szCs w:val="18"/>
                <w:color w:val="0000FF"/>
                <w:w w:val="88"/>
              </w:rPr>
            </w:pPr>
            <w:hyperlink r:id="rId201">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2</w:t>
              </w:r>
            </w:hyperlink>
          </w:p>
        </w:tc>
        <w:tc>
          <w:tcPr>
            <w:tcW w:w="1020" w:type="dxa"/>
            <w:vAlign w:val="bottom"/>
          </w:tcPr>
          <w:p>
            <w:pPr>
              <w:spacing w:after="0"/>
              <w:rPr>
                <w:sz w:val="22"/>
                <w:szCs w:val="22"/>
                <w:color w:val="auto"/>
              </w:rPr>
            </w:pPr>
          </w:p>
        </w:tc>
        <w:tc>
          <w:tcPr>
            <w:tcW w:w="10040" w:type="dxa"/>
            <w:vAlign w:val="bottom"/>
            <w:gridSpan w:val="17"/>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Agreement and Plan of Merger dated as of February 13, 2023, by and among United Community Banks, Inc., First Miami Bancorp and</w:t>
              </w:r>
            </w:hyperlink>
          </w:p>
        </w:tc>
      </w:tr>
      <w:tr>
        <w:trPr>
          <w:trHeight w:val="166"/>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Zamboni Merger Sub, Inc. (incorporated herein by reference to Exhibit 2.1 to United Community Banks, Inc.’s Current Report on Form</w:t>
              </w:r>
            </w:hyperlink>
          </w:p>
        </w:tc>
        <w:tc>
          <w:tcPr>
            <w:tcW w:w="480" w:type="dxa"/>
            <w:vAlign w:val="bottom"/>
            <w:gridSpan w:val="9"/>
          </w:tcPr>
          <w:p>
            <w:pPr>
              <w:ind w:left="80"/>
              <w:spacing w:after="0" w:line="165"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8-K</w:t>
              </w:r>
            </w:hyperlink>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92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dated February 13, 2023 and filed with the SEC on February 15,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40" w:type="dxa"/>
            <w:vAlign w:val="bottom"/>
            <w:gridSpan w:val="2"/>
          </w:tcPr>
          <w:p>
            <w:pPr>
              <w:ind w:left="20"/>
              <w:spacing w:after="0"/>
              <w:rPr>
                <w:rFonts w:ascii="Times New Roman" w:cs="Times New Roman" w:eastAsia="Times New Roman" w:hAnsi="Times New Roman"/>
                <w:sz w:val="18"/>
                <w:szCs w:val="18"/>
                <w:color w:val="0000FF"/>
                <w:w w:val="88"/>
              </w:rPr>
            </w:pPr>
            <w:hyperlink r:id="rId202">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102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Restated Articles of Incorporation of United Community Banks, Inc., as amended through August 13, 2021 (incorporated herein by</w:t>
              </w:r>
            </w:hyperlink>
          </w:p>
        </w:tc>
      </w:tr>
      <w:tr>
        <w:trPr>
          <w:trHeight w:val="146"/>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12"/>
          </w:tcPr>
          <w:p>
            <w:pPr>
              <w:spacing w:after="0" w:line="146" w:lineRule="exact"/>
              <w:rPr>
                <w:rFonts w:ascii="Times New Roman" w:cs="Times New Roman" w:eastAsia="Times New Roman" w:hAnsi="Times New Roman"/>
                <w:sz w:val="15"/>
                <w:szCs w:val="15"/>
                <w:color w:val="0000FF"/>
              </w:rPr>
            </w:pPr>
            <w:hyperlink r:id="rId202">
              <w:r>
                <w:rPr>
                  <w:rFonts w:ascii="Times New Roman" w:cs="Times New Roman" w:eastAsia="Times New Roman" w:hAnsi="Times New Roman"/>
                  <w:sz w:val="15"/>
                  <w:szCs w:val="15"/>
                  <w:color w:val="0000FF"/>
                </w:rPr>
                <w:t>reference to Exhibit 3.1 to United Community Banks, Inc.’s Quarterly Report on Form 10-Q for the period ended September 30, 2021, filed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3"/>
          </w:tcPr>
          <w:p>
            <w:pPr>
              <w:spacing w:after="0" w:line="152"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with the SEC on November 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40" w:type="dxa"/>
            <w:vAlign w:val="bottom"/>
            <w:gridSpan w:val="2"/>
          </w:tcPr>
          <w:p>
            <w:pPr>
              <w:ind w:left="20"/>
              <w:spacing w:after="0"/>
              <w:rPr>
                <w:rFonts w:ascii="Times New Roman" w:cs="Times New Roman" w:eastAsia="Times New Roman" w:hAnsi="Times New Roman"/>
                <w:sz w:val="18"/>
                <w:szCs w:val="18"/>
                <w:color w:val="0000FF"/>
                <w:w w:val="88"/>
              </w:rPr>
            </w:pPr>
            <w:hyperlink r:id="rId203">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102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and Restated Bylaws of United Community Banks, Inc., as amended (incorporated herein by reference to Exhibit 3.2 to United</w:t>
              </w:r>
            </w:hyperlink>
          </w:p>
        </w:tc>
      </w:tr>
      <w:tr>
        <w:trPr>
          <w:trHeight w:val="146"/>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14"/>
          </w:tcPr>
          <w:p>
            <w:pPr>
              <w:spacing w:after="0" w:line="146" w:lineRule="exact"/>
              <w:rPr>
                <w:rFonts w:ascii="Times New Roman" w:cs="Times New Roman" w:eastAsia="Times New Roman" w:hAnsi="Times New Roman"/>
                <w:sz w:val="15"/>
                <w:szCs w:val="15"/>
                <w:color w:val="0000FF"/>
              </w:rPr>
            </w:pPr>
            <w:hyperlink r:id="rId203">
              <w:r>
                <w:rPr>
                  <w:rFonts w:ascii="Times New Roman" w:cs="Times New Roman" w:eastAsia="Times New Roman" w:hAnsi="Times New Roman"/>
                  <w:sz w:val="15"/>
                  <w:szCs w:val="15"/>
                  <w:color w:val="0000FF"/>
                </w:rPr>
                <w:t>Community Banks, Inc.’s Quarterly Report on Form 10-Q for the period ended March 31, 2015, filed with the SEC on May 11,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p>
        </w:tc>
        <w:tc>
          <w:tcPr>
            <w:tcW w:w="102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Description of Registrant’s Common Stock</w:t>
            </w:r>
            <w:r>
              <w:rPr>
                <w:rFonts w:ascii="Times New Roman" w:cs="Times New Roman" w:eastAsia="Times New Roman" w:hAnsi="Times New Roman"/>
                <w:sz w:val="18"/>
                <w:szCs w:val="18"/>
                <w:color w:val="000000"/>
              </w:rPr>
              <w:t>**</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rFonts w:ascii="Times New Roman" w:cs="Times New Roman" w:eastAsia="Times New Roman" w:hAnsi="Times New Roman"/>
                <w:sz w:val="18"/>
                <w:szCs w:val="18"/>
                <w:color w:val="0000FF"/>
                <w:w w:val="88"/>
              </w:rPr>
            </w:pPr>
            <w:hyperlink r:id="rId204">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2</w:t>
              </w:r>
            </w:hyperlink>
          </w:p>
        </w:tc>
        <w:tc>
          <w:tcPr>
            <w:tcW w:w="1020" w:type="dxa"/>
            <w:vAlign w:val="bottom"/>
          </w:tcPr>
          <w:p>
            <w:pPr>
              <w:spacing w:after="0"/>
              <w:rPr>
                <w:sz w:val="22"/>
                <w:szCs w:val="22"/>
                <w:color w:val="auto"/>
              </w:rPr>
            </w:pPr>
          </w:p>
        </w:tc>
        <w:tc>
          <w:tcPr>
            <w:tcW w:w="10040" w:type="dxa"/>
            <w:vAlign w:val="bottom"/>
            <w:gridSpan w:val="17"/>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Indenture, dated August 14, 2015, by and between United Community Banks, Inc. and The Bank of New York Mellon Trust Company,</w:t>
              </w:r>
            </w:hyperlink>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N.A., Trustee (incorporated herein by reference to Exhibit 4.1 to United Community Banks, Inc.’s Current Report on Form 8-K, File No.</w:t>
              </w:r>
            </w:hyperlink>
          </w:p>
        </w:tc>
        <w:tc>
          <w:tcPr>
            <w:tcW w:w="2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001-35095, filed with the SEC on August 14, 2015).</w:t>
              </w:r>
            </w:hyperlink>
          </w:p>
        </w:tc>
        <w:tc>
          <w:tcPr>
            <w:tcW w:w="6240" w:type="dxa"/>
            <w:vAlign w:val="bottom"/>
            <w:tcBorders>
              <w:top w:val="single" w:sz="8" w:color="0000FF"/>
            </w:tcBorders>
            <w:gridSpan w:val="7"/>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60"/>
        </w:trPr>
        <w:tc>
          <w:tcPr>
            <w:tcW w:w="240" w:type="dxa"/>
            <w:vAlign w:val="bottom"/>
            <w:gridSpan w:val="2"/>
          </w:tcPr>
          <w:p>
            <w:pPr>
              <w:ind w:left="20"/>
              <w:spacing w:after="0"/>
              <w:rPr>
                <w:rFonts w:ascii="Times New Roman" w:cs="Times New Roman" w:eastAsia="Times New Roman" w:hAnsi="Times New Roman"/>
                <w:sz w:val="18"/>
                <w:szCs w:val="18"/>
                <w:u w:val="single" w:color="auto"/>
                <w:color w:val="0000FF"/>
                <w:w w:val="88"/>
              </w:rPr>
            </w:pPr>
            <w:hyperlink r:id="rId205">
              <w:r>
                <w:rPr>
                  <w:rFonts w:ascii="Times New Roman" w:cs="Times New Roman" w:eastAsia="Times New Roman" w:hAnsi="Times New Roman"/>
                  <w:sz w:val="18"/>
                  <w:szCs w:val="18"/>
                  <w:u w:val="single" w:color="auto"/>
                  <w:color w:val="0000FF"/>
                  <w:w w:val="88"/>
                </w:rPr>
                <w:t>4.3</w:t>
              </w:r>
            </w:hyperlink>
          </w:p>
        </w:tc>
        <w:tc>
          <w:tcPr>
            <w:tcW w:w="1020" w:type="dxa"/>
            <w:vAlign w:val="bottom"/>
          </w:tcPr>
          <w:p>
            <w:pPr>
              <w:spacing w:after="0"/>
              <w:rPr>
                <w:sz w:val="22"/>
                <w:szCs w:val="22"/>
                <w:color w:val="auto"/>
              </w:rPr>
            </w:pPr>
          </w:p>
        </w:tc>
        <w:tc>
          <w:tcPr>
            <w:tcW w:w="10040" w:type="dxa"/>
            <w:vAlign w:val="bottom"/>
            <w:gridSpan w:val="17"/>
          </w:tcPr>
          <w:p>
            <w:pPr>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First Supplemental Indenture to the Indenture, dated August 14, 2015, by and between United Community Banks, Inc. and The Bank of</w:t>
              </w:r>
            </w:hyperlink>
          </w:p>
        </w:tc>
      </w:tr>
    </w:tbl>
    <w:p>
      <w:pPr>
        <w:ind w:left="1260" w:right="40"/>
        <w:spacing w:after="0" w:line="230"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New York Mellon Trust Company, N.A., Trustee (incorporated herein by reference to Exhibit 4.2 to United Community Banks, Inc.’s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Current Report on Form 8-K, File No. 001-35095, filed with the SEC on August 14, 2015).</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rFonts w:ascii="Times New Roman" w:cs="Times New Roman" w:eastAsia="Times New Roman" w:hAnsi="Times New Roman"/>
                <w:sz w:val="18"/>
                <w:szCs w:val="18"/>
                <w:color w:val="0000FF"/>
                <w:w w:val="88"/>
              </w:rPr>
            </w:pPr>
            <w:hyperlink r:id="rId207">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4</w:t>
              </w:r>
            </w:hyperlink>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Indenture, dated January 18, 2018, by and between United and The Bank of New York Mellon, N.A., Trustee (incorporated herein by</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4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reference to Exhibit 4.1 to United Community Banks, Inc.’s Current Report on Form 8-K, File No. 001-35095,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Borders>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207">
              <w:r>
                <w:rPr>
                  <w:rFonts w:ascii="Times New Roman" w:cs="Times New Roman" w:eastAsia="Times New Roman" w:hAnsi="Times New Roman"/>
                  <w:sz w:val="18"/>
                  <w:szCs w:val="18"/>
                  <w:color w:val="0000FF"/>
                  <w:w w:val="96"/>
                </w:rPr>
                <w:t>January 23, 2018).</w:t>
              </w:r>
            </w:hyperlink>
          </w:p>
        </w:tc>
        <w:tc>
          <w:tcPr>
            <w:tcW w:w="866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rFonts w:ascii="Times New Roman" w:cs="Times New Roman" w:eastAsia="Times New Roman" w:hAnsi="Times New Roman"/>
                <w:sz w:val="18"/>
                <w:szCs w:val="18"/>
                <w:color w:val="0000FF"/>
                <w:w w:val="88"/>
              </w:rPr>
            </w:pPr>
            <w:hyperlink r:id="rId208">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5</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First Supplemental Indenture to the Indenture, dated January 18, 2018, by and between United and The Bank of New York Mellon, N.A.,</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0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Trustee (incorporated herein by reference to Exhibit 4.2 to United Community Banks, Inc.’s Current Report on Form 8-K, File No. 001-</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20" w:type="dxa"/>
            <w:vAlign w:val="bottom"/>
            <w:tcBorders>
              <w:bottom w:val="single" w:sz="8" w:color="0000FF"/>
            </w:tcBorders>
            <w:gridSpan w:val="4"/>
          </w:tcPr>
          <w:p>
            <w:pPr>
              <w:spacing w:after="0" w:line="165" w:lineRule="exact"/>
              <w:rPr>
                <w:rFonts w:ascii="Times New Roman" w:cs="Times New Roman" w:eastAsia="Times New Roman" w:hAnsi="Times New Roman"/>
                <w:sz w:val="18"/>
                <w:szCs w:val="18"/>
                <w:color w:val="0000FF"/>
                <w:w w:val="97"/>
              </w:rPr>
            </w:pPr>
            <w:hyperlink r:id="rId208">
              <w:r>
                <w:rPr>
                  <w:rFonts w:ascii="Times New Roman" w:cs="Times New Roman" w:eastAsia="Times New Roman" w:hAnsi="Times New Roman"/>
                  <w:sz w:val="18"/>
                  <w:szCs w:val="18"/>
                  <w:color w:val="0000FF"/>
                  <w:w w:val="97"/>
                </w:rPr>
                <w:t>35095, filed with the SEC on January 23, 2018).</w:t>
              </w:r>
            </w:hyperlink>
          </w:p>
        </w:tc>
        <w:tc>
          <w:tcPr>
            <w:tcW w:w="6520" w:type="dxa"/>
            <w:vAlign w:val="bottom"/>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rFonts w:ascii="Times New Roman" w:cs="Times New Roman" w:eastAsia="Times New Roman" w:hAnsi="Times New Roman"/>
                <w:sz w:val="18"/>
                <w:szCs w:val="18"/>
                <w:color w:val="0000FF"/>
                <w:w w:val="88"/>
              </w:rPr>
            </w:pPr>
            <w:hyperlink r:id="rId209">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6</w:t>
              </w:r>
            </w:hyperlink>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Deposit Agreement, dated as of June 10, 2020, between the Company and Continental Stock Transfer &amp; Trust Company, as depositary</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(incorporated herein by reference to Exhibit 4.2 to United Community Banks, Inc.’s Current Report on Form 8-K, File No. 001-35095,</w:t>
              </w:r>
            </w:hyperlink>
          </w:p>
        </w:tc>
        <w:tc>
          <w:tcPr>
            <w:tcW w:w="500" w:type="dxa"/>
            <w:vAlign w:val="bottom"/>
            <w:gridSpan w:val="7"/>
          </w:tcPr>
          <w:p>
            <w:pPr>
              <w:ind w:left="60"/>
              <w:spacing w:after="0" w:line="152"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filed</w:t>
              </w:r>
            </w:hyperlink>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with the SEC on June 10, 2020).</w:t>
              </w:r>
            </w:hyperlink>
          </w:p>
        </w:tc>
        <w:tc>
          <w:tcPr>
            <w:tcW w:w="7580" w:type="dxa"/>
            <w:vAlign w:val="bottom"/>
            <w:tcBorders>
              <w:top w:val="single" w:sz="8" w:color="0000FF"/>
            </w:tcBorders>
            <w:gridSpan w:val="10"/>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rFonts w:ascii="Times New Roman" w:cs="Times New Roman" w:eastAsia="Times New Roman" w:hAnsi="Times New Roman"/>
                <w:sz w:val="18"/>
                <w:szCs w:val="18"/>
                <w:color w:val="0000FF"/>
                <w:w w:val="88"/>
              </w:rPr>
            </w:pPr>
            <w:hyperlink r:id="rId209">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7</w:t>
              </w:r>
            </w:hyperlink>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Depositary Receipt (included as part of Exhibit 4.6)</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0" w:type="dxa"/>
            <w:vAlign w:val="bottom"/>
          </w:tcPr>
          <w:p>
            <w:pPr>
              <w:spacing w:after="0"/>
              <w:rPr>
                <w:rFonts w:ascii="Times New Roman" w:cs="Times New Roman" w:eastAsia="Times New Roman" w:hAnsi="Times New Roman"/>
                <w:sz w:val="18"/>
                <w:szCs w:val="18"/>
                <w:color w:val="0000FF"/>
                <w:w w:val="88"/>
              </w:rPr>
            </w:pPr>
            <w:hyperlink r:id="rId210">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8</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Description of Registrant’s Depositary Shares and underlying Series I Preferred Stock (incorporated herein by reference to Exhibit 4.11 to</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United Community Banks, Inc.’s Annual Report on Form 10-K, File No. 001-35095, filed with the SEC on February 25, 2021).</w:t>
              </w:r>
            </w:hyperlink>
          </w:p>
        </w:tc>
        <w:tc>
          <w:tcPr>
            <w:tcW w:w="9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rFonts w:ascii="Times New Roman" w:cs="Times New Roman" w:eastAsia="Times New Roman" w:hAnsi="Times New Roman"/>
                <w:sz w:val="18"/>
                <w:szCs w:val="18"/>
                <w:color w:val="0000FF"/>
                <w:w w:val="88"/>
              </w:rPr>
            </w:pPr>
            <w:hyperlink r:id="rId211">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9</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Indenture, dated as of June 17, 2020, by and between United Community Banks, Inc. and U.S. Bank National Association, as trustee</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980" w:type="dxa"/>
            <w:vAlign w:val="bottom"/>
            <w:gridSpan w:val="17"/>
          </w:tcPr>
          <w:p>
            <w:pPr>
              <w:spacing w:after="0" w:line="152"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(incorporated herein by reference to Exhibit 4.1 to United Community Banks, Inc.’s Current Report on Form 8-K, File No. 001-35095, filed</w:t>
              </w:r>
            </w:hyperlink>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211">
              <w:r>
                <w:rPr>
                  <w:rFonts w:ascii="Times New Roman" w:cs="Times New Roman" w:eastAsia="Times New Roman" w:hAnsi="Times New Roman"/>
                  <w:sz w:val="18"/>
                  <w:szCs w:val="18"/>
                  <w:color w:val="0000FF"/>
                  <w:w w:val="97"/>
                </w:rPr>
                <w:t>with the SEC on June 17, 2020).</w:t>
              </w:r>
            </w:hyperlink>
          </w:p>
        </w:tc>
        <w:tc>
          <w:tcPr>
            <w:tcW w:w="7580" w:type="dxa"/>
            <w:vAlign w:val="bottom"/>
            <w:tcBorders>
              <w:top w:val="single" w:sz="8" w:color="0000FF"/>
            </w:tcBorders>
            <w:gridSpan w:val="10"/>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00" w:type="dxa"/>
            <w:vAlign w:val="bottom"/>
            <w:gridSpan w:val="2"/>
          </w:tcPr>
          <w:p>
            <w:pPr>
              <w:spacing w:after="0"/>
              <w:rPr>
                <w:rFonts w:ascii="Times New Roman" w:cs="Times New Roman" w:eastAsia="Times New Roman" w:hAnsi="Times New Roman"/>
                <w:sz w:val="18"/>
                <w:szCs w:val="18"/>
                <w:color w:val="0000FF"/>
                <w:w w:val="82"/>
              </w:rPr>
            </w:pPr>
            <w:hyperlink r:id="rId212">
              <w:r>
                <w:rPr>
                  <w:rFonts w:ascii="Times New Roman" w:cs="Times New Roman" w:eastAsia="Times New Roman" w:hAnsi="Times New Roman"/>
                  <w:sz w:val="18"/>
                  <w:szCs w:val="18"/>
                  <w:color w:val="0000FF"/>
                  <w:w w:val="82"/>
                </w:rPr>
                <w:t>4.</w:t>
              </w:r>
              <w:r>
                <w:rPr>
                  <w:rFonts w:ascii="Times New Roman" w:cs="Times New Roman" w:eastAsia="Times New Roman" w:hAnsi="Times New Roman"/>
                  <w:sz w:val="18"/>
                  <w:szCs w:val="18"/>
                  <w:u w:val="single" w:color="auto"/>
                  <w:color w:val="0000FF"/>
                  <w:w w:val="82"/>
                </w:rPr>
                <w:t>10</w:t>
              </w:r>
            </w:hyperlink>
          </w:p>
        </w:tc>
        <w:tc>
          <w:tcPr>
            <w:tcW w:w="94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First Supplemental Indenture, dated as of June 17, 2020, by and between United Community Banks, Inc. and U.S. Bank National</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980" w:type="dxa"/>
            <w:vAlign w:val="bottom"/>
            <w:gridSpan w:val="17"/>
          </w:tcPr>
          <w:p>
            <w:pPr>
              <w:spacing w:after="0" w:line="152"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Association, as trustee (incorporated herein by reference to Exhibit 4.2 to United Community Banks, Inc.’s Current Report on Form 8-K,</w:t>
              </w:r>
            </w:hyperlink>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212">
              <w:r>
                <w:rPr>
                  <w:rFonts w:ascii="Times New Roman" w:cs="Times New Roman" w:eastAsia="Times New Roman" w:hAnsi="Times New Roman"/>
                  <w:sz w:val="18"/>
                  <w:szCs w:val="18"/>
                  <w:color w:val="0000FF"/>
                  <w:w w:val="97"/>
                </w:rPr>
                <w:t>File No. 001-35095, filed with the SEC on June 17, 2020).</w:t>
              </w:r>
            </w:hyperlink>
          </w:p>
        </w:tc>
        <w:tc>
          <w:tcPr>
            <w:tcW w:w="5520" w:type="dxa"/>
            <w:vAlign w:val="bottom"/>
            <w:tcBorders>
              <w:top w:val="single" w:sz="8" w:color="0000FF"/>
            </w:tcBorders>
            <w:gridSpan w:val="7"/>
          </w:tcPr>
          <w:p>
            <w:pPr>
              <w:spacing w:after="0"/>
              <w:rPr>
                <w:sz w:val="14"/>
                <w:szCs w:val="14"/>
                <w:color w:val="auto"/>
              </w:rPr>
            </w:pPr>
          </w:p>
        </w:tc>
        <w:tc>
          <w:tcPr>
            <w:tcW w:w="3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00" w:type="dxa"/>
            <w:vAlign w:val="bottom"/>
            <w:gridSpan w:val="2"/>
          </w:tcPr>
          <w:p>
            <w:pPr>
              <w:spacing w:after="0"/>
              <w:rPr>
                <w:rFonts w:ascii="Times New Roman" w:cs="Times New Roman" w:eastAsia="Times New Roman" w:hAnsi="Times New Roman"/>
                <w:sz w:val="18"/>
                <w:szCs w:val="18"/>
                <w:color w:val="0000FF"/>
                <w:w w:val="82"/>
              </w:rPr>
            </w:pPr>
            <w:hyperlink r:id="rId212">
              <w:r>
                <w:rPr>
                  <w:rFonts w:ascii="Times New Roman" w:cs="Times New Roman" w:eastAsia="Times New Roman" w:hAnsi="Times New Roman"/>
                  <w:sz w:val="18"/>
                  <w:szCs w:val="18"/>
                  <w:color w:val="0000FF"/>
                  <w:w w:val="82"/>
                </w:rPr>
                <w:t>4.</w:t>
              </w:r>
              <w:r>
                <w:rPr>
                  <w:rFonts w:ascii="Times New Roman" w:cs="Times New Roman" w:eastAsia="Times New Roman" w:hAnsi="Times New Roman"/>
                  <w:sz w:val="18"/>
                  <w:szCs w:val="18"/>
                  <w:u w:val="single" w:color="auto"/>
                  <w:color w:val="0000FF"/>
                  <w:w w:val="82"/>
                </w:rPr>
                <w:t>11</w:t>
              </w:r>
            </w:hyperlink>
          </w:p>
        </w:tc>
        <w:tc>
          <w:tcPr>
            <w:tcW w:w="94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5.000% Fixed-to-Floating Senior Notes due 2030 (attached as Exhibit A to Exhibit 4.10 hereto)</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240" w:right="220" w:hanging="1236"/>
        <w:spacing w:after="0" w:line="227"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United Community Banks, Inc. and its subsidiaries that does not exceed 10% of United’s consolidated assets have not been filed; however, United agrees to furnish a copy of any such agreement to the SEC upon request.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rFonts w:ascii="Times New Roman" w:cs="Times New Roman" w:eastAsia="Times New Roman" w:hAnsi="Times New Roman"/>
                <w:sz w:val="18"/>
                <w:szCs w:val="18"/>
                <w:color w:val="0000FF"/>
                <w:w w:val="95"/>
              </w:rPr>
            </w:pPr>
            <w:hyperlink r:id="rId21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United Community Banks, Inc.’s 2022 Omnibus Equity Plan (incorporated herein by reference to Appendix 1 to United Community Banks,</w:t>
              </w:r>
            </w:hyperlink>
          </w:p>
        </w:tc>
        <w:tc>
          <w:tcPr>
            <w:tcW w:w="0" w:type="dxa"/>
            <w:vAlign w:val="bottom"/>
          </w:tcPr>
          <w:p>
            <w:pPr>
              <w:spacing w:after="0"/>
              <w:rPr>
                <w:sz w:val="1"/>
                <w:szCs w:val="1"/>
                <w:color w:val="auto"/>
              </w:rPr>
            </w:pPr>
          </w:p>
        </w:tc>
      </w:tr>
      <w:tr>
        <w:trPr>
          <w:trHeight w:val="186"/>
        </w:trPr>
        <w:tc>
          <w:tcPr>
            <w:tcW w:w="3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40" w:type="dxa"/>
            <w:vAlign w:val="bottom"/>
            <w:tcBorders>
              <w:top w:val="single" w:sz="8" w:color="0000FF"/>
            </w:tcBorders>
            <w:gridSpan w:val="12"/>
          </w:tcPr>
          <w:p>
            <w:pPr>
              <w:spacing w:after="0" w:line="18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Inc.’s Schedule 14A Proxy Statement, File No. 001-35095, filed with the SEC on April 6, 2022)</w:t>
              </w:r>
              <w:r>
                <w:rPr>
                  <w:rFonts w:ascii="Times New Roman" w:cs="Times New Roman" w:eastAsia="Times New Roman" w:hAnsi="Times New Roman"/>
                  <w:sz w:val="18"/>
                  <w:szCs w:val="18"/>
                  <w:color w:val="000000"/>
                </w:rPr>
                <w:t>.#</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rFonts w:ascii="Times New Roman" w:cs="Times New Roman" w:eastAsia="Times New Roman" w:hAnsi="Times New Roman"/>
                <w:sz w:val="18"/>
                <w:szCs w:val="18"/>
                <w:color w:val="0000FF"/>
                <w:w w:val="95"/>
              </w:rPr>
            </w:pPr>
            <w:hyperlink r:id="rId21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Restricted Stock Unit Award Agreement for Non-Employee Directors (incorporated herein by reference to Exhibit 10.2 to United</w:t>
              </w:r>
            </w:hyperlink>
          </w:p>
        </w:tc>
        <w:tc>
          <w:tcPr>
            <w:tcW w:w="0" w:type="dxa"/>
            <w:vAlign w:val="bottom"/>
          </w:tcPr>
          <w:p>
            <w:pPr>
              <w:spacing w:after="0"/>
              <w:rPr>
                <w:sz w:val="1"/>
                <w:szCs w:val="1"/>
                <w:color w:val="auto"/>
              </w:rPr>
            </w:pPr>
          </w:p>
        </w:tc>
      </w:tr>
      <w:tr>
        <w:trPr>
          <w:trHeight w:val="186"/>
        </w:trPr>
        <w:tc>
          <w:tcPr>
            <w:tcW w:w="3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tcBorders>
              <w:top w:val="single" w:sz="8" w:color="0000FF"/>
            </w:tcBorders>
            <w:gridSpan w:val="11"/>
          </w:tcPr>
          <w:p>
            <w:pPr>
              <w:spacing w:after="0" w:line="18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Community Banks, Inc.'s Quarterly Report on Form 10-Q for the period ended June 30, 2022, File No. 001-35095, filed with the SEC on</w:t>
              </w:r>
            </w:hyperlink>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60" w:type="dxa"/>
            <w:vAlign w:val="bottom"/>
            <w:tcBorders>
              <w:top w:val="single" w:sz="8" w:color="0000FF"/>
            </w:tcBorders>
            <w:gridSpan w:val="10"/>
          </w:tcPr>
          <w:p>
            <w:pPr>
              <w:spacing w:after="0" w:line="192"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August 5, 2022).</w:t>
              </w:r>
              <w:r>
                <w:rPr>
                  <w:rFonts w:ascii="Times New Roman" w:cs="Times New Roman" w:eastAsia="Times New Roman" w:hAnsi="Times New Roman"/>
                  <w:sz w:val="18"/>
                  <w:szCs w:val="18"/>
                  <w:color w:val="000000"/>
                </w:rPr>
                <w:t>#</w:t>
              </w:r>
            </w:hyperlink>
          </w:p>
        </w:tc>
        <w:tc>
          <w:tcPr>
            <w:tcW w:w="4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of Performance-Based Restricted Stock Unit Award for Key Employees</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rFonts w:ascii="Times New Roman" w:cs="Times New Roman" w:eastAsia="Times New Roman" w:hAnsi="Times New Roman"/>
                <w:sz w:val="18"/>
                <w:szCs w:val="18"/>
                <w:color w:val="0000FF"/>
                <w:w w:val="95"/>
              </w:rPr>
            </w:pPr>
            <w:hyperlink r:id="rId21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Time-Based Restricted Stock Unit Award Agreement for Key Employees (for awards made to Key Employees other than H. Lynn</w:t>
              </w:r>
            </w:hyperlink>
          </w:p>
        </w:tc>
        <w:tc>
          <w:tcPr>
            <w:tcW w:w="0" w:type="dxa"/>
            <w:vAlign w:val="bottom"/>
          </w:tcPr>
          <w:p>
            <w:pPr>
              <w:spacing w:after="0"/>
              <w:rPr>
                <w:sz w:val="1"/>
                <w:szCs w:val="1"/>
                <w:color w:val="auto"/>
              </w:rPr>
            </w:pPr>
          </w:p>
        </w:tc>
      </w:tr>
      <w:tr>
        <w:trPr>
          <w:trHeight w:val="152"/>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Harton and Richard W. Bradshaw) (incorporated herein by reference to Exhibit 10.4 to United Community Banks, Inc.’s Annual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120" w:type="dxa"/>
            <w:vAlign w:val="bottom"/>
            <w:gridSpan w:val="24"/>
          </w:tcPr>
          <w:p>
            <w:pPr>
              <w:spacing w:after="0" w:line="165"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10-K, File No. 001-35095, filed with the SEC on February 23,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of Time-Based Restricted Stock Unit Award Agreement for Key Employees (for awards made to H. Lynn Harton and Richard W.</w:t>
            </w:r>
          </w:p>
        </w:tc>
        <w:tc>
          <w:tcPr>
            <w:tcW w:w="0" w:type="dxa"/>
            <w:vAlign w:val="bottom"/>
          </w:tcPr>
          <w:p>
            <w:pPr>
              <w:spacing w:after="0"/>
              <w:rPr>
                <w:sz w:val="1"/>
                <w:szCs w:val="1"/>
                <w:color w:val="auto"/>
              </w:rPr>
            </w:pPr>
          </w:p>
        </w:tc>
      </w:tr>
      <w:tr>
        <w:trPr>
          <w:trHeight w:val="152"/>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6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 xml:space="preserve">Bradshaw) </w:t>
            </w:r>
            <w:r>
              <w:rPr>
                <w:rFonts w:ascii="Times New Roman" w:cs="Times New Roman" w:eastAsia="Times New Roman" w:hAnsi="Times New Roman"/>
                <w:sz w:val="17"/>
                <w:szCs w:val="17"/>
                <w:color w:val="00000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tcPr>
          <w:p>
            <w:pPr>
              <w:spacing w:after="0"/>
              <w:rPr>
                <w:rFonts w:ascii="Times New Roman" w:cs="Times New Roman" w:eastAsia="Times New Roman" w:hAnsi="Times New Roman"/>
                <w:sz w:val="18"/>
                <w:szCs w:val="18"/>
                <w:color w:val="0000FF"/>
                <w:w w:val="95"/>
              </w:rPr>
            </w:pPr>
            <w:hyperlink r:id="rId21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Employment Agreement dated February 14, 2023 by and between United Community Banks, Inc. and H. Lynn Harton (incorporated herein</w:t>
              </w:r>
            </w:hyperlink>
          </w:p>
        </w:tc>
        <w:tc>
          <w:tcPr>
            <w:tcW w:w="0" w:type="dxa"/>
            <w:vAlign w:val="bottom"/>
          </w:tcPr>
          <w:p>
            <w:pPr>
              <w:spacing w:after="0"/>
              <w:rPr>
                <w:sz w:val="1"/>
                <w:szCs w:val="1"/>
                <w:color w:val="auto"/>
              </w:rPr>
            </w:pPr>
          </w:p>
        </w:tc>
      </w:tr>
      <w:tr>
        <w:trPr>
          <w:trHeight w:val="152"/>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by reference to Exhibit 10.3 to United Community Banks, Inc.'s Current Report on Form 8-K dated February 14, 2023 and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SEC on February 14, 2023)</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20" w:type="dxa"/>
            <w:vAlign w:val="bottom"/>
          </w:tcPr>
          <w:p>
            <w:pPr>
              <w:spacing w:after="0"/>
              <w:rPr>
                <w:rFonts w:ascii="Times New Roman" w:cs="Times New Roman" w:eastAsia="Times New Roman" w:hAnsi="Times New Roman"/>
                <w:sz w:val="18"/>
                <w:szCs w:val="18"/>
                <w:color w:val="0000FF"/>
                <w:w w:val="95"/>
              </w:rPr>
            </w:pPr>
            <w:hyperlink r:id="rId21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Change of Control Continuity Agreement dated February 14, 2023 by and between United Community Banks, Inc. and H. Lynn Harton</w:t>
              </w:r>
            </w:hyperlink>
          </w:p>
        </w:tc>
        <w:tc>
          <w:tcPr>
            <w:tcW w:w="0" w:type="dxa"/>
            <w:vAlign w:val="bottom"/>
          </w:tcPr>
          <w:p>
            <w:pPr>
              <w:spacing w:after="0"/>
              <w:rPr>
                <w:sz w:val="1"/>
                <w:szCs w:val="1"/>
                <w:color w:val="auto"/>
              </w:rPr>
            </w:pPr>
          </w:p>
        </w:tc>
      </w:tr>
      <w:tr>
        <w:trPr>
          <w:trHeight w:val="132"/>
        </w:trPr>
        <w:tc>
          <w:tcPr>
            <w:tcW w:w="3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20" w:type="dxa"/>
            <w:vAlign w:val="bottom"/>
            <w:tcBorders>
              <w:top w:val="single" w:sz="8" w:color="0000FF"/>
            </w:tcBorders>
            <w:gridSpan w:val="19"/>
          </w:tcPr>
          <w:p>
            <w:pPr>
              <w:spacing w:after="0" w:line="133" w:lineRule="exact"/>
              <w:rPr>
                <w:rFonts w:ascii="Times New Roman" w:cs="Times New Roman" w:eastAsia="Times New Roman" w:hAnsi="Times New Roman"/>
                <w:sz w:val="15"/>
                <w:szCs w:val="15"/>
                <w:color w:val="0000FF"/>
              </w:rPr>
            </w:pPr>
            <w:hyperlink r:id="rId217">
              <w:r>
                <w:rPr>
                  <w:rFonts w:ascii="Times New Roman" w:cs="Times New Roman" w:eastAsia="Times New Roman" w:hAnsi="Times New Roman"/>
                  <w:sz w:val="15"/>
                  <w:szCs w:val="15"/>
                  <w:color w:val="0000FF"/>
                </w:rPr>
                <w:t>(incorporated herein by reference to Exhibit 10.1 to United Community Banks, Inc.'s Current Report on Form 8-K dated February 14, 2023</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and filed with the SEC on February 14,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 w:type="dxa"/>
            <w:vAlign w:val="bottom"/>
          </w:tcPr>
          <w:p>
            <w:pPr>
              <w:spacing w:after="0"/>
              <w:rPr>
                <w:rFonts w:ascii="Times New Roman" w:cs="Times New Roman" w:eastAsia="Times New Roman" w:hAnsi="Times New Roman"/>
                <w:sz w:val="18"/>
                <w:szCs w:val="18"/>
                <w:color w:val="0000FF"/>
                <w:w w:val="95"/>
              </w:rPr>
            </w:pPr>
            <w:hyperlink r:id="rId21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Change in Control Continuity Agreement for Jefferson L. Harralson, Richard W. Bradshaw, Robert A. Edwards and Melinda Davis</w:t>
              </w:r>
            </w:hyperlink>
          </w:p>
        </w:tc>
        <w:tc>
          <w:tcPr>
            <w:tcW w:w="0" w:type="dxa"/>
            <w:vAlign w:val="bottom"/>
          </w:tcPr>
          <w:p>
            <w:pPr>
              <w:spacing w:after="0"/>
              <w:rPr>
                <w:sz w:val="1"/>
                <w:szCs w:val="1"/>
                <w:color w:val="auto"/>
              </w:rPr>
            </w:pPr>
          </w:p>
        </w:tc>
      </w:tr>
      <w:tr>
        <w:trPr>
          <w:trHeight w:val="132"/>
        </w:trPr>
        <w:tc>
          <w:tcPr>
            <w:tcW w:w="3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100" w:type="dxa"/>
            <w:vAlign w:val="bottom"/>
            <w:tcBorders>
              <w:top w:val="single" w:sz="8" w:color="0000FF"/>
            </w:tcBorders>
            <w:gridSpan w:val="23"/>
          </w:tcPr>
          <w:p>
            <w:pPr>
              <w:spacing w:after="0" w:line="133" w:lineRule="exact"/>
              <w:rPr>
                <w:rFonts w:ascii="Times New Roman" w:cs="Times New Roman" w:eastAsia="Times New Roman" w:hAnsi="Times New Roman"/>
                <w:sz w:val="15"/>
                <w:szCs w:val="15"/>
                <w:color w:val="0000FF"/>
              </w:rPr>
            </w:pPr>
            <w:hyperlink r:id="rId218">
              <w:r>
                <w:rPr>
                  <w:rFonts w:ascii="Times New Roman" w:cs="Times New Roman" w:eastAsia="Times New Roman" w:hAnsi="Times New Roman"/>
                  <w:sz w:val="15"/>
                  <w:szCs w:val="15"/>
                  <w:color w:val="0000FF"/>
                </w:rPr>
                <w:t>Lux, dated February 14, 2023 (incorporated herein by reference to Exhibit 10.2 to United Community Banks, Inc.'s Current Report on Form</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8-K dated February 14, 2023 and filed with the SEC on February 14, 2023)</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0" w:type="dxa"/>
            <w:vAlign w:val="bottom"/>
          </w:tcPr>
          <w:p>
            <w:pPr>
              <w:spacing w:after="0"/>
              <w:rPr>
                <w:rFonts w:ascii="Times New Roman" w:cs="Times New Roman" w:eastAsia="Times New Roman" w:hAnsi="Times New Roman"/>
                <w:sz w:val="18"/>
                <w:szCs w:val="18"/>
                <w:color w:val="0000FF"/>
                <w:w w:val="95"/>
              </w:rPr>
            </w:pPr>
            <w:hyperlink r:id="rId21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United Community Banks, Inc.’s Modified Retirement Plan (as amended and restated effective as of January 1, 2016) (incorporated herein</w:t>
              </w:r>
            </w:hyperlink>
          </w:p>
        </w:tc>
        <w:tc>
          <w:tcPr>
            <w:tcW w:w="0" w:type="dxa"/>
            <w:vAlign w:val="bottom"/>
          </w:tcPr>
          <w:p>
            <w:pPr>
              <w:spacing w:after="0"/>
              <w:rPr>
                <w:sz w:val="1"/>
                <w:szCs w:val="1"/>
                <w:color w:val="auto"/>
              </w:rPr>
            </w:pPr>
          </w:p>
        </w:tc>
      </w:tr>
      <w:tr>
        <w:trPr>
          <w:trHeight w:val="152"/>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8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by reference to Exhibit 10.15 to United Community Banks, Inc.'s Annual Report on Form 10-K File No. 001-35095, filed with the SEC on</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0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February 27, 2020).</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spacing w:after="0"/>
              <w:rPr>
                <w:rFonts w:ascii="Times New Roman" w:cs="Times New Roman" w:eastAsia="Times New Roman" w:hAnsi="Times New Roman"/>
                <w:sz w:val="18"/>
                <w:szCs w:val="18"/>
                <w:color w:val="0000FF"/>
                <w:w w:val="93"/>
              </w:rPr>
            </w:pPr>
            <w:hyperlink r:id="rId22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10</w:t>
              </w:r>
            </w:hyperlink>
          </w:p>
        </w:tc>
        <w:tc>
          <w:tcPr>
            <w:tcW w:w="860" w:type="dxa"/>
            <w:vAlign w:val="bottom"/>
            <w:tcBorders>
              <w:right w:val="single" w:sz="8" w:color="0000FF"/>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54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0" w:type="dxa"/>
            <w:vAlign w:val="bottom"/>
            <w:tcBorders>
              <w:bottom w:val="single" w:sz="8" w:color="0000FF"/>
            </w:tcBorders>
            <w:gridSpan w:val="2"/>
            <w:vMerge w:val="continue"/>
          </w:tcPr>
          <w:p>
            <w:pPr>
              <w:spacing w:after="0"/>
              <w:rPr>
                <w:sz w:val="23"/>
                <w:szCs w:val="23"/>
                <w:color w:val="auto"/>
              </w:rPr>
            </w:pPr>
          </w:p>
        </w:tc>
        <w:tc>
          <w:tcPr>
            <w:tcW w:w="860" w:type="dxa"/>
            <w:vAlign w:val="bottom"/>
          </w:tcPr>
          <w:p>
            <w:pPr>
              <w:spacing w:after="0"/>
              <w:rPr>
                <w:sz w:val="23"/>
                <w:szCs w:val="23"/>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First Amendment dated as of April 1, 2018 to United Community Banks, Inc.’s Modified Retirement Plan (as amended and restated</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920" w:type="dxa"/>
            <w:vAlign w:val="bottom"/>
            <w:tcBorders>
              <w:bottom w:val="single" w:sz="8" w:color="0000FF"/>
            </w:tcBorders>
            <w:gridSpan w:val="14"/>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20" w:type="dxa"/>
            <w:vAlign w:val="bottom"/>
            <w:tcBorders>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effective as of January 1, 2016) (incorporated herein by reference to Exhibit 10.16 to United Community Banks, Inc.'s Annual Report on</w:t>
              </w:r>
            </w:hyperlink>
          </w:p>
        </w:tc>
        <w:tc>
          <w:tcPr>
            <w:tcW w:w="160" w:type="dxa"/>
            <w:vAlign w:val="bottom"/>
            <w:tcBorders>
              <w:bottom w:val="single" w:sz="8" w:color="0000FF"/>
            </w:tcBorders>
            <w:gridSpan w:val="8"/>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80" w:type="dxa"/>
            <w:vAlign w:val="bottom"/>
            <w:gridSpan w:val="22"/>
          </w:tcPr>
          <w:p>
            <w:pPr>
              <w:spacing w:after="0" w:line="152"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Form 10-K File No. 001-35095, filed with the SEC on February 27, 2020).</w:t>
              </w:r>
              <w:r>
                <w:rPr>
                  <w:rFonts w:ascii="Times New Roman" w:cs="Times New Roman" w:eastAsia="Times New Roman" w:hAnsi="Times New Roman"/>
                  <w:sz w:val="17"/>
                  <w:szCs w:val="17"/>
                  <w:color w:val="000000"/>
                </w:rPr>
                <w: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40" w:top="940" w:right="379" w:bottom="1440" w:gutter="0" w:footer="0" w:header="0"/>
        </w:sectPr>
      </w:pPr>
    </w:p>
    <w:bookmarkStart w:id="130" w:name="page131"/>
    <w:bookmarkEnd w:id="130"/>
    <w:tbl>
      <w:tblPr>
        <w:tblLayout w:type="fixed"/>
        <w:tblInd w:w="20" w:type="dxa"/>
        <w:tblCellMar>
          <w:top w:w="0" w:type="dxa"/>
          <w:left w:w="0" w:type="dxa"/>
          <w:bottom w:w="0" w:type="dxa"/>
          <w:right w:w="0" w:type="dxa"/>
        </w:tblCellMar>
      </w:tblPr>
      <w:tr>
        <w:trPr>
          <w:trHeight w:val="207"/>
        </w:trPr>
        <w:tc>
          <w:tcPr>
            <w:tcW w:w="1240" w:type="dxa"/>
            <w:vAlign w:val="bottom"/>
            <w:gridSpan w:val="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11</w:t>
            </w:r>
          </w:p>
        </w:tc>
        <w:tc>
          <w:tcPr>
            <w:tcW w:w="10060" w:type="dxa"/>
            <w:vAlign w:val="bottom"/>
            <w:gridSpan w:val="15"/>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United Community Banks, Inc.’s Amended and Restated Deferred Compensation Plan, effective as of January 1, 2017 (incorporated herein</w:t>
              </w:r>
            </w:hyperlink>
          </w:p>
        </w:tc>
      </w:tr>
      <w:tr>
        <w:trPr>
          <w:trHeight w:val="152"/>
        </w:trPr>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by reference to Exhibit 10.17 to United Community Banks, Inc.'s Annual Report on Form 10-K File No. 001-35095,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940" w:type="dxa"/>
            <w:vAlign w:val="bottom"/>
            <w:tcBorders>
              <w:top w:val="single" w:sz="8" w:color="0000FF"/>
            </w:tcBorders>
            <w:gridSpan w:val="9"/>
          </w:tcPr>
          <w:p>
            <w:pPr>
              <w:spacing w:after="0" w:line="165"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February 27, 2020).</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240" w:type="dxa"/>
            <w:vAlign w:val="bottom"/>
            <w:gridSpan w:val="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12</w:t>
            </w:r>
          </w:p>
        </w:tc>
        <w:tc>
          <w:tcPr>
            <w:tcW w:w="10060" w:type="dxa"/>
            <w:vAlign w:val="bottom"/>
            <w:gridSpan w:val="15"/>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Amendment No. 1 to United Community Banks, Inc.’s Amended and Restated Deferred Compensation Plan, effective as of April 1, 2018</w:t>
              </w:r>
            </w:hyperlink>
          </w:p>
        </w:tc>
      </w:tr>
      <w:tr>
        <w:trPr>
          <w:trHeight w:val="152"/>
        </w:trPr>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0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(incorporated herein by reference to Exhibit 10.18 to United Community Banks, Inc.'s Annual Report on Form 10-K File No. 001-35095,</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40" w:type="dxa"/>
            <w:vAlign w:val="bottom"/>
            <w:gridSpan w:val="14"/>
          </w:tcPr>
          <w:p>
            <w:pPr>
              <w:spacing w:after="0" w:line="165"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filed with the SEC on February 27,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8"/>
        </w:trPr>
        <w:tc>
          <w:tcPr>
            <w:tcW w:w="1240" w:type="dxa"/>
            <w:vAlign w:val="bottom"/>
            <w:gridSpan w:val="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13</w:t>
            </w:r>
          </w:p>
        </w:tc>
        <w:tc>
          <w:tcPr>
            <w:tcW w:w="10060" w:type="dxa"/>
            <w:vAlign w:val="bottom"/>
            <w:gridSpan w:val="15"/>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Amendment No. 2 to United Community Banks, Inc.’s Amended and Restated Deferred Compensation Plan, effective as of January 1, 2019</w:t>
              </w:r>
            </w:hyperlink>
          </w:p>
        </w:tc>
      </w:tr>
      <w:tr>
        <w:trPr>
          <w:trHeight w:val="152"/>
        </w:trPr>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998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(incorporated herein by reference to Exhibit 10.19 to United Community Banks, Inc.'s Annual Report on Form 10-K File No. 001-35095,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4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filed with the SEC on February 27,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8"/>
        </w:trPr>
        <w:tc>
          <w:tcPr>
            <w:tcW w:w="1240" w:type="dxa"/>
            <w:vAlign w:val="bottom"/>
            <w:gridSpan w:val="3"/>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14</w:t>
            </w:r>
          </w:p>
        </w:tc>
        <w:tc>
          <w:tcPr>
            <w:tcW w:w="10060" w:type="dxa"/>
            <w:vAlign w:val="bottom"/>
            <w:gridSpan w:val="15"/>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United Community Banks, Inc.’s Management Annual Incentive Plan, effective as of January 1, 2007 (incorporated herein by reference to</w:t>
              </w:r>
            </w:hyperlink>
          </w:p>
        </w:tc>
      </w:tr>
      <w:tr>
        <w:trPr>
          <w:trHeight w:val="152"/>
        </w:trPr>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Exhibit 10.5 to United Community Banks, Inc.’s Current Report on Form 8-K, File No. 000-21656, filed with the SEC on May 1, 2007).</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1"/>
        </w:trPr>
        <w:tc>
          <w:tcPr>
            <w:tcW w:w="1240" w:type="dxa"/>
            <w:vAlign w:val="bottom"/>
            <w:gridSpan w:val="3"/>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15</w:t>
            </w:r>
          </w:p>
        </w:tc>
        <w:tc>
          <w:tcPr>
            <w:tcW w:w="10060" w:type="dxa"/>
            <w:vAlign w:val="bottom"/>
            <w:gridSpan w:val="1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United Community Banks, Inc.’s Executive Annual Incentive Plan, effective as of October 31, 2023 (incorporated herein by reference to</w:t>
              </w:r>
            </w:hyperlink>
          </w:p>
        </w:tc>
      </w:tr>
      <w:tr>
        <w:trPr>
          <w:trHeight w:val="152"/>
        </w:trPr>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Exhibit 10.1 to United Community Banks, Inc.’s Current Report on Form 8-K dated October 31, 2023 and filed with the SEC on October</w:t>
              </w:r>
            </w:hyperlink>
          </w:p>
        </w:tc>
        <w:tc>
          <w:tcPr>
            <w:tcW w:w="60" w:type="dxa"/>
            <w:vAlign w:val="bottom"/>
            <w:gridSpan w:val="3"/>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Borders>
              <w:top w:val="single" w:sz="8" w:color="0000FF"/>
            </w:tcBorders>
            <w:gridSpan w:val="3"/>
          </w:tcPr>
          <w:p>
            <w:pPr>
              <w:spacing w:after="0" w:line="165"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31, 2023).</w:t>
              </w:r>
              <w:r>
                <w:rPr>
                  <w:rFonts w:ascii="Times New Roman" w:cs="Times New Roman" w:eastAsia="Times New Roman" w:hAnsi="Times New Roman"/>
                  <w:sz w:val="18"/>
                  <w:szCs w:val="18"/>
                  <w:color w:val="000000"/>
                </w:rPr>
                <w:t>#</w:t>
              </w:r>
            </w:hyperlink>
          </w:p>
        </w:tc>
        <w:tc>
          <w:tcPr>
            <w:tcW w:w="13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r>
      <w:tr>
        <w:trPr>
          <w:trHeight w:val="25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Insider trading policies and procedures</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r>
      <w:tr>
        <w:trPr>
          <w:trHeight w:val="37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21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Subsidiaries of United Community Banks, Inc.</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4" w:lineRule="exact"/>
        <w:rPr>
          <w:sz w:val="20"/>
          <w:szCs w:val="20"/>
          <w:color w:val="auto"/>
        </w:rPr>
      </w:pPr>
    </w:p>
    <w:p>
      <w:pPr>
        <w:ind w:left="1260" w:hanging="1236"/>
        <w:spacing w:after="0"/>
        <w:tabs>
          <w:tab w:leader="none" w:pos="1260" w:val="left"/>
        </w:tabs>
        <w:numPr>
          <w:ilvl w:val="0"/>
          <w:numId w:val="4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color w:val="000000"/>
        </w:rPr>
        <w:t>**</w:t>
      </w:r>
    </w:p>
    <w:p>
      <w:pPr>
        <w:spacing w:after="0" w:line="71" w:lineRule="exact"/>
        <w:rPr>
          <w:rFonts w:ascii="Times New Roman" w:cs="Times New Roman" w:eastAsia="Times New Roman" w:hAnsi="Times New Roman"/>
          <w:sz w:val="18"/>
          <w:szCs w:val="18"/>
          <w:u w:val="single" w:color="auto"/>
          <w:color w:val="0000FF"/>
        </w:rPr>
      </w:pPr>
    </w:p>
    <w:p>
      <w:pPr>
        <w:ind w:left="1260" w:hanging="1236"/>
        <w:spacing w:after="0"/>
        <w:tabs>
          <w:tab w:leader="none" w:pos="1260" w:val="left"/>
        </w:tabs>
        <w:numPr>
          <w:ilvl w:val="0"/>
          <w:numId w:val="4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Power of Attorney of certain officers and directors of United (included on signature page hereto)</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70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0000FF"/>
              </w:rPr>
              <w:t>Certification of Chief Executive Officer under Exchange Act Rule 13a-14(a)</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70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0000FF"/>
              </w:rPr>
              <w:t>Certification of Chief Financial Officer under Exchange Act Rule 13a-14(a)</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70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0000FF"/>
                <w:w w:val="97"/>
              </w:rPr>
              <w:t>Certifications of CEO and CFO pursuant to 18 U.S.C. Section 1350 (furnished only)</w:t>
            </w:r>
            <w:r>
              <w:rPr>
                <w:rFonts w:ascii="Times New Roman" w:cs="Times New Roman" w:eastAsia="Times New Roman" w:hAnsi="Times New Roman"/>
                <w:sz w:val="18"/>
                <w:szCs w:val="18"/>
                <w:color w:val="000000"/>
                <w:w w:val="97"/>
              </w:rPr>
              <w:t>**</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74" w:lineRule="exact"/>
        <w:rPr>
          <w:sz w:val="20"/>
          <w:szCs w:val="20"/>
          <w:color w:val="auto"/>
        </w:rPr>
      </w:pPr>
    </w:p>
    <w:p>
      <w:pPr>
        <w:ind w:left="1260" w:right="20" w:hanging="1236"/>
        <w:spacing w:after="0" w:line="234" w:lineRule="auto"/>
        <w:tabs>
          <w:tab w:leader="none" w:pos="1260" w:val="left"/>
        </w:tabs>
        <w:numPr>
          <w:ilvl w:val="0"/>
          <w:numId w:val="45"/>
        </w:numPr>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u w:val="single" w:color="auto"/>
            <w:color w:val="0000FF"/>
          </w:rPr>
          <w:t>Policy Relating to Recovery of Erroneously Awarded Compensation (incorporated herein by reference to Exhibit 97 to United Community</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Banks, Inc.’s Annual Report on Form 10-K, File No. 001-35095, filed with the SEC on February 23, 2024)</w:t>
        </w:r>
        <w:r>
          <w:rPr>
            <w:rFonts w:ascii="Times New Roman" w:cs="Times New Roman" w:eastAsia="Times New Roman" w:hAnsi="Times New Roman"/>
            <w:sz w:val="18"/>
            <w:szCs w:val="18"/>
            <w:color w:val="000000"/>
          </w:rPr>
          <w:t>.</w:t>
        </w:r>
      </w:hyperlink>
    </w:p>
    <w:p>
      <w:pPr>
        <w:spacing w:after="0" w:line="113" w:lineRule="exact"/>
        <w:rPr>
          <w:rFonts w:ascii="Times New Roman" w:cs="Times New Roman" w:eastAsia="Times New Roman" w:hAnsi="Times New Roman"/>
          <w:sz w:val="18"/>
          <w:szCs w:val="18"/>
          <w:u w:val="single" w:color="auto"/>
          <w:color w:val="0000FF"/>
        </w:rPr>
      </w:pPr>
    </w:p>
    <w:p>
      <w:pPr>
        <w:ind w:left="126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p>
      <w:pPr>
        <w:sectPr>
          <w:pgSz w:w="11900" w:h="16838" w:orient="portrait"/>
          <w:cols w:equalWidth="0" w:num="1">
            <w:col w:w="11200"/>
          </w:cols>
          <w:pgMar w:left="320" w:top="939" w:right="379" w:bottom="1440" w:gutter="0" w:footer="0" w:header="0"/>
        </w:sectPr>
      </w:pPr>
    </w:p>
    <w:p>
      <w:pPr>
        <w:spacing w:after="0" w:line="26"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within the Inline XBRL document</w:t>
      </w:r>
    </w:p>
    <w:p>
      <w:pPr>
        <w:spacing w:after="0" w:line="4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00" w:space="460"/>
            <w:col w:w="9940"/>
          </w:cols>
          <w:pgMar w:left="320" w:top="93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8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60" w:space="400"/>
            <w:col w:w="9940"/>
          </w:cols>
          <w:pgMar w:left="320" w:top="93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p>
      <w:pPr>
        <w:spacing w:after="0" w:line="8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60" w:space="400"/>
            <w:col w:w="9940"/>
          </w:cols>
          <w:pgMar w:left="320" w:top="93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Label Linkbase Document</w:t>
      </w:r>
    </w:p>
    <w:p>
      <w:pPr>
        <w:spacing w:after="0" w:line="8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60" w:space="400"/>
            <w:col w:w="9940"/>
          </w:cols>
          <w:pgMar w:left="320" w:top="93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color w:val="auto"/>
        </w:rPr>
        <w:t>Inline XBRL Presentation Linkbase Document</w:t>
      </w:r>
    </w:p>
    <w:p>
      <w:pPr>
        <w:spacing w:after="0" w:line="8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420"/>
            <w:col w:w="9940"/>
          </w:cols>
          <w:pgMar w:left="320" w:top="93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8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420"/>
            <w:col w:w="9940"/>
          </w:cols>
          <w:pgMar w:left="320" w:top="939" w:right="379" w:bottom="1440" w:gutter="0" w:footer="0" w:header="0"/>
          <w:type w:val="continuous"/>
        </w:sectPr>
      </w:pPr>
    </w:p>
    <w:p>
      <w:pPr>
        <w:ind w:left="1260" w:hanging="1236"/>
        <w:spacing w:after="0"/>
        <w:tabs>
          <w:tab w:leader="none" w:pos="12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347" w:lineRule="exact"/>
        <w:rPr>
          <w:rFonts w:ascii="Times New Roman" w:cs="Times New Roman" w:eastAsia="Times New Roman" w:hAnsi="Times New Roman"/>
          <w:sz w:val="17"/>
          <w:szCs w:val="17"/>
          <w:color w:val="auto"/>
        </w:rPr>
      </w:pPr>
    </w:p>
    <w:p>
      <w:pPr>
        <w:ind w:left="280" w:hanging="274"/>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4" w:lineRule="exact"/>
        <w:rPr>
          <w:rFonts w:ascii="Times New Roman" w:cs="Times New Roman" w:eastAsia="Times New Roman" w:hAnsi="Times New Roman"/>
          <w:sz w:val="18"/>
          <w:szCs w:val="18"/>
          <w:u w:val="single" w:color="auto"/>
          <w:color w:val="0000FF"/>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filed or furnished herewith.</w:t>
      </w:r>
    </w:p>
    <w:p>
      <w:pPr>
        <w:spacing w:after="0" w:line="196" w:lineRule="exact"/>
        <w:rPr>
          <w:rFonts w:ascii="Times New Roman" w:cs="Times New Roman" w:eastAsia="Times New Roman" w:hAnsi="Times New Roman"/>
          <w:sz w:val="18"/>
          <w:szCs w:val="18"/>
          <w:u w:val="single" w:color="auto"/>
          <w:color w:val="0000FF"/>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400"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39" w:right="379" w:bottom="1440" w:gutter="0" w:footer="0" w:header="0"/>
          <w:type w:val="continuous"/>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United has duly caused this annual report on Form 10-K, to be signed on its behalf by the undersigned, thereunto duly authorized, on the 27</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of February, 2025.</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w:t>
      </w:r>
    </w:p>
    <w:p>
      <w:pPr>
        <w:sectPr>
          <w:pgSz w:w="11900" w:h="16838" w:orient="portrait"/>
          <w:cols w:equalWidth="0" w:num="1">
            <w:col w:w="11240"/>
          </w:cols>
          <w:pgMar w:left="320" w:top="914" w:right="339" w:bottom="1440" w:gutter="0" w:footer="0" w:header="0"/>
        </w:sect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899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899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H. Kumler</w:t>
      </w:r>
    </w:p>
    <w:p>
      <w:pPr>
        <w:spacing w:after="0" w:line="24" w:lineRule="exact"/>
        <w:rPr>
          <w:sz w:val="20"/>
          <w:szCs w:val="20"/>
          <w:color w:val="auto"/>
        </w:rPr>
      </w:pPr>
    </w:p>
    <w:p>
      <w:pPr>
        <w:ind w:left="20" w:right="1860"/>
        <w:spacing w:after="0" w:line="282" w:lineRule="auto"/>
        <w:rPr>
          <w:sz w:val="20"/>
          <w:szCs w:val="20"/>
          <w:color w:val="auto"/>
        </w:rPr>
      </w:pPr>
      <w:r>
        <w:rPr>
          <w:rFonts w:ascii="Times New Roman" w:cs="Times New Roman" w:eastAsia="Times New Roman" w:hAnsi="Times New Roman"/>
          <w:sz w:val="18"/>
          <w:szCs w:val="18"/>
          <w:color w:val="auto"/>
        </w:rPr>
        <w:t>Senior Vice President, Chief Accounting Officer (Principal Accounting Officer)</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2981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3" w:lineRule="exact"/>
        <w:rPr>
          <w:sz w:val="20"/>
          <w:szCs w:val="20"/>
          <w:color w:val="auto"/>
        </w:rPr>
      </w:pPr>
    </w:p>
    <w:p>
      <w:pPr>
        <w:sectPr>
          <w:pgSz w:w="11900" w:h="16838" w:orient="portrait"/>
          <w:cols w:equalWidth="0" w:num="2">
            <w:col w:w="5320" w:space="720"/>
            <w:col w:w="5200"/>
          </w:cols>
          <w:pgMar w:left="320" w:top="9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H. Lynn Harton and Thomas A. Richlovsky,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United and in the capacities set forth and on the 20th day of February, 2025.</w:t>
      </w:r>
    </w:p>
    <w:p>
      <w:pPr>
        <w:sectPr>
          <w:pgSz w:w="11900" w:h="16838" w:orient="portrait"/>
          <w:cols w:equalWidth="0" w:num="1">
            <w:col w:w="11240"/>
          </w:cols>
          <w:pgMar w:left="320" w:top="914" w:right="339" w:bottom="1440" w:gutter="0" w:footer="0" w:header="0"/>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20" w:right="1840"/>
        <w:spacing w:after="0" w:line="282" w:lineRule="auto"/>
        <w:rPr>
          <w:sz w:val="20"/>
          <w:szCs w:val="20"/>
          <w:color w:val="auto"/>
        </w:rPr>
      </w:pPr>
      <w:r>
        <w:rPr>
          <w:rFonts w:ascii="Times New Roman" w:cs="Times New Roman" w:eastAsia="Times New Roman" w:hAnsi="Times New Roman"/>
          <w:sz w:val="18"/>
          <w:szCs w:val="18"/>
          <w:color w:val="auto"/>
        </w:rPr>
        <w:t>Chairman, President, and Chief Executive Officer (Principal Executive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ind w:left="20" w:right="1600"/>
        <w:spacing w:after="0" w:line="282"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 Financial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H. Kumler</w:t>
      </w:r>
    </w:p>
    <w:p>
      <w:pPr>
        <w:spacing w:after="0" w:line="24" w:lineRule="exact"/>
        <w:rPr>
          <w:sz w:val="20"/>
          <w:szCs w:val="20"/>
          <w:color w:val="auto"/>
        </w:rPr>
      </w:pPr>
    </w:p>
    <w:p>
      <w:pPr>
        <w:ind w:left="20" w:right="1920"/>
        <w:spacing w:after="0" w:line="297" w:lineRule="auto"/>
        <w:rPr>
          <w:sz w:val="20"/>
          <w:szCs w:val="20"/>
          <w:color w:val="auto"/>
        </w:rPr>
      </w:pPr>
      <w:r>
        <w:rPr>
          <w:rFonts w:ascii="Times New Roman" w:cs="Times New Roman" w:eastAsia="Times New Roman" w:hAnsi="Times New Roman"/>
          <w:sz w:val="18"/>
          <w:szCs w:val="18"/>
          <w:color w:val="auto"/>
        </w:rPr>
        <w:t>Senior Vice President, Chief Accounting Officer (Principal Accounting Officer)</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A. Richlovsky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Jennifer M. Bazante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M. Bazante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George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George Bell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James P.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P. Clements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L. Daniels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Sally Pope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Pope Davis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32562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Lance F. Drummond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John M.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James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Mann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C. Shaver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Wallis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 Wilkins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5380" w:space="720"/>
            <w:col w:w="5140"/>
          </w:cols>
          <w:pgMar w:left="320" w:top="9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1240"/>
          </w:cols>
          <w:pgMar w:left="320" w:top="914" w:right="339" w:bottom="1440" w:gutter="0" w:footer="0" w:header="0"/>
          <w:type w:val="continuous"/>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b w:val="1"/>
          <w:bCs w:val="1"/>
          <w:u w:val="single" w:color="auto"/>
          <w:color w:val="auto"/>
        </w:rPr>
        <w:t>Description of the Company’s Common Stock Registered</w:t>
      </w:r>
    </w:p>
    <w:p>
      <w:pPr>
        <w:spacing w:after="0" w:line="5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u w:val="single" w:color="auto"/>
          <w:color w:val="auto"/>
        </w:rPr>
        <w:t>Under Section 12 of the Securities Exchange Act of 1934</w:t>
      </w:r>
    </w:p>
    <w:p>
      <w:pPr>
        <w:spacing w:after="0" w:line="291"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1"/>
          <w:szCs w:val="21"/>
          <w:i w:val="1"/>
          <w:iCs w:val="1"/>
          <w:color w:val="auto"/>
        </w:rPr>
        <w:t>The following summary of the common stock (par value $1.00 per share) of United Community Banks, Inc. (“United”) is based on and qualified by United’s Articles of Incorporation (the “Articles of Incorporation”) and Bylaws (the “Bylaws”). For a complete description of the terms and provisions of United’s equity securities, including its common stock, refer to the Articles of Incorporation and Bylaws, each of which is filed or incorporated by reference as an exhibit to this Annual Report on Form 10-K.</w:t>
      </w:r>
    </w:p>
    <w:p>
      <w:pPr>
        <w:spacing w:after="0" w:line="188" w:lineRule="exact"/>
        <w:rPr>
          <w:sz w:val="20"/>
          <w:szCs w:val="20"/>
          <w:color w:val="auto"/>
        </w:rPr>
      </w:pPr>
    </w:p>
    <w:p>
      <w:pPr>
        <w:ind w:right="180" w:firstLine="636"/>
        <w:spacing w:after="0" w:line="305" w:lineRule="auto"/>
        <w:rPr>
          <w:sz w:val="20"/>
          <w:szCs w:val="20"/>
          <w:color w:val="auto"/>
        </w:rPr>
      </w:pPr>
      <w:r>
        <w:rPr>
          <w:rFonts w:ascii="Times New Roman" w:cs="Times New Roman" w:eastAsia="Times New Roman" w:hAnsi="Times New Roman"/>
          <w:sz w:val="21"/>
          <w:szCs w:val="21"/>
          <w:color w:val="auto"/>
        </w:rPr>
        <w:t>United’s Amended Articles of Incorporation authorize the issuance of 200,000,000 shares of common stock (“Common Stock”), 30,000,000 shares of non-voting common stock (“Non-voting Common Stock”) and 10,000,000 shares of preferred stock (“Preferred Stock”), all with a par value of $1.00 per share (the “Common Stock,” the “Non-voting Common Stock” and the “Preferred Stock,” collectively, the “Capital Stock”).</w:t>
      </w:r>
    </w:p>
    <w:p>
      <w:pPr>
        <w:spacing w:after="0" w:line="188" w:lineRule="exact"/>
        <w:rPr>
          <w:sz w:val="20"/>
          <w:szCs w:val="20"/>
          <w:color w:val="auto"/>
        </w:rPr>
      </w:pPr>
    </w:p>
    <w:p>
      <w:pPr>
        <w:ind w:right="80" w:firstLine="636"/>
        <w:spacing w:after="0" w:line="314" w:lineRule="auto"/>
        <w:rPr>
          <w:sz w:val="20"/>
          <w:szCs w:val="20"/>
          <w:color w:val="auto"/>
        </w:rPr>
      </w:pPr>
      <w:r>
        <w:rPr>
          <w:rFonts w:ascii="Times New Roman" w:cs="Times New Roman" w:eastAsia="Times New Roman" w:hAnsi="Times New Roman"/>
          <w:sz w:val="21"/>
          <w:szCs w:val="21"/>
          <w:i w:val="1"/>
          <w:iCs w:val="1"/>
          <w:color w:val="auto"/>
        </w:rPr>
        <w:t xml:space="preserve">Voting Rights. </w:t>
      </w:r>
      <w:r>
        <w:rPr>
          <w:rFonts w:ascii="Times New Roman" w:cs="Times New Roman" w:eastAsia="Times New Roman" w:hAnsi="Times New Roman"/>
          <w:sz w:val="21"/>
          <w:szCs w:val="21"/>
          <w:color w:val="auto"/>
        </w:rPr>
        <w:t>Subject to such voting rights, if any, of any Preferred Stock, all voting rights are vested in the holders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Stock. Each holder of Common Stock is entitled to one vote per share on any issue requiring a vote at any meeting. There are no cumulative voting rights in the election of directors.</w:t>
      </w:r>
    </w:p>
    <w:p>
      <w:pPr>
        <w:spacing w:after="0" w:line="178" w:lineRule="exact"/>
        <w:rPr>
          <w:sz w:val="20"/>
          <w:szCs w:val="20"/>
          <w:color w:val="auto"/>
        </w:rPr>
      </w:pPr>
    </w:p>
    <w:p>
      <w:pPr>
        <w:ind w:right="280" w:firstLine="636"/>
        <w:spacing w:after="0" w:line="326" w:lineRule="auto"/>
        <w:rPr>
          <w:sz w:val="20"/>
          <w:szCs w:val="20"/>
          <w:color w:val="auto"/>
        </w:rPr>
      </w:pPr>
      <w:r>
        <w:rPr>
          <w:rFonts w:ascii="Times New Roman" w:cs="Times New Roman" w:eastAsia="Times New Roman" w:hAnsi="Times New Roman"/>
          <w:sz w:val="21"/>
          <w:szCs w:val="21"/>
          <w:i w:val="1"/>
          <w:iCs w:val="1"/>
          <w:color w:val="auto"/>
        </w:rPr>
        <w:t xml:space="preserve">Preemption. </w:t>
      </w:r>
      <w:r>
        <w:rPr>
          <w:rFonts w:ascii="Times New Roman" w:cs="Times New Roman" w:eastAsia="Times New Roman" w:hAnsi="Times New Roman"/>
          <w:sz w:val="21"/>
          <w:szCs w:val="21"/>
          <w:color w:val="auto"/>
        </w:rPr>
        <w:t>No holder of shares of any class of United's Capital Stock has or will have any right, pre-emptive or other,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subscribe for or to purchase from United any of the shares of any class of United that may be issued or sold in the future.</w:t>
      </w:r>
    </w:p>
    <w:p>
      <w:pPr>
        <w:spacing w:after="0" w:line="179" w:lineRule="exact"/>
        <w:rPr>
          <w:sz w:val="20"/>
          <w:szCs w:val="20"/>
          <w:color w:val="auto"/>
        </w:rPr>
      </w:pPr>
    </w:p>
    <w:p>
      <w:pPr>
        <w:ind w:right="80" w:firstLine="636"/>
        <w:spacing w:after="0" w:line="302" w:lineRule="auto"/>
        <w:rPr>
          <w:sz w:val="20"/>
          <w:szCs w:val="20"/>
          <w:color w:val="auto"/>
        </w:rPr>
      </w:pPr>
      <w:r>
        <w:rPr>
          <w:rFonts w:ascii="Times New Roman" w:cs="Times New Roman" w:eastAsia="Times New Roman" w:hAnsi="Times New Roman"/>
          <w:sz w:val="21"/>
          <w:szCs w:val="21"/>
          <w:i w:val="1"/>
          <w:iCs w:val="1"/>
          <w:color w:val="auto"/>
        </w:rPr>
        <w:t>Dividends</w:t>
      </w:r>
      <w:r>
        <w:rPr>
          <w:rFonts w:ascii="Times New Roman" w:cs="Times New Roman" w:eastAsia="Times New Roman" w:hAnsi="Times New Roman"/>
          <w:sz w:val="21"/>
          <w:szCs w:val="21"/>
          <w:color w:val="auto"/>
        </w:rPr>
        <w:t>. Subject to the preferential dividend rights, if any, of any Non-voting Common Stock or Preferred Stock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might be issued, the holders of Common stock will be entitled to share equally in such dividends as United’s board of directors (the “Board”) may declare on United’s Common Stock from sources legally available therefor. The determination and declaration of dividends is within the discretion of the Board.</w:t>
      </w:r>
    </w:p>
    <w:p>
      <w:pPr>
        <w:spacing w:after="0" w:line="189" w:lineRule="exact"/>
        <w:rPr>
          <w:sz w:val="20"/>
          <w:szCs w:val="20"/>
          <w:color w:val="auto"/>
        </w:rPr>
      </w:pPr>
    </w:p>
    <w:p>
      <w:pPr>
        <w:ind w:right="160" w:firstLine="636"/>
        <w:spacing w:after="0" w:line="302" w:lineRule="auto"/>
        <w:rPr>
          <w:sz w:val="20"/>
          <w:szCs w:val="20"/>
          <w:color w:val="auto"/>
        </w:rPr>
      </w:pPr>
      <w:r>
        <w:rPr>
          <w:rFonts w:ascii="Times New Roman" w:cs="Times New Roman" w:eastAsia="Times New Roman" w:hAnsi="Times New Roman"/>
          <w:sz w:val="21"/>
          <w:szCs w:val="21"/>
          <w:i w:val="1"/>
          <w:iCs w:val="1"/>
          <w:color w:val="auto"/>
        </w:rPr>
        <w:t>Distributions</w:t>
      </w:r>
      <w:r>
        <w:rPr>
          <w:rFonts w:ascii="Times New Roman" w:cs="Times New Roman" w:eastAsia="Times New Roman" w:hAnsi="Times New Roman"/>
          <w:sz w:val="21"/>
          <w:szCs w:val="21"/>
          <w:color w:val="auto"/>
        </w:rPr>
        <w:t>. After distribution in full of any preferential amount to be distributed to the holders of any Non-voting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Stock or Preferred Stock that might be issued, holders of Common Stock will be entitled to receive, in the event of the voluntary or involuntary liquidation, dissolution, distribution of assets or winding-up of United, all of United’s remaining assets of whatever kind available for distribution to United’s shareholders, after payment or provision for payment of all United’s debts and liabilities, ratably in proportion to the number of shares of Common Stock held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9" w:right="339" w:bottom="1440" w:gutter="0" w:footer="0" w:header="0"/>
        </w:sectPr>
      </w:pPr>
    </w:p>
    <w:bookmarkStart w:id="134" w:name="page135"/>
    <w:bookmarkEnd w:id="134"/>
    <w:p>
      <w:pPr>
        <w:jc w:val="both"/>
        <w:ind w:right="220" w:firstLine="636"/>
        <w:spacing w:after="0" w:line="308" w:lineRule="auto"/>
        <w:rPr>
          <w:sz w:val="20"/>
          <w:szCs w:val="20"/>
          <w:color w:val="auto"/>
        </w:rPr>
      </w:pPr>
      <w:r>
        <w:rPr>
          <w:rFonts w:ascii="Times New Roman" w:cs="Times New Roman" w:eastAsia="Times New Roman" w:hAnsi="Times New Roman"/>
          <w:sz w:val="21"/>
          <w:szCs w:val="21"/>
          <w:i w:val="1"/>
          <w:iCs w:val="1"/>
          <w:color w:val="auto"/>
        </w:rPr>
        <w:t xml:space="preserve">Classified Board. </w:t>
      </w:r>
      <w:r>
        <w:rPr>
          <w:rFonts w:ascii="Times New Roman" w:cs="Times New Roman" w:eastAsia="Times New Roman" w:hAnsi="Times New Roman"/>
          <w:sz w:val="21"/>
          <w:szCs w:val="21"/>
          <w:color w:val="auto"/>
        </w:rPr>
        <w:t>United's Board is not classified and each member is elected annually. United’s Articles of Incorporation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provide that directors can only be removed for cause and upon the affirmative vote of the holders of two-thirds of the issued and outstanding shares entitled to vote on such matter.</w:t>
      </w:r>
    </w:p>
    <w:p>
      <w:pPr>
        <w:spacing w:after="0" w:line="197" w:lineRule="exact"/>
        <w:rPr>
          <w:sz w:val="20"/>
          <w:szCs w:val="20"/>
          <w:color w:val="auto"/>
        </w:rPr>
      </w:pPr>
    </w:p>
    <w:p>
      <w:pPr>
        <w:ind w:right="220" w:firstLine="636"/>
        <w:spacing w:after="0" w:line="302" w:lineRule="auto"/>
        <w:rPr>
          <w:sz w:val="20"/>
          <w:szCs w:val="20"/>
          <w:color w:val="auto"/>
        </w:rPr>
      </w:pPr>
      <w:r>
        <w:rPr>
          <w:rFonts w:ascii="Times New Roman" w:cs="Times New Roman" w:eastAsia="Times New Roman" w:hAnsi="Times New Roman"/>
          <w:sz w:val="21"/>
          <w:szCs w:val="21"/>
          <w:i w:val="1"/>
          <w:iCs w:val="1"/>
          <w:color w:val="auto"/>
        </w:rPr>
        <w:t xml:space="preserve">Assessment and Other Provisions. </w:t>
      </w:r>
      <w:r>
        <w:rPr>
          <w:rFonts w:ascii="Times New Roman" w:cs="Times New Roman" w:eastAsia="Times New Roman" w:hAnsi="Times New Roman"/>
          <w:sz w:val="21"/>
          <w:szCs w:val="21"/>
          <w:color w:val="auto"/>
        </w:rPr>
        <w:t>The outstanding shares of United’s Common Stock are and, upon payment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consideration payable therefor, any shares of Common Stock issued by United in the future, will be fully paid and nonassessable. United’s Common Stock does not have any conversion rights and is not subject to any redemption provisions. No shares of any class of United’s Capital Stock are subject to any sinking fund provisions or to calls, assessments by, or liabilities of United.</w:t>
      </w:r>
    </w:p>
    <w:p>
      <w:pPr>
        <w:spacing w:after="0" w:line="202" w:lineRule="exact"/>
        <w:rPr>
          <w:sz w:val="20"/>
          <w:szCs w:val="20"/>
          <w:color w:val="auto"/>
        </w:rPr>
      </w:pPr>
    </w:p>
    <w:p>
      <w:pPr>
        <w:ind w:right="80" w:firstLine="636"/>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Issuance of Non-voting Common Stock. </w:t>
      </w:r>
      <w:r>
        <w:rPr>
          <w:rFonts w:ascii="Times New Roman" w:cs="Times New Roman" w:eastAsia="Times New Roman" w:hAnsi="Times New Roman"/>
          <w:sz w:val="21"/>
          <w:szCs w:val="21"/>
          <w:color w:val="auto"/>
        </w:rPr>
        <w:t>United’s Non-voting Common Stock is issuable at any time, and from time to time,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bearing such dividend, conversion, liquidation and other rights and preferences as the Board may determine. The Non-voting Common stock could be issued for any lawful corporate purpose without further action by United’s shareholders. The issuance of any Non-voting Common Stock having conversion rights could have the effect of diluting the interests of the other shareholders. Shares of Non-voting Common Stock also could be issued with such rights, privileges and preferences as would deter a tender or exchange offer or to discourage the acquisition of control of United.</w:t>
      </w:r>
    </w:p>
    <w:p>
      <w:pPr>
        <w:spacing w:after="0" w:line="196" w:lineRule="exact"/>
        <w:rPr>
          <w:sz w:val="20"/>
          <w:szCs w:val="20"/>
          <w:color w:val="auto"/>
        </w:rPr>
      </w:pPr>
    </w:p>
    <w:p>
      <w:pPr>
        <w:ind w:right="60" w:firstLine="636"/>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Issuance of Preferred Stock. </w:t>
      </w:r>
      <w:r>
        <w:rPr>
          <w:rFonts w:ascii="Times New Roman" w:cs="Times New Roman" w:eastAsia="Times New Roman" w:hAnsi="Times New Roman"/>
          <w:sz w:val="21"/>
          <w:szCs w:val="21"/>
          <w:color w:val="auto"/>
        </w:rPr>
        <w:t>United’s Preferred Stock is issuable at any time, and from time to time, in such amounts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series and bearing such voting, dividend, conversion, liquidation and other rights and preferences as the Board may determine. The Preferred Stock could be issued for any lawful corporate purpose without further action by United’s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United.</w:t>
      </w:r>
    </w:p>
    <w:p>
      <w:pPr>
        <w:spacing w:after="0" w:line="196" w:lineRule="exact"/>
        <w:rPr>
          <w:sz w:val="20"/>
          <w:szCs w:val="20"/>
          <w:color w:val="auto"/>
        </w:rPr>
      </w:pPr>
    </w:p>
    <w:p>
      <w:pPr>
        <w:ind w:right="880" w:firstLine="636"/>
        <w:spacing w:after="0" w:line="340" w:lineRule="auto"/>
        <w:rPr>
          <w:sz w:val="20"/>
          <w:szCs w:val="20"/>
          <w:color w:val="auto"/>
        </w:rPr>
      </w:pPr>
      <w:r>
        <w:rPr>
          <w:rFonts w:ascii="Times New Roman" w:cs="Times New Roman" w:eastAsia="Times New Roman" w:hAnsi="Times New Roman"/>
          <w:sz w:val="21"/>
          <w:szCs w:val="21"/>
          <w:i w:val="1"/>
          <w:iCs w:val="1"/>
          <w:color w:val="auto"/>
        </w:rPr>
        <w:t xml:space="preserve">Provisions in United’s Amended Articles of Incorporation. </w:t>
      </w:r>
      <w:r>
        <w:rPr>
          <w:rFonts w:ascii="Times New Roman" w:cs="Times New Roman" w:eastAsia="Times New Roman" w:hAnsi="Times New Roman"/>
          <w:sz w:val="21"/>
          <w:szCs w:val="21"/>
          <w:color w:val="auto"/>
        </w:rPr>
        <w:t>United’s Articles of Incorporation contain certain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provisions that could impede or delay a change in control of United, including:</w:t>
      </w:r>
    </w:p>
    <w:p>
      <w:pPr>
        <w:spacing w:after="0" w:line="153" w:lineRule="exact"/>
        <w:rPr>
          <w:sz w:val="20"/>
          <w:szCs w:val="20"/>
          <w:color w:val="auto"/>
        </w:rPr>
      </w:pPr>
    </w:p>
    <w:p>
      <w:pPr>
        <w:ind w:left="640" w:hanging="316"/>
        <w:spacing w:after="0" w:line="307" w:lineRule="auto"/>
        <w:tabs>
          <w:tab w:leader="none" w:pos="63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that allows directors, in discharging their fiduciary duties, in addition to considering the effects of any action on United or its shareholders, to consider interests of United’s employees, customers, suppliers, and creditors, and the communities in which United’s offices or other establishments are located when considering an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80"/>
          </w:cols>
          <w:pgMar w:left="320" w:top="1409" w:right="399" w:bottom="1440" w:gutter="0" w:footer="0" w:header="0"/>
        </w:sectPr>
      </w:pPr>
    </w:p>
    <w:bookmarkStart w:id="135" w:name="page136"/>
    <w:bookmarkEnd w:id="135"/>
    <w:p>
      <w:pPr>
        <w:spacing w:after="0" w:line="210" w:lineRule="exact"/>
        <w:rPr>
          <w:sz w:val="20"/>
          <w:szCs w:val="20"/>
          <w:color w:val="auto"/>
        </w:rPr>
      </w:pPr>
    </w:p>
    <w:p>
      <w:pPr>
        <w:ind w:left="320" w:right="200" w:hanging="316"/>
        <w:spacing w:after="0" w:line="294" w:lineRule="auto"/>
        <w:tabs>
          <w:tab w:leader="none" w:pos="31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that requires, in addition to any affirmative vote required by law, and subject to the provisions of any series of Preferred Stock that may at the time be outstanding, the affirmative vote of the holders of not less than 75% of the outstanding shares of United’s Common Stock other than those beneficially owned (as defined in the Articles of</w:t>
      </w:r>
    </w:p>
    <w:p>
      <w:pPr>
        <w:ind w:left="320"/>
        <w:spacing w:after="0" w:line="30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Incorporation) by an Interested Shareholder (as defined in the Articles of Incorporation, but generally a person who owns 10% or more of the shares of Common Stock) for the approval or authorization of any Business Combination (as defined in the Articles of Incorporation but including transactions such as a merger or other acquisition) of United with such Interested Shareholder; provided that the 75% voting requirement is not applicable if the Business Combination is approved by three-fourths of all members of the Board;</w:t>
      </w:r>
    </w:p>
    <w:p>
      <w:pPr>
        <w:spacing w:after="0" w:line="194" w:lineRule="exact"/>
        <w:rPr>
          <w:rFonts w:ascii="Times New Roman" w:cs="Times New Roman" w:eastAsia="Times New Roman" w:hAnsi="Times New Roman"/>
          <w:sz w:val="21"/>
          <w:szCs w:val="21"/>
          <w:color w:val="auto"/>
        </w:rPr>
      </w:pPr>
    </w:p>
    <w:p>
      <w:pPr>
        <w:ind w:left="320" w:right="600" w:hanging="316"/>
        <w:spacing w:after="0" w:line="324" w:lineRule="auto"/>
        <w:tabs>
          <w:tab w:leader="none" w:pos="31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that amendments to United’s Articles of Incorporation and certain provisions in United’s Bylaws must be approved by a majority of the outstanding shares of United’s Capital Stock entitled to vote;</w:t>
      </w:r>
    </w:p>
    <w:p>
      <w:pPr>
        <w:spacing w:after="0" w:line="169"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that any special meeting of shareholders may be called only by United’s chairman, chief executive officer,</w:t>
      </w:r>
    </w:p>
    <w:p>
      <w:pPr>
        <w:spacing w:after="0" w:line="63" w:lineRule="exact"/>
        <w:rPr>
          <w:rFonts w:ascii="Times New Roman" w:cs="Times New Roman" w:eastAsia="Times New Roman" w:hAnsi="Times New Roman"/>
          <w:sz w:val="21"/>
          <w:szCs w:val="21"/>
          <w:color w:val="auto"/>
        </w:rPr>
      </w:pPr>
    </w:p>
    <w:p>
      <w:pPr>
        <w:ind w:left="320" w:right="20"/>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president, chief financial officer, Board or the holders of 25% of the outstanding shares of United’s Capital Stock entitled to vote; and</w:t>
      </w:r>
    </w:p>
    <w:p>
      <w:pPr>
        <w:spacing w:after="0" w:line="169" w:lineRule="exact"/>
        <w:rPr>
          <w:rFonts w:ascii="Times New Roman" w:cs="Times New Roman" w:eastAsia="Times New Roman" w:hAnsi="Times New Roman"/>
          <w:sz w:val="21"/>
          <w:szCs w:val="21"/>
          <w:color w:val="auto"/>
        </w:rPr>
      </w:pPr>
    </w:p>
    <w:p>
      <w:pPr>
        <w:ind w:left="320" w:right="340" w:hanging="316"/>
        <w:spacing w:after="0" w:line="324" w:lineRule="auto"/>
        <w:tabs>
          <w:tab w:leader="none" w:pos="31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establishing certain advance notice procedures for matters to be considered at an annual meeting of United’s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840"/>
          </w:cols>
          <w:pgMar w:left="640" w:top="1440" w:right="4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2022 OMNIBUS EQUITY PLAN</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PERFORMANCE-BASED</w:t>
      </w:r>
    </w:p>
    <w:p>
      <w:pPr>
        <w:spacing w:after="0" w:line="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(Key Employee)</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26670</wp:posOffset>
            </wp:positionV>
            <wp:extent cx="30791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p>
      <w:pPr>
        <w:spacing w:after="0" w:line="289" w:lineRule="exact"/>
        <w:rPr>
          <w:sz w:val="20"/>
          <w:szCs w:val="20"/>
          <w:color w:val="auto"/>
        </w:rPr>
      </w:pPr>
    </w:p>
    <w:p>
      <w:pPr>
        <w:ind w:left="80"/>
        <w:spacing w:after="0" w:line="249" w:lineRule="auto"/>
        <w:rPr>
          <w:sz w:val="20"/>
          <w:szCs w:val="20"/>
          <w:color w:val="auto"/>
        </w:rPr>
      </w:pPr>
      <w:r>
        <w:rPr>
          <w:rFonts w:ascii="Times New Roman" w:cs="Times New Roman" w:eastAsia="Times New Roman" w:hAnsi="Times New Roman"/>
          <w:sz w:val="21"/>
          <w:szCs w:val="21"/>
          <w:b w:val="1"/>
          <w:bCs w:val="1"/>
          <w:color w:val="auto"/>
        </w:rPr>
        <w:t>Target Number of Performance-Based Restricted Stock Units Granted:</w:t>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89" w:lineRule="exact"/>
        <w:rPr>
          <w:sz w:val="20"/>
          <w:szCs w:val="20"/>
          <w:color w:val="auto"/>
        </w:rPr>
      </w:pPr>
    </w:p>
    <w:p>
      <w:pPr>
        <w:ind w:left="80" w:right="180"/>
        <w:spacing w:after="0" w:line="249" w:lineRule="auto"/>
        <w:rPr>
          <w:sz w:val="20"/>
          <w:szCs w:val="20"/>
          <w:color w:val="auto"/>
        </w:rPr>
      </w:pPr>
      <w:r>
        <w:rPr>
          <w:rFonts w:ascii="Times New Roman" w:cs="Times New Roman" w:eastAsia="Times New Roman" w:hAnsi="Times New Roman"/>
          <w:sz w:val="21"/>
          <w:szCs w:val="21"/>
          <w:b w:val="1"/>
          <w:bCs w:val="1"/>
          <w:color w:val="auto"/>
        </w:rPr>
        <w:t>Vesting Date for Performance-Based Restricted Stock Units: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 Target PSUs, subject to increase</w:t>
      </w:r>
    </w:p>
    <w:p>
      <w:pPr>
        <w:ind w:right="1760"/>
        <w:spacing w:after="0" w:line="231" w:lineRule="auto"/>
        <w:rPr>
          <w:sz w:val="20"/>
          <w:szCs w:val="20"/>
          <w:color w:val="auto"/>
        </w:rPr>
      </w:pPr>
      <w:r>
        <w:rPr>
          <w:rFonts w:ascii="Times New Roman" w:cs="Times New Roman" w:eastAsia="Times New Roman" w:hAnsi="Times New Roman"/>
          <w:sz w:val="21"/>
          <w:szCs w:val="21"/>
          <w:color w:val="auto"/>
        </w:rPr>
        <w:t>based on level of achievement of performance criteria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337820</wp:posOffset>
            </wp:positionV>
            <wp:extent cx="30791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See </w:t>
      </w:r>
      <w:r>
        <w:rPr>
          <w:rFonts w:ascii="Times New Roman" w:cs="Times New Roman" w:eastAsia="Times New Roman" w:hAnsi="Times New Roman"/>
          <w:sz w:val="21"/>
          <w:szCs w:val="21"/>
          <w:u w:val="single" w:color="auto"/>
          <w:color w:val="auto"/>
        </w:rPr>
        <w:t>Schedule A</w:t>
      </w:r>
    </w:p>
    <w:p>
      <w:pPr>
        <w:spacing w:after="0" w:line="429" w:lineRule="exact"/>
        <w:rPr>
          <w:sz w:val="20"/>
          <w:szCs w:val="20"/>
          <w:color w:val="auto"/>
        </w:rPr>
      </w:pPr>
    </w:p>
    <w:p>
      <w:pPr>
        <w:sectPr>
          <w:pgSz w:w="11900" w:h="16838" w:orient="portrait"/>
          <w:cols w:equalWidth="0" w:num="2">
            <w:col w:w="4540" w:space="380"/>
            <w:col w:w="6320"/>
          </w:cols>
          <w:pgMar w:left="320" w:top="95" w:right="339" w:bottom="1440" w:gutter="0" w:footer="0" w:header="0"/>
          <w:type w:val="continuous"/>
        </w:sectPr>
      </w:pP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THIS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as of the _____day of ______, _________, by and between</w:t>
      </w:r>
    </w:p>
    <w:p>
      <w:pPr>
        <w:spacing w:after="0" w:line="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UNITED COMMUNITY BANKS, INC.</w:t>
      </w:r>
      <w:r>
        <w:rPr>
          <w:rFonts w:ascii="Times New Roman" w:cs="Times New Roman" w:eastAsia="Times New Roman" w:hAnsi="Times New Roman"/>
          <w:sz w:val="21"/>
          <w:szCs w:val="21"/>
          <w:color w:val="auto"/>
        </w:rPr>
        <w:t>, a Georgia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individual designated above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Grantee</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maintains the United Community Banks, Inc. 2022 Omnibus Equity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Grantee has been selected by the Committee to receive a Performance-Based Restricted Stock Unit Award under the Plan, which vests on the vesting date as specified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xml:space="preserve">”), subject to the Grantee’s continued employment with the Company and the fulfillment of the performance criteria as set forth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with respect to the Performance Period (as defined below); and</w:t>
      </w:r>
    </w:p>
    <w:p>
      <w:pPr>
        <w:spacing w:after="0" w:line="16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performance criteria, if any, shall be established as reasonable and achievable goals consistent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safe and sound operation of the Company;</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NOW, THEREFORE, IT IS AGREED</w:t>
      </w:r>
      <w:r>
        <w:rPr>
          <w:rFonts w:ascii="Times New Roman" w:cs="Times New Roman" w:eastAsia="Times New Roman" w:hAnsi="Times New Roman"/>
          <w:sz w:val="21"/>
          <w:szCs w:val="21"/>
          <w:color w:val="auto"/>
        </w:rPr>
        <w:t>, by and between the Company and the Grantee, as follows:</w:t>
      </w:r>
    </w:p>
    <w:p>
      <w:pPr>
        <w:spacing w:after="0" w:line="209" w:lineRule="exact"/>
        <w:rPr>
          <w:sz w:val="20"/>
          <w:szCs w:val="20"/>
          <w:color w:val="auto"/>
        </w:rPr>
      </w:pPr>
    </w:p>
    <w:p>
      <w:pPr>
        <w:ind w:left="1280" w:hanging="638"/>
        <w:spacing w:after="0"/>
        <w:tabs>
          <w:tab w:leader="none" w:pos="1280"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Award of Restricted Stock Units</w:t>
      </w:r>
    </w:p>
    <w:p>
      <w:pPr>
        <w:spacing w:after="0" w:line="187"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hereby grants to the Grantee an award of Performance-Based Restricted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at target-level performance in the amount set forth above, subject to, and in accordance with, the restrictions, terms, and conditions set forth in this Agreement and the Plan. The grant date of this award of PSUs is set forth above (the “</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xml:space="preserve">. This Agreement (including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if applicable) shall be construed in accordance and consistent with, and subject to, the provisions of the Plan (the provisions of which are incorporated herein by reference) and, except as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340"/>
        <w:spacing w:after="0"/>
        <w:rPr>
          <w:sz w:val="20"/>
          <w:szCs w:val="20"/>
          <w:color w:val="auto"/>
        </w:rPr>
      </w:pPr>
      <w:r>
        <w:rPr>
          <w:rFonts w:ascii="Arial" w:cs="Arial" w:eastAsia="Arial" w:hAnsi="Arial"/>
          <w:sz w:val="14"/>
          <w:szCs w:val="14"/>
          <w:color w:val="auto"/>
        </w:rPr>
        <w:t>W/5102796v5</w:t>
      </w:r>
    </w:p>
    <w:p>
      <w:pPr>
        <w:sectPr>
          <w:pgSz w:w="11900" w:h="16838" w:orient="portrait"/>
          <w:cols w:equalWidth="0" w:num="1">
            <w:col w:w="11240"/>
          </w:cols>
          <w:pgMar w:left="320" w:top="95"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color w:val="auto"/>
        </w:rPr>
        <w:t>expressly set forth herein, the capitalized terms used in this Agreement shall have the same definitions as set forth in the Plan.</w:t>
      </w:r>
    </w:p>
    <w:p>
      <w:pPr>
        <w:spacing w:after="0" w:line="183"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Execution of the Agreement</w:t>
      </w:r>
      <w:r>
        <w:rPr>
          <w:rFonts w:ascii="Times New Roman" w:cs="Times New Roman" w:eastAsia="Times New Roman" w:hAnsi="Times New Roman"/>
          <w:sz w:val="21"/>
          <w:szCs w:val="21"/>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thirty (30) days of the Date of Grant, it may be canceled by the Committee, resulting in the immediate forfeiture of all PSUs granted hereunder.</w:t>
      </w:r>
    </w:p>
    <w:p>
      <w:pPr>
        <w:spacing w:after="0" w:line="146" w:lineRule="exact"/>
        <w:rPr>
          <w:sz w:val="20"/>
          <w:szCs w:val="20"/>
          <w:color w:val="auto"/>
        </w:rPr>
      </w:pPr>
    </w:p>
    <w:p>
      <w:pPr>
        <w:ind w:left="1280" w:hanging="638"/>
        <w:spacing w:after="0"/>
        <w:tabs>
          <w:tab w:leader="none" w:pos="128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Termination of Employment</w:t>
      </w:r>
    </w:p>
    <w:p>
      <w:pPr>
        <w:spacing w:after="0" w:line="187"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Subject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 earned amount of PSUs, determined based on the level of achievement of the performance criteria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at the completion of the Performance Period as certified by the Committee (the “</w:t>
      </w:r>
      <w:r>
        <w:rPr>
          <w:rFonts w:ascii="Times New Roman" w:cs="Times New Roman" w:eastAsia="Times New Roman" w:hAnsi="Times New Roman"/>
          <w:sz w:val="21"/>
          <w:szCs w:val="21"/>
          <w:b w:val="1"/>
          <w:bCs w:val="1"/>
          <w:i w:val="1"/>
          <w:iCs w:val="1"/>
          <w:color w:val="auto"/>
        </w:rPr>
        <w:t>Earned PSUs</w:t>
      </w:r>
      <w:r>
        <w:rPr>
          <w:rFonts w:ascii="Times New Roman" w:cs="Times New Roman" w:eastAsia="Times New Roman" w:hAnsi="Times New Roman"/>
          <w:sz w:val="21"/>
          <w:szCs w:val="21"/>
          <w:color w:val="auto"/>
        </w:rPr>
        <w:t>”), shall vest on the vesting date contingent upon the Grantee’s continuous employment by the Company through the Vesting Date.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 the three consecutive fiscal years with respect to which the performance criteria are measured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Except as otherwise provided herein, as soon as practicable (and no later than thirty (30) days) after the Vesting Date following completion of the Performance Period (and in any event, no later than March 15, 2028), a number of Shares equal to the Earned PSUs for the Performance Period (or such other amount in the event of a termination of employment or a Change in Control as provided herein) shall be issued to the Grantee (or, if the Grantee has died, to his or her surviving spouse or, if none, to the Grantee’s estate)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 For purposes of this Agreement, employment with a Subsidiary of the Company or service as a member of the Board of Directors of the Company or a Subsidiary shall be considered employment with the Company.</w:t>
      </w:r>
    </w:p>
    <w:p>
      <w:pPr>
        <w:spacing w:after="0" w:line="153" w:lineRule="exact"/>
        <w:rPr>
          <w:sz w:val="20"/>
          <w:szCs w:val="20"/>
          <w:color w:val="auto"/>
        </w:rPr>
      </w:pPr>
    </w:p>
    <w:p>
      <w:pPr>
        <w:jc w:val="both"/>
        <w:ind w:firstLine="1272"/>
        <w:spacing w:after="0" w:line="212"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Termination of Employment Due to Death or Disability</w:t>
      </w:r>
      <w:r>
        <w:rPr>
          <w:rFonts w:ascii="Times New Roman" w:cs="Times New Roman" w:eastAsia="Times New Roman" w:hAnsi="Times New Roman"/>
          <w:sz w:val="21"/>
          <w:szCs w:val="21"/>
          <w:color w:val="auto"/>
        </w:rPr>
        <w:t xml:space="preserve">. In the event that the Grantee’s employment is terminated by the Company as a result of death or Disability (as defined in the Plan) and (i) the Date of Termination occurs prior to a Change in Control, (a) if the Date of Termination is coincident with or following the completion of the Performance Period (but the Vesting Date has not occurred or the level of achievement of performance has not been determined), the Earned PSUs, as determined by the Committee on the same basis as applies to other PSU Award holders, shall vest in full immediately as of the Date of Termination (or, if later, as of the date the Committee certifies the level of achievement of performance for the Performance Period), and (b) if the Date of Termination is prior to the completion of the Performance Period, the Earned PSUs shall equal the number of Shares that would have been earned assuming the performance criteria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are achieved at target performance level and such Shares shall vest in full immediately as of the Date of Termination; and (ii) if the Date of Termination occurs on or after a Change in Control, the number of CIC Earned PSUs (as defined below) as determined by the Committee in connection with such Change in Control in accordance with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shall vest in full immediately as of the Date of Termination. Shares equal to the Earned PSUs determined hereunder or the CIC Earned PSUs, as applicable, shall be issued to the Grantee (or, if the Grantee has died, to his or her surviving spouse or, if none, to the Grantee’s estate) as soon as practicable (and no later than thirty (30) days) after the Date of Termination (or, if later, the date the Committee certifies the level of achievement of performance for such Performance Period), but in any event, no later than March 15 immediately following the year in which the Date of Termination occurs,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w:t>
      </w:r>
    </w:p>
    <w:p>
      <w:pPr>
        <w:spacing w:after="0" w:line="3" w:lineRule="exact"/>
        <w:rPr>
          <w:sz w:val="20"/>
          <w:szCs w:val="20"/>
          <w:color w:val="auto"/>
        </w:rPr>
      </w:pPr>
    </w:p>
    <w:p>
      <w:pPr>
        <w:ind w:left="160" w:hanging="154"/>
        <w:spacing w:after="0"/>
        <w:tabs>
          <w:tab w:leader="none" w:pos="160" w:val="left"/>
        </w:tabs>
        <w:numPr>
          <w:ilvl w:val="0"/>
          <w:numId w:val="5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1" w:right="339" w:bottom="1440" w:gutter="0" w:footer="0" w:header="0"/>
        </w:sectPr>
      </w:pPr>
    </w:p>
    <w:bookmarkStart w:id="138" w:name="page139"/>
    <w:bookmarkEnd w:id="138"/>
    <w:p>
      <w:pPr>
        <w:jc w:val="both"/>
        <w:ind w:firstLine="1272"/>
        <w:spacing w:after="0" w:line="214"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Termination of Employment by the Company Without Cause or by the Grantee for Good Reason Prior to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In the event that, prior to a Change in Control, the Grantee’s employment is terminated and such termination is either (i) an involuntary termination by the Company without Cause (as defined herein) and does not arise as a result of the Grantee’s death or Disability or (ii) a termination by the Grantee for Good Reason (as defined herein), (a) if the Date of Termination is coincident with or following the completion of the Performance Period (but the Vesting Date has not occurred or the level of achievement of performance has not been determined), the Earned PSUs, as determined by the Committee on the same basis as applies to other PSU Award holders, shall vest in full immediately as of the Date of Termination (or, if later, as of the date the Committee certifies the level of achievement of performance for the Performance Period), and (b) if the Date of Termination is prior to the completion of the Performance Period , the number of Earned PSUs that vest shall be equal to the product of (1) the number of Shares that would have been earned assuming the performance criteria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 are achieved at the target level of performance and (2) a fraction, the numerator of which is the number of days the Grantee was employed by the Company during the Performance Period prior to the Date of Termination, and the denominator of which is the total number of days in the Performance Period. All other outstanding unvested PSUs shall immediately be forfeited as of the Date of Termination. Shares equal to the Earned PSUs determined hereunder shall be issued to the Grantee (or, if the Grantee has died, to his or her surviving spouse or, if none, to the Grantee’s estate) as soon as practicable (and no later than thirty (30) days) after the Date of Termination (or, if later, the date the Committee certifies the level of achievement of performance for the Performance Period), but in any event, no later than March 15 immediately following the year in which the Date of Termination occurs,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w:t>
      </w:r>
    </w:p>
    <w:p>
      <w:pPr>
        <w:spacing w:after="0" w:line="152"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1"/>
          <w:szCs w:val="21"/>
          <w:u w:val="single" w:color="auto"/>
          <w:color w:val="auto"/>
        </w:rPr>
        <w:t>Treatment upon a Change in Control</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left="640" w:firstLine="1272"/>
        <w:spacing w:after="0" w:line="219" w:lineRule="auto"/>
        <w:rPr>
          <w:sz w:val="20"/>
          <w:szCs w:val="20"/>
          <w:color w:val="auto"/>
        </w:rPr>
      </w:pPr>
      <w:r>
        <w:rPr>
          <w:rFonts w:ascii="Times New Roman" w:cs="Times New Roman" w:eastAsia="Times New Roman" w:hAnsi="Times New Roman"/>
          <w:sz w:val="21"/>
          <w:szCs w:val="21"/>
          <w:color w:val="auto"/>
        </w:rPr>
        <w:t xml:space="preserve">2.4.1 </w:t>
      </w:r>
      <w:r>
        <w:rPr>
          <w:rFonts w:ascii="Times New Roman" w:cs="Times New Roman" w:eastAsia="Times New Roman" w:hAnsi="Times New Roman"/>
          <w:sz w:val="21"/>
          <w:szCs w:val="21"/>
          <w:i w:val="1"/>
          <w:iCs w:val="1"/>
          <w:color w:val="auto"/>
        </w:rPr>
        <w:t>Determination of Level of Achievement of Performance Criteria</w:t>
      </w:r>
      <w:r>
        <w:rPr>
          <w:rFonts w:ascii="Times New Roman" w:cs="Times New Roman" w:eastAsia="Times New Roman" w:hAnsi="Times New Roman"/>
          <w:sz w:val="21"/>
          <w:szCs w:val="21"/>
          <w:color w:val="auto"/>
        </w:rPr>
        <w:t>. Upon a Change in Control, if the measurement of the performance criteria for the Performance Period has not been previously certified by the Committee, the performance criteria applicable to any unvested PSUs shall be deemed achieved at the greater of the target and actual level of performance (the number of such Earned PSUs, the “</w:t>
      </w:r>
      <w:r>
        <w:rPr>
          <w:rFonts w:ascii="Times New Roman" w:cs="Times New Roman" w:eastAsia="Times New Roman" w:hAnsi="Times New Roman"/>
          <w:sz w:val="21"/>
          <w:szCs w:val="21"/>
          <w:b w:val="1"/>
          <w:bCs w:val="1"/>
          <w:i w:val="1"/>
          <w:iCs w:val="1"/>
          <w:color w:val="auto"/>
        </w:rPr>
        <w:t>CIC Earned PSUs</w:t>
      </w:r>
      <w:r>
        <w:rPr>
          <w:rFonts w:ascii="Times New Roman" w:cs="Times New Roman" w:eastAsia="Times New Roman" w:hAnsi="Times New Roman"/>
          <w:sz w:val="21"/>
          <w:szCs w:val="21"/>
          <w:color w:val="auto"/>
        </w:rPr>
        <w:t xml:space="preserve">”). The Committee shall make all determinations pursuant to this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in its sole discretion and consistent with Section 13.2 of the Plan. Following a Change in Control, subject to the Grantee’s continued employment through the applicable Vesting Date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and except as otherwise provided herein, the CIC Earned PSUs will continue to vest on the Vesting Date (notwithstanding the prior determination of performance), and no other performance terms shall apply to the vesting of the CIC Earned PSUs.</w:t>
      </w:r>
    </w:p>
    <w:p>
      <w:pPr>
        <w:spacing w:after="0" w:line="145" w:lineRule="exact"/>
        <w:rPr>
          <w:sz w:val="20"/>
          <w:szCs w:val="20"/>
          <w:color w:val="auto"/>
        </w:rPr>
      </w:pPr>
    </w:p>
    <w:p>
      <w:pPr>
        <w:jc w:val="both"/>
        <w:ind w:left="640" w:firstLine="1272"/>
        <w:spacing w:after="0" w:line="217" w:lineRule="auto"/>
        <w:rPr>
          <w:sz w:val="20"/>
          <w:szCs w:val="20"/>
          <w:color w:val="auto"/>
        </w:rPr>
      </w:pPr>
      <w:r>
        <w:rPr>
          <w:rFonts w:ascii="Times New Roman" w:cs="Times New Roman" w:eastAsia="Times New Roman" w:hAnsi="Times New Roman"/>
          <w:sz w:val="21"/>
          <w:szCs w:val="21"/>
          <w:color w:val="auto"/>
        </w:rPr>
        <w:t xml:space="preserve">2.4.2 </w:t>
      </w:r>
      <w:r>
        <w:rPr>
          <w:rFonts w:ascii="Times New Roman" w:cs="Times New Roman" w:eastAsia="Times New Roman" w:hAnsi="Times New Roman"/>
          <w:sz w:val="21"/>
          <w:szCs w:val="21"/>
          <w:i w:val="1"/>
          <w:iCs w:val="1"/>
          <w:color w:val="auto"/>
        </w:rPr>
        <w:t>Termination of Employment by the Company Without Cause or by the Grantee for Good Reason 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Following a Change in Control</w:t>
      </w:r>
      <w:r>
        <w:rPr>
          <w:rFonts w:ascii="Times New Roman" w:cs="Times New Roman" w:eastAsia="Times New Roman" w:hAnsi="Times New Roman"/>
          <w:sz w:val="21"/>
          <w:szCs w:val="21"/>
          <w:color w:val="auto"/>
        </w:rPr>
        <w:t>. If on or after a Change in Control the Grantee’s employment with the Company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terminated and such termination is either (i) an involuntary termination by the Company without Cause (as defined herein) (and does not arise as a result of the Grantee’s death or Disability, which is addressed in clause (ii) of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above) or</w:t>
      </w:r>
    </w:p>
    <w:p>
      <w:pPr>
        <w:spacing w:after="0" w:line="1" w:lineRule="exact"/>
        <w:rPr>
          <w:sz w:val="20"/>
          <w:szCs w:val="20"/>
          <w:color w:val="auto"/>
        </w:rPr>
      </w:pPr>
    </w:p>
    <w:p>
      <w:pPr>
        <w:jc w:val="both"/>
        <w:ind w:left="640" w:firstLine="2"/>
        <w:spacing w:after="0" w:line="218" w:lineRule="auto"/>
        <w:tabs>
          <w:tab w:leader="none" w:pos="95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Grantee for Good Reason (as defined herein), the Grantee shall immediately and fully vest as of the Date of Termination in the number of CIC Earned PSUs. Shares equal to the CIC Earned PSUs determined hereunder shall be issued to the Grantee (or, if the Grantee has died, to his or her surviving spouse or, if none, to the Grantee’s estate) as soon as practicable (and no later than thirty (30) days) after the Date of Termination (and no later than March 15 immediately following the year in which the Date of Termination occurs) free and 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 xml:space="preserve">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w:t>
      </w:r>
    </w:p>
    <w:p>
      <w:pPr>
        <w:spacing w:after="0" w:line="18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 xml:space="preserve">2.5.1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xml:space="preserve">. For purposes of this Agreement (except as otherwise provided in </w:t>
      </w:r>
      <w:r>
        <w:rPr>
          <w:rFonts w:ascii="Times New Roman" w:cs="Times New Roman" w:eastAsia="Times New Roman" w:hAnsi="Times New Roman"/>
          <w:sz w:val="21"/>
          <w:szCs w:val="21"/>
          <w:u w:val="single" w:color="auto"/>
          <w:color w:val="auto"/>
        </w:rPr>
        <w:t>Section 2.5.3</w:t>
      </w:r>
      <w:r>
        <w:rPr>
          <w:rFonts w:ascii="Times New Roman" w:cs="Times New Roman" w:eastAsia="Times New Roman" w:hAnsi="Times New Roman"/>
          <w:sz w:val="21"/>
          <w:szCs w:val="21"/>
          <w:color w:val="auto"/>
        </w:rPr>
        <w:t>), (i) on or after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have the meaning set forth in the Plan (without regard to the last sentence thereof), and (ii) prior to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shall mean (a) the Grantee’s continued intentional failure or refusal to perform substantially the Grantee’s assigned duties (other than as a result of total or partial mental or physical incapacity); (b) the Grantee’s engagement in willful misconduct, including without limitation, fraud, embezzlement, theft, or dishonesty, in the course of the Grantee’s employment with the Company; (c) the Grantee’s conviction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 crime (other than a felony) that involves moral turpitude or a breach of trust or fiduciary duty owed to the Company or any of its affiliates; (d) a material breach of the restrictive covenants applicable to the Grantee, including those set forth in this Agreement; or (e) a material breach of the Company’s Code of Conduct or another written policy of the Company applicable to the Grantee that does, or could reasonably be expected to, result in material harm to the Company, including reputational harm.</w:t>
      </w:r>
    </w:p>
    <w:p>
      <w:pPr>
        <w:spacing w:after="0" w:line="151"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2.5.2 </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For purposes of this Agreement (except as otherwise provided in </w:t>
      </w:r>
      <w:r>
        <w:rPr>
          <w:rFonts w:ascii="Times New Roman" w:cs="Times New Roman" w:eastAsia="Times New Roman" w:hAnsi="Times New Roman"/>
          <w:sz w:val="21"/>
          <w:szCs w:val="21"/>
          <w:u w:val="single" w:color="auto"/>
          <w:color w:val="auto"/>
        </w:rPr>
        <w:t>Section 2.5.3</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Good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Reason</w:t>
      </w:r>
      <w:r>
        <w:rPr>
          <w:rFonts w:ascii="Times New Roman" w:cs="Times New Roman" w:eastAsia="Times New Roman" w:hAnsi="Times New Roman"/>
          <w:sz w:val="21"/>
          <w:szCs w:val="21"/>
          <w:color w:val="auto"/>
        </w:rPr>
        <w:t>” for termination by the Grantee of the Grantee’s employment shall mean the occurrence (without the Grantee’s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express written consent) of any one of the following acts by the Company:</w:t>
      </w:r>
    </w:p>
    <w:p>
      <w:pPr>
        <w:spacing w:after="0" w:line="149" w:lineRule="exact"/>
        <w:rPr>
          <w:sz w:val="20"/>
          <w:szCs w:val="20"/>
          <w:color w:val="auto"/>
        </w:rPr>
      </w:pPr>
    </w:p>
    <w:p>
      <w:pPr>
        <w:ind w:left="2540" w:hanging="630"/>
        <w:spacing w:after="0"/>
        <w:tabs>
          <w:tab w:leader="none" w:pos="25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reduction in the Grantee’s responsibilities at the Company;</w:t>
      </w:r>
    </w:p>
    <w:p>
      <w:pPr>
        <w:spacing w:after="0" w:line="182" w:lineRule="exact"/>
        <w:rPr>
          <w:rFonts w:ascii="Times New Roman" w:cs="Times New Roman" w:eastAsia="Times New Roman" w:hAnsi="Times New Roman"/>
          <w:sz w:val="21"/>
          <w:szCs w:val="21"/>
          <w:color w:val="auto"/>
        </w:rPr>
      </w:pPr>
    </w:p>
    <w:p>
      <w:pPr>
        <w:jc w:val="both"/>
        <w:ind w:left="640" w:firstLine="1270"/>
        <w:spacing w:after="0" w:line="232" w:lineRule="auto"/>
        <w:tabs>
          <w:tab w:leader="none" w:pos="254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required relocation of the Grantee’s employment to a primary worksite location that is more than thirty-five (35) miles from the Grantee’s primary worksite location and increases the distance between the Grantee’s home location and primary worksite location by more than thirty-five (35) miles;</w:t>
      </w:r>
    </w:p>
    <w:p>
      <w:pPr>
        <w:spacing w:after="0" w:line="147" w:lineRule="exact"/>
        <w:rPr>
          <w:rFonts w:ascii="Times New Roman" w:cs="Times New Roman" w:eastAsia="Times New Roman" w:hAnsi="Times New Roman"/>
          <w:sz w:val="21"/>
          <w:szCs w:val="21"/>
          <w:color w:val="auto"/>
        </w:rPr>
      </w:pPr>
    </w:p>
    <w:p>
      <w:pPr>
        <w:ind w:left="640" w:firstLine="1270"/>
        <w:spacing w:after="0" w:line="245" w:lineRule="auto"/>
        <w:tabs>
          <w:tab w:leader="none" w:pos="254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Grantee’s base salary (other than a temporary reduction in connection with a specific circumstance that is consistently applied to other similarly situated executives of the Company); or</w:t>
      </w:r>
    </w:p>
    <w:p>
      <w:pPr>
        <w:spacing w:after="0" w:line="142" w:lineRule="exact"/>
        <w:rPr>
          <w:rFonts w:ascii="Times New Roman" w:cs="Times New Roman" w:eastAsia="Times New Roman" w:hAnsi="Times New Roman"/>
          <w:sz w:val="21"/>
          <w:szCs w:val="21"/>
          <w:color w:val="auto"/>
        </w:rPr>
      </w:pPr>
    </w:p>
    <w:p>
      <w:pPr>
        <w:jc w:val="both"/>
        <w:ind w:left="640" w:firstLine="1270"/>
        <w:spacing w:after="0" w:line="226" w:lineRule="auto"/>
        <w:tabs>
          <w:tab w:leader="none" w:pos="253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Grantee’s target annual incentive compensation opportunity or target long-term incentive compensation opportunity (other than a reduction in connection with a change to the incentive compensation program of the Company that is consistently applied to other similarly situated executives of the Company).</w:t>
      </w:r>
    </w:p>
    <w:p>
      <w:pPr>
        <w:spacing w:after="0" w:line="17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1"/>
          <w:szCs w:val="21"/>
          <w:color w:val="auto"/>
        </w:rPr>
        <w:t>The Grantee must give the Company notice of any event or condition that would constitute Good Reason within ninety (90) days of the initial existence of the event or condition, and upon receipt of such notice, the Company shall have thirty (30) days to remedy such event or condition. If such event or condition is not remedied within such thirty (30)-day period, any termination of employment by the Grantee for Good Reason must occur, if at all, within six (6) months of the Grantee’s learning of the initial existence of the condition or event in order for such termination as a result of such condition to constitute a termination for Good Reason. The Grantee’s right to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00"/>
          </w:cols>
          <w:pgMar w:left="960" w:top="1371" w:right="339" w:bottom="1440" w:gutter="0" w:footer="0" w:header="0"/>
        </w:sectPr>
      </w:pPr>
    </w:p>
    <w:bookmarkStart w:id="140" w:name="page141"/>
    <w:bookmarkEnd w:id="140"/>
    <w:p>
      <w:pPr>
        <w:jc w:val="both"/>
        <w:ind w:left="640" w:right="20"/>
        <w:spacing w:after="0" w:line="267" w:lineRule="auto"/>
        <w:rPr>
          <w:sz w:val="20"/>
          <w:szCs w:val="20"/>
          <w:color w:val="auto"/>
        </w:rPr>
      </w:pPr>
      <w:r>
        <w:rPr>
          <w:rFonts w:ascii="Times New Roman" w:cs="Times New Roman" w:eastAsia="Times New Roman" w:hAnsi="Times New Roman"/>
          <w:sz w:val="21"/>
          <w:szCs w:val="21"/>
          <w:color w:val="auto"/>
        </w:rPr>
        <w:t>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146" w:lineRule="exact"/>
        <w:rPr>
          <w:sz w:val="20"/>
          <w:szCs w:val="20"/>
          <w:color w:val="auto"/>
        </w:rPr>
      </w:pPr>
    </w:p>
    <w:p>
      <w:pPr>
        <w:jc w:val="both"/>
        <w:ind w:left="640" w:firstLine="1272"/>
        <w:spacing w:after="0" w:line="238" w:lineRule="auto"/>
        <w:rPr>
          <w:sz w:val="20"/>
          <w:szCs w:val="20"/>
          <w:color w:val="auto"/>
        </w:rPr>
      </w:pPr>
      <w:r>
        <w:rPr>
          <w:rFonts w:ascii="Times New Roman" w:cs="Times New Roman" w:eastAsia="Times New Roman" w:hAnsi="Times New Roman"/>
          <w:sz w:val="21"/>
          <w:szCs w:val="21"/>
          <w:color w:val="auto"/>
        </w:rPr>
        <w:t xml:space="preserve">2.5.3 </w:t>
      </w:r>
      <w:r>
        <w:rPr>
          <w:rFonts w:ascii="Times New Roman" w:cs="Times New Roman" w:eastAsia="Times New Roman" w:hAnsi="Times New Roman"/>
          <w:sz w:val="21"/>
          <w:szCs w:val="21"/>
          <w:i w:val="1"/>
          <w:iCs w:val="1"/>
          <w:color w:val="auto"/>
        </w:rPr>
        <w:t>Alternative Definitions and Procedures</w:t>
      </w:r>
      <w:r>
        <w:rPr>
          <w:rFonts w:ascii="Times New Roman" w:cs="Times New Roman" w:eastAsia="Times New Roman" w:hAnsi="Times New Roman"/>
          <w:sz w:val="21"/>
          <w:szCs w:val="21"/>
          <w:color w:val="auto"/>
        </w:rPr>
        <w:t xml:space="preserve">. Notwithstanding anything contained herein to the contrary, if the Grantee has entered into an employment or similar agreement that applies prior to a Change in Control (or a term of similar meaning) or a severance or similar agreement that applies on or after a Change in Control (or a term of similar meaning) and if such agreement defines “Good Reason,” and/or provides procedures and/or standards for determining whether Cause or Good Reason exists, such definition of “Good Reason” and the procedures and/or standards for determining the existence of Cause or Good Reason, as applicable, shall apply as if set forth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such an agreement that applies on or after a Change in Control (or a term of similar meaning) such alternative definitions and procedures and/or standards, as applicable, shall apply with respect to the applicable period under such agreement from and after a Change in Control (or a term of similar meaning). Notwithstanding anything contained herein to the contrary, nothing herein shall limit the right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of certain determinations as provided in Section 3.5 of the Plan.</w:t>
      </w:r>
    </w:p>
    <w:p>
      <w:pPr>
        <w:spacing w:after="0" w:line="151"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Termination of Employment for Other Reasons</w:t>
      </w:r>
      <w:r>
        <w:rPr>
          <w:rFonts w:ascii="Times New Roman" w:cs="Times New Roman" w:eastAsia="Times New Roman" w:hAnsi="Times New Roman"/>
          <w:sz w:val="21"/>
          <w:szCs w:val="21"/>
          <w:color w:val="auto"/>
        </w:rPr>
        <w:t xml:space="preserve">. If the Grantee’s employment is terminated by the Company or by the Grantee prior to the Vesting Date for any reason other than as set forth in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the outstanding unvested PSUs shall immediately be forfeited as of the Date of Termination.</w:t>
      </w:r>
    </w:p>
    <w:p>
      <w:pPr>
        <w:spacing w:after="0" w:line="148"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The PSUs may not be sold, assigned, transferred, pledged, or otherwise encumbered prior to the date the Grantee becomes vested in the PSUs and the Shares are issued.</w:t>
      </w:r>
    </w:p>
    <w:p>
      <w:pPr>
        <w:spacing w:after="0" w:line="143"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 To the extent applicable, this Agreement shall at all times be interpreted and operated in compliance with the requirements of Section 409A of the Code and the standards, regulations, or other guidance promulgated thereunder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To the extent required under the provisions of Section 409A to avoid the imposition of additional income and other taxes, the provisions of Section 11.2(b) of the Plan shall apply to the PSUs. For purposes of this Agreement, termination of employment shall be construed consistent with the meaning of a separation from service within the meaning of Section 409A, and to the extent required under the provisions of Section 409A to avoid the imposition of additional income and other taxes, the Date of Termination as used for purposes of the settlement of any vested PSUs shall not occur prior to the Grantee’s separation from service.</w:t>
      </w:r>
    </w:p>
    <w:p>
      <w:pPr>
        <w:spacing w:after="0" w:line="151" w:lineRule="exact"/>
        <w:rPr>
          <w:sz w:val="20"/>
          <w:szCs w:val="20"/>
          <w:color w:val="auto"/>
        </w:rPr>
      </w:pPr>
    </w:p>
    <w:p>
      <w:pPr>
        <w:ind w:left="1280" w:hanging="638"/>
        <w:spacing w:after="0"/>
        <w:tabs>
          <w:tab w:leader="none" w:pos="128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Shareholder; Dividends; Change in Capitalization; Deferral Rights</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 xml:space="preserve">3.1 The Grantee shall have no rights as a shareholder until such date as the Shares are delivered in settlement of vested Earned PSUs;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141" w:name="page142"/>
    <w:bookmarkEnd w:id="141"/>
    <w:p>
      <w:pPr>
        <w:jc w:val="both"/>
        <w:spacing w:after="0"/>
        <w:rPr>
          <w:sz w:val="20"/>
          <w:szCs w:val="20"/>
          <w:color w:val="auto"/>
        </w:rPr>
      </w:pPr>
      <w:r>
        <w:rPr>
          <w:rFonts w:ascii="Times New Roman" w:cs="Times New Roman" w:eastAsia="Times New Roman" w:hAnsi="Times New Roman"/>
          <w:sz w:val="21"/>
          <w:szCs w:val="21"/>
          <w:color w:val="auto"/>
        </w:rPr>
        <w:t>Date of Grant of the PSUs through the date that is the earlier of (i) the date that the Earned PSUs are vested and Shares in settlement thereof are transferred to the Grantee pursuant to this Agreement or (ii) the date that the PSUs are forfeited, the Grantee shall be credited with dividend equivalents with respect to cash dividends (other than an extraordinary dividend for which an adjustment is made pursuant to Section 4.3(b) of the Plan) declared on the Shares represented by the PSUs, which dividend equivalents shall vest or be forfeited on the same basis as applies to the underlying PSUs. Within thirty (30) days after the Vesting Date (or such earlier date on which the Earned PSUs vest in accordance with the terms of this Agreement), Grantee shall be paid in cash the dividend equivalents with respect to the vested Earned PSUs to which the dividend equivalents relate, less applicable withholdings. For the avoidance of doubt, reference to the term Earned PSUs in Section 3 shall include the term CIC Earned PSUs, as the context requires.</w:t>
      </w:r>
    </w:p>
    <w:p>
      <w:pPr>
        <w:spacing w:after="0" w:line="188"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3.2 In the event of a change in capitalization, the Committee shall make appropriate adjustments in accordance with Section 4.3 of the Plan to reflect the change in capitalization,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additional Shares or additional or different shares or securities reflected in any such adjustment shall remain subject to the restrictions in this Agreement.</w:t>
      </w:r>
    </w:p>
    <w:p>
      <w:pPr>
        <w:spacing w:after="0" w:line="148"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PSUs, the Company is not undertaking any obligation to register the PSUs under the federal or any state securities laws.</w:t>
      </w:r>
    </w:p>
    <w:p>
      <w:pPr>
        <w:spacing w:after="0" w:line="150"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3.4 To the extent the Grantee makes a valid and timely deferral election with respect to the Shares deliverable upon vesting of the PSUs consistent with Section 11.1 of the Plan, the terms of such election and any applicable deferred compensation plan shall govern the delivery of the Shares and accrued dividend equivalents in respect of vested Earned PSUs subject to such election.</w:t>
      </w:r>
    </w:p>
    <w:p>
      <w:pPr>
        <w:spacing w:after="0" w:line="146" w:lineRule="exact"/>
        <w:rPr>
          <w:sz w:val="20"/>
          <w:szCs w:val="20"/>
          <w:color w:val="auto"/>
        </w:rPr>
      </w:pPr>
    </w:p>
    <w:p>
      <w:pPr>
        <w:ind w:left="1280" w:hanging="638"/>
        <w:spacing w:after="0"/>
        <w:tabs>
          <w:tab w:leader="none" w:pos="128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 to Continued Employment</w:t>
      </w:r>
    </w:p>
    <w:p>
      <w:pPr>
        <w:spacing w:after="0" w:line="213" w:lineRule="exact"/>
        <w:rPr>
          <w:sz w:val="20"/>
          <w:szCs w:val="20"/>
          <w:color w:val="auto"/>
        </w:rPr>
      </w:pPr>
    </w:p>
    <w:p>
      <w:pPr>
        <w:jc w:val="both"/>
        <w:ind w:firstLine="1272"/>
        <w:spacing w:after="0" w:line="266" w:lineRule="auto"/>
        <w:rPr>
          <w:sz w:val="20"/>
          <w:szCs w:val="20"/>
          <w:color w:val="auto"/>
        </w:rPr>
      </w:pPr>
      <w:r>
        <w:rPr>
          <w:rFonts w:ascii="Times New Roman" w:cs="Times New Roman" w:eastAsia="Times New Roman" w:hAnsi="Times New Roman"/>
          <w:sz w:val="21"/>
          <w:szCs w:val="21"/>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31" w:lineRule="exact"/>
        <w:rPr>
          <w:sz w:val="20"/>
          <w:szCs w:val="20"/>
          <w:color w:val="auto"/>
        </w:rPr>
      </w:pPr>
    </w:p>
    <w:p>
      <w:pPr>
        <w:ind w:left="1280" w:hanging="638"/>
        <w:spacing w:after="0"/>
        <w:tabs>
          <w:tab w:leader="none" w:pos="128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Taxes and Withholding</w:t>
      </w:r>
    </w:p>
    <w:p>
      <w:pPr>
        <w:spacing w:after="0" w:line="213"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21"/>
          <w:szCs w:val="21"/>
          <w:color w:val="auto"/>
        </w:rPr>
        <w:t>The Grantee shall be responsible for all federal, state, and local income taxes payable with respect to this award of PSUs and any dividends and dividend equivalents paid on such PSUs. The Company and the Grantee agree to report the value of the PSUs and any dividends and dividend equivalents in respect thereof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1" w:right="339" w:bottom="1440" w:gutter="0" w:footer="0" w:header="0"/>
        </w:sectPr>
      </w:pPr>
    </w:p>
    <w:bookmarkStart w:id="142" w:name="page143"/>
    <w:bookmarkEnd w:id="142"/>
    <w:p>
      <w:pPr>
        <w:jc w:val="both"/>
        <w:spacing w:after="0" w:line="262" w:lineRule="auto"/>
        <w:rPr>
          <w:sz w:val="20"/>
          <w:szCs w:val="20"/>
          <w:color w:val="auto"/>
        </w:rPr>
      </w:pPr>
      <w:r>
        <w:rPr>
          <w:rFonts w:ascii="Times New Roman" w:cs="Times New Roman" w:eastAsia="Times New Roman" w:hAnsi="Times New Roman"/>
          <w:sz w:val="21"/>
          <w:szCs w:val="21"/>
          <w:color w:val="auto"/>
        </w:rPr>
        <w:t>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Fair Market Value not less than the amount of such taxes.</w:t>
      </w:r>
    </w:p>
    <w:p>
      <w:pPr>
        <w:spacing w:after="0" w:line="135" w:lineRule="exact"/>
        <w:rPr>
          <w:sz w:val="20"/>
          <w:szCs w:val="20"/>
          <w:color w:val="auto"/>
        </w:rPr>
      </w:pPr>
    </w:p>
    <w:p>
      <w:pPr>
        <w:ind w:left="1280" w:hanging="638"/>
        <w:spacing w:after="0"/>
        <w:tabs>
          <w:tab w:leader="none" w:pos="128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Grantee Bound by the Plan</w:t>
      </w:r>
    </w:p>
    <w:p>
      <w:pPr>
        <w:spacing w:after="0" w:line="213" w:lineRule="exact"/>
        <w:rPr>
          <w:sz w:val="20"/>
          <w:szCs w:val="20"/>
          <w:color w:val="auto"/>
        </w:rPr>
      </w:pPr>
    </w:p>
    <w:p>
      <w:pPr>
        <w:ind w:firstLine="1272"/>
        <w:spacing w:after="0" w:line="285" w:lineRule="auto"/>
        <w:rPr>
          <w:sz w:val="20"/>
          <w:szCs w:val="20"/>
          <w:color w:val="auto"/>
        </w:rPr>
      </w:pPr>
      <w:r>
        <w:rPr>
          <w:rFonts w:ascii="Times New Roman" w:cs="Times New Roman" w:eastAsia="Times New Roman" w:hAnsi="Times New Roman"/>
          <w:sz w:val="21"/>
          <w:szCs w:val="21"/>
          <w:color w:val="auto"/>
        </w:rPr>
        <w:t>The Grantee hereby acknowledges receipt of a copy of the Plan and the prospectus for the Plan, and agrees to be bound by all the terms and provisions thereof.</w:t>
      </w:r>
    </w:p>
    <w:p>
      <w:pPr>
        <w:spacing w:after="0" w:line="111" w:lineRule="exact"/>
        <w:rPr>
          <w:sz w:val="20"/>
          <w:szCs w:val="20"/>
          <w:color w:val="auto"/>
        </w:rPr>
      </w:pPr>
    </w:p>
    <w:p>
      <w:pPr>
        <w:ind w:left="1280" w:hanging="638"/>
        <w:spacing w:after="0"/>
        <w:tabs>
          <w:tab w:leader="none" w:pos="1280"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Covenants</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7.1 In consideration for the grant of the PSUs, continued employment with the Company, and other good and valuable consideration, the Grantee agrees to the following:</w:t>
      </w:r>
    </w:p>
    <w:p>
      <w:pPr>
        <w:spacing w:after="0" w:line="143" w:lineRule="exact"/>
        <w:rPr>
          <w:sz w:val="20"/>
          <w:szCs w:val="20"/>
          <w:color w:val="auto"/>
        </w:rPr>
      </w:pPr>
    </w:p>
    <w:p>
      <w:pPr>
        <w:jc w:val="both"/>
        <w:ind w:left="640" w:firstLine="638"/>
        <w:spacing w:after="0" w:line="232" w:lineRule="auto"/>
        <w:tabs>
          <w:tab w:leader="none" w:pos="190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Grantee’s employment with the Company or any Subsidiary and for a one (1)-year period after the Date of Termination, the Grantee will not directly or indirectly, individually, or on behalf of any Person other than the Company or a Subsidiary:</w:t>
      </w:r>
    </w:p>
    <w:p>
      <w:pPr>
        <w:spacing w:after="0" w:line="147" w:lineRule="exact"/>
        <w:rPr>
          <w:rFonts w:ascii="Times New Roman" w:cs="Times New Roman" w:eastAsia="Times New Roman" w:hAnsi="Times New Roman"/>
          <w:sz w:val="21"/>
          <w:szCs w:val="21"/>
          <w:color w:val="auto"/>
        </w:rPr>
      </w:pPr>
    </w:p>
    <w:p>
      <w:pPr>
        <w:jc w:val="both"/>
        <w:ind w:left="1280" w:firstLine="634"/>
        <w:spacing w:after="0" w:line="232" w:lineRule="auto"/>
        <w:tabs>
          <w:tab w:leader="none" w:pos="25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attempt to solicit, any customers or Prospective Customers of the Company with whom Grantee had Material Contact for the purpose of providing products or services that are competitive with the Company’s Business;</w:t>
      </w:r>
    </w:p>
    <w:p>
      <w:pPr>
        <w:spacing w:after="0" w:line="147" w:lineRule="exact"/>
        <w:rPr>
          <w:rFonts w:ascii="Times New Roman" w:cs="Times New Roman" w:eastAsia="Times New Roman" w:hAnsi="Times New Roman"/>
          <w:sz w:val="21"/>
          <w:szCs w:val="21"/>
          <w:color w:val="auto"/>
        </w:rPr>
      </w:pPr>
    </w:p>
    <w:p>
      <w:pPr>
        <w:jc w:val="both"/>
        <w:ind w:left="1280" w:firstLine="634"/>
        <w:spacing w:after="0" w:line="215" w:lineRule="auto"/>
        <w:tabs>
          <w:tab w:leader="none" w:pos="254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recruit, solicit, or induce, or in any manner attempt to recruit, solicit, or induce, anywhere within the Territory any Person employed by the Company or any Subsidiary with whom Grantee had Material Contact or about whom Grantee received Confidential Information during the one (1) year period preceding the Date of Termination, to end his or her employment with the Company or any Subsidiary, whether or not such employment is pursuant to a written contract with the Company or any Subsidiary or is at will. “Territory” is defined as New Jersey, as well as any state in which the Company has a branch location, to include the following, North Carolina, South Carolina, Georgia, Tennessee, Florida, and Alabama. If Grantee had no such specifically assigned geographic territory, then “Territory” means: (i) the United States; and, (ii) the state and county where Grantee resides. Because of Grantee’s position with the Company, Grantee is presumed to have participated in the Company’s business and/or had Confidential Information about the Company’s business throughout the United States (including state and state-equivalents and county and county-equivalents therein). The Grantee will not be deemed to have violated this Section if employees respond to general advertisements for employment or if the Company provides prior written consent to the activities of the Grantee; or</w:t>
      </w:r>
    </w:p>
    <w:p>
      <w:pPr>
        <w:spacing w:after="0" w:line="155" w:lineRule="exact"/>
        <w:rPr>
          <w:rFonts w:ascii="Times New Roman" w:cs="Times New Roman" w:eastAsia="Times New Roman" w:hAnsi="Times New Roman"/>
          <w:sz w:val="21"/>
          <w:szCs w:val="21"/>
          <w:color w:val="auto"/>
        </w:rPr>
      </w:pPr>
    </w:p>
    <w:p>
      <w:pPr>
        <w:jc w:val="both"/>
        <w:ind w:left="1280" w:firstLine="634"/>
        <w:spacing w:after="0" w:line="226" w:lineRule="auto"/>
        <w:tabs>
          <w:tab w:leader="none" w:pos="255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disparaging or derogatory statements, whether verbally, in writing, or in any other manner, about the Company that is intended to cause or that reasonably would be expected to cause a person to whom it is communicated to have a lowered opinion of the Company, including a lowered opinion of the services and products offered and provided by the Company or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7" w:right="339" w:bottom="1440" w:gutter="0" w:footer="0" w:header="0"/>
        </w:sectPr>
      </w:pPr>
    </w:p>
    <w:bookmarkStart w:id="143" w:name="page144"/>
    <w:bookmarkEnd w:id="143"/>
    <w:p>
      <w:pPr>
        <w:jc w:val="both"/>
        <w:ind w:left="638"/>
        <w:spacing w:after="0" w:line="232" w:lineRule="auto"/>
        <w:rPr>
          <w:sz w:val="20"/>
          <w:szCs w:val="20"/>
          <w:color w:val="auto"/>
        </w:rPr>
      </w:pPr>
      <w:r>
        <w:rPr>
          <w:rFonts w:ascii="Times New Roman" w:cs="Times New Roman" w:eastAsia="Times New Roman" w:hAnsi="Times New Roman"/>
          <w:sz w:val="21"/>
          <w:szCs w:val="21"/>
          <w:color w:val="auto"/>
        </w:rPr>
        <w:t>practices. Notwithstanding the foregoing, this Section shall not in any way limit Grantee’s ability to provide truthful testimony or information in response to a subpoena, court order, or valid request by a government agency, or as otherwise required or permitted by law.</w:t>
      </w:r>
    </w:p>
    <w:p>
      <w:pPr>
        <w:spacing w:after="0" w:line="148" w:lineRule="exact"/>
        <w:rPr>
          <w:sz w:val="20"/>
          <w:szCs w:val="20"/>
          <w:color w:val="auto"/>
        </w:rPr>
      </w:pPr>
    </w:p>
    <w:p>
      <w:pPr>
        <w:jc w:val="both"/>
        <w:ind w:left="-2" w:firstLine="638"/>
        <w:spacing w:after="0" w:line="232" w:lineRule="auto"/>
        <w:tabs>
          <w:tab w:leader="none" w:pos="126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147" w:lineRule="exact"/>
        <w:rPr>
          <w:rFonts w:ascii="Times New Roman" w:cs="Times New Roman" w:eastAsia="Times New Roman" w:hAnsi="Times New Roman"/>
          <w:sz w:val="21"/>
          <w:szCs w:val="21"/>
          <w:color w:val="auto"/>
        </w:rPr>
      </w:pPr>
    </w:p>
    <w:p>
      <w:pPr>
        <w:jc w:val="both"/>
        <w:ind w:left="-2" w:firstLine="638"/>
        <w:spacing w:after="0" w:line="226" w:lineRule="auto"/>
        <w:tabs>
          <w:tab w:leader="none" w:pos="126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or expiration of the Grantee’s employment with the Company for any reason whatsoever or at any time, the Grantee will immediately return to the Company all materials (including electronically stored materials), documents, plans, records, notes, or other papers, and any copies in the Grantee’s possession or control, relating in any way to the Company’s Business, which at all times shall be the property of the Company.</w:t>
      </w:r>
    </w:p>
    <w:p>
      <w:pPr>
        <w:spacing w:after="0" w:line="150" w:lineRule="exact"/>
        <w:rPr>
          <w:sz w:val="20"/>
          <w:szCs w:val="20"/>
          <w:color w:val="auto"/>
        </w:rPr>
      </w:pPr>
    </w:p>
    <w:p>
      <w:pPr>
        <w:ind w:left="638"/>
        <w:spacing w:after="0"/>
        <w:tabs>
          <w:tab w:leader="none" w:pos="1258"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color w:val="auto"/>
        </w:rPr>
        <w:t>For purposes of this Agreement, the following terms shall have the meanings specified below:</w:t>
      </w:r>
    </w:p>
    <w:p>
      <w:pPr>
        <w:spacing w:after="0" w:line="205" w:lineRule="exact"/>
        <w:rPr>
          <w:sz w:val="20"/>
          <w:szCs w:val="20"/>
          <w:color w:val="auto"/>
        </w:rPr>
      </w:pPr>
    </w:p>
    <w:p>
      <w:pPr>
        <w:jc w:val="both"/>
        <w:ind w:left="-2" w:firstLine="638"/>
        <w:spacing w:after="0" w:line="263" w:lineRule="auto"/>
        <w:tabs>
          <w:tab w:leader="none" w:pos="126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Company’s Business</w:t>
      </w:r>
      <w:r>
        <w:rPr>
          <w:rFonts w:ascii="Times New Roman" w:cs="Times New Roman" w:eastAsia="Times New Roman" w:hAnsi="Times New Roman"/>
          <w:sz w:val="21"/>
          <w:szCs w:val="21"/>
          <w:color w:val="auto"/>
        </w:rPr>
        <w:t>” means the unique and highly competitive business of the Company, which, as of the Effective Date, consists of banking and trust services, including the offering of commercial or consumer loans and extensions of credit, letters of credit, commercial and consumer deposits and deposit accounts, treasury management services, money transfer and bill payment services, internet or electronic banking, automated teller machines, IRA and retirement accounts, mortgage loans, home equity lines of credit, equipment financing, and financial advisory services.</w:t>
      </w:r>
    </w:p>
    <w:p>
      <w:pPr>
        <w:spacing w:after="0" w:line="160" w:lineRule="exact"/>
        <w:rPr>
          <w:rFonts w:ascii="Times New Roman" w:cs="Times New Roman" w:eastAsia="Times New Roman" w:hAnsi="Times New Roman"/>
          <w:sz w:val="21"/>
          <w:szCs w:val="21"/>
          <w:color w:val="auto"/>
        </w:rPr>
      </w:pPr>
    </w:p>
    <w:p>
      <w:pPr>
        <w:jc w:val="both"/>
        <w:ind w:left="-2" w:firstLine="638"/>
        <w:spacing w:after="0" w:line="260" w:lineRule="auto"/>
        <w:tabs>
          <w:tab w:leader="none" w:pos="126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Contact</w:t>
      </w:r>
      <w:r>
        <w:rPr>
          <w:rFonts w:ascii="Times New Roman" w:cs="Times New Roman" w:eastAsia="Times New Roman" w:hAnsi="Times New Roman"/>
          <w:sz w:val="21"/>
          <w:szCs w:val="21"/>
          <w:color w:val="auto"/>
        </w:rPr>
        <w:t>” means the contact between the Grantee and each existing employee, customer or Prospective Customer (a) with whom or which the Grantee dealt on behalf of the Company, (b) whose dealings with the Company were managed, coordinated, or supervised by the Grantee, (c) about whom the Grantee obtained Confidential Information or trade secrets in the ordinary course of business as a result of the Grantee’s association with the Company, or</w:t>
      </w:r>
    </w:p>
    <w:p>
      <w:pPr>
        <w:spacing w:after="0" w:line="1" w:lineRule="exact"/>
        <w:rPr>
          <w:rFonts w:ascii="Times New Roman" w:cs="Times New Roman" w:eastAsia="Times New Roman" w:hAnsi="Times New Roman"/>
          <w:sz w:val="21"/>
          <w:szCs w:val="21"/>
          <w:color w:val="auto"/>
        </w:rPr>
      </w:pPr>
    </w:p>
    <w:p>
      <w:pPr>
        <w:jc w:val="both"/>
        <w:ind w:left="-2" w:firstLine="2"/>
        <w:spacing w:after="0" w:line="255" w:lineRule="auto"/>
        <w:tabs>
          <w:tab w:leader="none" w:pos="33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 receives products or services authorized by the Company, the sale or provision of which results or resulted in compensation, commissions, or earnings for the Grantee within one (1) year prior to the end of the Grantee’s employment with the Company.</w:t>
      </w:r>
    </w:p>
    <w:p>
      <w:pPr>
        <w:spacing w:after="0" w:line="169" w:lineRule="exact"/>
        <w:rPr>
          <w:rFonts w:ascii="Times New Roman" w:cs="Times New Roman" w:eastAsia="Times New Roman" w:hAnsi="Times New Roman"/>
          <w:sz w:val="21"/>
          <w:szCs w:val="21"/>
          <w:color w:val="auto"/>
        </w:rPr>
      </w:pPr>
    </w:p>
    <w:p>
      <w:pPr>
        <w:jc w:val="both"/>
        <w:ind w:left="-2" w:firstLine="638"/>
        <w:spacing w:after="0" w:line="259" w:lineRule="auto"/>
        <w:tabs>
          <w:tab w:leader="none" w:pos="126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Grantee’s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598"/>
          </w:cols>
          <w:pgMar w:left="962" w:top="1371" w:right="339" w:bottom="1440" w:gutter="0" w:footer="0" w:header="0"/>
        </w:sectPr>
      </w:pPr>
    </w:p>
    <w:bookmarkStart w:id="144" w:name="page145"/>
    <w:bookmarkEnd w:id="144"/>
    <w:p>
      <w:pPr>
        <w:ind w:left="640"/>
        <w:spacing w:after="0" w:line="285" w:lineRule="auto"/>
        <w:rPr>
          <w:sz w:val="20"/>
          <w:szCs w:val="20"/>
          <w:color w:val="auto"/>
        </w:rPr>
      </w:pPr>
      <w:r>
        <w:rPr>
          <w:rFonts w:ascii="Times New Roman" w:cs="Times New Roman" w:eastAsia="Times New Roman" w:hAnsi="Times New Roman"/>
          <w:sz w:val="21"/>
          <w:szCs w:val="21"/>
          <w:color w:val="auto"/>
        </w:rPr>
        <w:t>confidential. Confidential Information subject to this Agreement may include information that is not a trade secret under applicable law.</w:t>
      </w:r>
    </w:p>
    <w:p>
      <w:pPr>
        <w:spacing w:after="0" w:line="138" w:lineRule="exact"/>
        <w:rPr>
          <w:sz w:val="20"/>
          <w:szCs w:val="20"/>
          <w:color w:val="auto"/>
        </w:rPr>
      </w:pPr>
    </w:p>
    <w:p>
      <w:pPr>
        <w:ind w:left="640" w:firstLine="638"/>
        <w:spacing w:after="0" w:line="302" w:lineRule="auto"/>
        <w:tabs>
          <w:tab w:leader="none" w:pos="190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Prospective Customer</w:t>
      </w:r>
      <w:r>
        <w:rPr>
          <w:rFonts w:ascii="Times New Roman" w:cs="Times New Roman" w:eastAsia="Times New Roman" w:hAnsi="Times New Roman"/>
          <w:sz w:val="21"/>
          <w:szCs w:val="21"/>
          <w:color w:val="auto"/>
        </w:rPr>
        <w:t>” means any Person who was actively and directly solicited by the Company during the one (1) year prior to the end of the Grantee’s employment with the Company.</w:t>
      </w:r>
    </w:p>
    <w:p>
      <w:pPr>
        <w:spacing w:after="0" w:line="121" w:lineRule="exact"/>
        <w:rPr>
          <w:rFonts w:ascii="Times New Roman" w:cs="Times New Roman" w:eastAsia="Times New Roman" w:hAnsi="Times New Roman"/>
          <w:sz w:val="21"/>
          <w:szCs w:val="21"/>
          <w:color w:val="auto"/>
        </w:rPr>
      </w:pPr>
    </w:p>
    <w:p>
      <w:pPr>
        <w:ind w:left="640" w:firstLine="638"/>
        <w:spacing w:after="0" w:line="289" w:lineRule="auto"/>
        <w:tabs>
          <w:tab w:leader="none" w:pos="190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Date of Termination</w:t>
      </w:r>
      <w:r>
        <w:rPr>
          <w:rFonts w:ascii="Times New Roman" w:cs="Times New Roman" w:eastAsia="Times New Roman" w:hAnsi="Times New Roman"/>
          <w:sz w:val="21"/>
          <w:szCs w:val="21"/>
          <w:color w:val="auto"/>
        </w:rPr>
        <w:t>” means the date upon which the Grantee’s employment with the Company or any Subsidiary ceases for any reason.</w:t>
      </w:r>
    </w:p>
    <w:p>
      <w:pPr>
        <w:spacing w:after="0" w:line="133" w:lineRule="exact"/>
        <w:rPr>
          <w:rFonts w:ascii="Times New Roman" w:cs="Times New Roman" w:eastAsia="Times New Roman" w:hAnsi="Times New Roman"/>
          <w:sz w:val="21"/>
          <w:szCs w:val="21"/>
          <w:color w:val="auto"/>
        </w:rPr>
      </w:pPr>
    </w:p>
    <w:p>
      <w:pPr>
        <w:ind w:left="640" w:firstLine="638"/>
        <w:spacing w:after="0" w:line="289" w:lineRule="auto"/>
        <w:tabs>
          <w:tab w:leader="none" w:pos="191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any individual, corporation, bank, partnership, joint venture, association, joint-stock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trust, unincorporated organization or other entity.</w:t>
      </w:r>
    </w:p>
    <w:p>
      <w:pPr>
        <w:spacing w:after="0" w:line="125" w:lineRule="exact"/>
        <w:rPr>
          <w:sz w:val="20"/>
          <w:szCs w:val="20"/>
          <w:color w:val="auto"/>
        </w:rPr>
      </w:pPr>
    </w:p>
    <w:p>
      <w:pPr>
        <w:jc w:val="both"/>
        <w:ind w:firstLine="1272"/>
        <w:spacing w:after="0" w:line="219" w:lineRule="auto"/>
        <w:rPr>
          <w:sz w:val="20"/>
          <w:szCs w:val="20"/>
          <w:color w:val="auto"/>
        </w:rPr>
      </w:pPr>
      <w:r>
        <w:rPr>
          <w:rFonts w:ascii="Times New Roman" w:cs="Times New Roman" w:eastAsia="Times New Roman" w:hAnsi="Times New Roman"/>
          <w:sz w:val="21"/>
          <w:szCs w:val="21"/>
          <w:color w:val="auto"/>
        </w:rPr>
        <w:t xml:space="preserve">7.3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then the Company shall be entitled to all remedies available in law or equity. In addition (and without limiting the foregoing),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the Committee shall, notwithstanding any other provision in this Agreement to the contrary, (i) cancel the outstanding PSUs that are not yet vested or with respect to which Shares have not yet been issued to the Grantee, and (ii) require the Grantee to return to the Company any Shares issued to the Grantee pursuant to vesting of the PSUs (or to pay to the Company the greater of the then-current value of any such Shares or the value of the shares as of the applicable Vesting Date) that occurred (or will occur) during the period six (6) months prior to and one (1) year after the Date of Termination.</w:t>
      </w:r>
    </w:p>
    <w:p>
      <w:pPr>
        <w:spacing w:after="0" w:line="154" w:lineRule="exact"/>
        <w:rPr>
          <w:sz w:val="20"/>
          <w:szCs w:val="20"/>
          <w:color w:val="auto"/>
        </w:rPr>
      </w:pPr>
    </w:p>
    <w:p>
      <w:pPr>
        <w:jc w:val="both"/>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7.4 The Grantee acknowledges and agrees that the provisions of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and that these covenants do not pose an undue hardship on the Grantee. The Grantee further acknowledges that the Grantee’s breach of any of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would likely cause irreparable injury to the Company, and therefore entitles the Company to injunctive relief, in addition to any other remedies available in law or equity.</w:t>
      </w:r>
    </w:p>
    <w:p>
      <w:pPr>
        <w:spacing w:after="0" w:line="153"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In addition, nothing in this Agreement, the Plan or any other agreement with or policy of the Company shall or does impair the Grantee’s rights under the whistleblower provisions of any applicable federal law or regulation, including the right to communicate and cooperate with, or provide Confidential Information about the Company to, the U.S.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97" w:right="339" w:bottom="1440" w:gutter="0" w:footer="0" w:header="0"/>
        </w:sectPr>
      </w:pPr>
    </w:p>
    <w:bookmarkStart w:id="145" w:name="page146"/>
    <w:bookmarkEnd w:id="145"/>
    <w:p>
      <w:pPr>
        <w:jc w:val="both"/>
        <w:spacing w:after="0" w:line="232" w:lineRule="auto"/>
        <w:rPr>
          <w:sz w:val="20"/>
          <w:szCs w:val="20"/>
          <w:color w:val="auto"/>
        </w:rPr>
      </w:pPr>
      <w:r>
        <w:rPr>
          <w:rFonts w:ascii="Times New Roman" w:cs="Times New Roman" w:eastAsia="Times New Roman" w:hAnsi="Times New Roman"/>
          <w:sz w:val="21"/>
          <w:szCs w:val="21"/>
          <w:color w:val="auto"/>
        </w:rPr>
        <w:t>and Exchange Commission as provided for under Section 21F of the Exchange Act, without notifying the Company, or, for the avoidance of doubt, limit the Grantee’s right to receive an award for the information provided to any government authority under any such law or regulation.</w:t>
      </w:r>
    </w:p>
    <w:p>
      <w:pPr>
        <w:spacing w:after="0" w:line="170" w:lineRule="exact"/>
        <w:rPr>
          <w:sz w:val="20"/>
          <w:szCs w:val="20"/>
          <w:color w:val="auto"/>
        </w:rPr>
      </w:pPr>
    </w:p>
    <w:p>
      <w:pPr>
        <w:ind w:left="1280" w:hanging="638"/>
        <w:spacing w:after="0"/>
        <w:tabs>
          <w:tab w:leader="none" w:pos="128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Modification of Agreement; Severability</w:t>
      </w:r>
    </w:p>
    <w:p>
      <w:pPr>
        <w:spacing w:after="0" w:line="226"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68" w:lineRule="exact"/>
        <w:rPr>
          <w:sz w:val="20"/>
          <w:szCs w:val="20"/>
          <w:color w:val="auto"/>
        </w:rPr>
      </w:pPr>
    </w:p>
    <w:p>
      <w:pPr>
        <w:ind w:left="1280" w:hanging="638"/>
        <w:spacing w:after="0"/>
        <w:tabs>
          <w:tab w:leader="none" w:pos="128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and Forum</w:t>
      </w:r>
    </w:p>
    <w:p>
      <w:pPr>
        <w:spacing w:after="0" w:line="240"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64" w:lineRule="exact"/>
        <w:rPr>
          <w:sz w:val="20"/>
          <w:szCs w:val="20"/>
          <w:color w:val="auto"/>
        </w:rPr>
      </w:pPr>
    </w:p>
    <w:p>
      <w:pPr>
        <w:ind w:left="1280" w:hanging="638"/>
        <w:spacing w:after="0"/>
        <w:tabs>
          <w:tab w:leader="none" w:pos="128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 in Interest</w:t>
      </w:r>
    </w:p>
    <w:p>
      <w:pPr>
        <w:spacing w:after="0" w:line="240" w:lineRule="exact"/>
        <w:rPr>
          <w:sz w:val="20"/>
          <w:szCs w:val="20"/>
          <w:color w:val="auto"/>
        </w:rPr>
      </w:pPr>
    </w:p>
    <w:p>
      <w:pPr>
        <w:jc w:val="both"/>
        <w:ind w:firstLine="1272"/>
        <w:spacing w:after="0" w:line="261"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65" w:lineRule="exact"/>
        <w:rPr>
          <w:sz w:val="20"/>
          <w:szCs w:val="20"/>
          <w:color w:val="auto"/>
        </w:rPr>
      </w:pPr>
    </w:p>
    <w:p>
      <w:pPr>
        <w:ind w:left="1260" w:hanging="618"/>
        <w:spacing w:after="0"/>
        <w:tabs>
          <w:tab w:leader="none" w:pos="126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w:t>
      </w:r>
    </w:p>
    <w:p>
      <w:pPr>
        <w:spacing w:after="0" w:line="240" w:lineRule="exact"/>
        <w:rPr>
          <w:sz w:val="20"/>
          <w:szCs w:val="20"/>
          <w:color w:val="auto"/>
        </w:rPr>
      </w:pPr>
    </w:p>
    <w:p>
      <w:pPr>
        <w:jc w:val="both"/>
        <w:ind w:firstLine="1272"/>
        <w:spacing w:after="0" w:line="261" w:lineRule="auto"/>
        <w:rPr>
          <w:sz w:val="20"/>
          <w:szCs w:val="20"/>
          <w:color w:val="auto"/>
        </w:rPr>
      </w:pPr>
      <w:r>
        <w:rPr>
          <w:rFonts w:ascii="Times New Roman" w:cs="Times New Roman" w:eastAsia="Times New Roman" w:hAnsi="Times New Roman"/>
          <w:sz w:val="21"/>
          <w:szCs w:val="21"/>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65" w:lineRule="exact"/>
        <w:rPr>
          <w:sz w:val="20"/>
          <w:szCs w:val="20"/>
          <w:color w:val="auto"/>
        </w:rPr>
      </w:pPr>
    </w:p>
    <w:p>
      <w:pPr>
        <w:ind w:left="1280" w:hanging="638"/>
        <w:spacing w:after="0"/>
        <w:tabs>
          <w:tab w:leader="none" w:pos="128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Resolution of Disputes</w:t>
      </w:r>
    </w:p>
    <w:p>
      <w:pPr>
        <w:spacing w:after="0" w:line="240" w:lineRule="exact"/>
        <w:rPr>
          <w:sz w:val="20"/>
          <w:szCs w:val="20"/>
          <w:color w:val="auto"/>
        </w:rPr>
      </w:pPr>
    </w:p>
    <w:p>
      <w:pPr>
        <w:ind w:firstLine="1272"/>
        <w:spacing w:after="0" w:line="285" w:lineRule="auto"/>
        <w:rPr>
          <w:sz w:val="20"/>
          <w:szCs w:val="20"/>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 or application of this Agreement and the Plan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1" w:right="339" w:bottom="1440" w:gutter="0" w:footer="0" w:header="0"/>
        </w:sectPr>
      </w:pPr>
    </w:p>
    <w:bookmarkStart w:id="146" w:name="page147"/>
    <w:bookmarkEnd w:id="146"/>
    <w:p>
      <w:pPr>
        <w:jc w:val="both"/>
        <w:spacing w:after="0" w:line="267" w:lineRule="auto"/>
        <w:rPr>
          <w:sz w:val="20"/>
          <w:szCs w:val="20"/>
          <w:color w:val="auto"/>
        </w:rPr>
      </w:pPr>
      <w:r>
        <w:rPr>
          <w:rFonts w:ascii="Times New Roman" w:cs="Times New Roman" w:eastAsia="Times New Roman" w:hAnsi="Times New Roman"/>
          <w:sz w:val="21"/>
          <w:szCs w:val="21"/>
          <w:color w:val="auto"/>
        </w:rPr>
        <w:t>be determined by the Committee. Except as otherwise provided in Section 3.5 of the Plan with respect to certain determinations following a Change in Control, any determination made by the Committee shall be final, binding, and conclusive on the Grantee and the Company and their successors, assigns, heirs, executors, administrators, and legal representatives for all purposes.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7" w:right="339" w:bottom="1440" w:gutter="0" w:footer="0" w:header="0"/>
        </w:sectPr>
      </w:pPr>
    </w:p>
    <w:bookmarkStart w:id="147" w:name="page148"/>
    <w:bookmarkEnd w:id="147"/>
    <w:p>
      <w:pPr>
        <w:ind w:lef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4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200" w:lineRule="exact"/>
        <w:rPr>
          <w:sz w:val="20"/>
          <w:szCs w:val="20"/>
          <w:color w:val="auto"/>
        </w:rPr>
      </w:pPr>
    </w:p>
    <w:p>
      <w:pPr>
        <w:spacing w:after="0" w:line="3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-151130</wp:posOffset>
            </wp:positionV>
            <wp:extent cx="23977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16510</wp:posOffset>
            </wp:positionV>
            <wp:extent cx="23977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2397760"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-151130</wp:posOffset>
            </wp:positionV>
            <wp:extent cx="2397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31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By accepting this Agreement, the Grantee hereby accepts the PSU grant subject to all its terms and provisions and agrees to be bound by the terms and provisions of this Agreement, including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 Plan and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Except as otherwise provided under Section 3.5 of the Plan with respect to certain determinations following a Change in Control,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172"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By accepting this Agreement, the Grantee hereby consents to the holding and processing of personal data provided by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Grantee to the Company for all purposes necessary for the operation of the Plan. These include, but are not limited to:</w:t>
      </w:r>
    </w:p>
    <w:p>
      <w:pPr>
        <w:spacing w:after="0" w:line="198" w:lineRule="exact"/>
        <w:rPr>
          <w:sz w:val="20"/>
          <w:szCs w:val="20"/>
          <w:color w:val="auto"/>
        </w:rPr>
      </w:pPr>
    </w:p>
    <w:p>
      <w:pPr>
        <w:ind w:left="1080" w:hanging="438"/>
        <w:spacing w:after="0"/>
        <w:tabs>
          <w:tab w:leader="none" w:pos="10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administering and maintaining Plan records;</w:t>
      </w:r>
    </w:p>
    <w:p>
      <w:pPr>
        <w:spacing w:after="0" w:line="222" w:lineRule="exact"/>
        <w:rPr>
          <w:rFonts w:ascii="Times New Roman" w:cs="Times New Roman" w:eastAsia="Times New Roman" w:hAnsi="Times New Roman"/>
          <w:sz w:val="21"/>
          <w:szCs w:val="21"/>
          <w:color w:val="auto"/>
        </w:rPr>
      </w:pPr>
    </w:p>
    <w:p>
      <w:pPr>
        <w:ind w:left="1100" w:hanging="458"/>
        <w:spacing w:after="0"/>
        <w:tabs>
          <w:tab w:leader="none" w:pos="11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any registrars, brokers, or third-party administrators of the Plan; and</w:t>
      </w:r>
    </w:p>
    <w:p>
      <w:pPr>
        <w:spacing w:after="0" w:line="235" w:lineRule="exact"/>
        <w:rPr>
          <w:rFonts w:ascii="Times New Roman" w:cs="Times New Roman" w:eastAsia="Times New Roman" w:hAnsi="Times New Roman"/>
          <w:sz w:val="21"/>
          <w:szCs w:val="21"/>
          <w:color w:val="auto"/>
        </w:rPr>
      </w:pPr>
    </w:p>
    <w:p>
      <w:pPr>
        <w:ind w:left="1080" w:hanging="438"/>
        <w:spacing w:after="0"/>
        <w:tabs>
          <w:tab w:leader="none" w:pos="10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future purchasers of the Company or the business in which the Grantee works.</w:t>
      </w:r>
    </w:p>
    <w:p>
      <w:pPr>
        <w:spacing w:after="0" w:line="191" w:lineRule="exact"/>
        <w:rPr>
          <w:rFonts w:ascii="Times New Roman" w:cs="Times New Roman" w:eastAsia="Times New Roman" w:hAnsi="Times New Roman"/>
          <w:sz w:val="21"/>
          <w:szCs w:val="21"/>
          <w:color w:val="auto"/>
        </w:rPr>
      </w:pPr>
    </w:p>
    <w:p>
      <w:pPr>
        <w:ind w:left="38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GRANTEE</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24130</wp:posOffset>
            </wp:positionV>
            <wp:extent cx="20275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spacing w:after="0" w:line="11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24130</wp:posOffset>
            </wp:positionV>
            <wp:extent cx="20275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spacing w:after="0" w:line="11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24130</wp:posOffset>
            </wp:positionV>
            <wp:extent cx="20275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OMNIBUS EQUITY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(Key Employee with Retirement)</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29845</wp:posOffset>
            </wp:positionV>
            <wp:extent cx="53594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5359400" cy="825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29845</wp:posOffset>
            </wp:positionV>
            <wp:extent cx="53594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5359400" cy="825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29845</wp:posOffset>
            </wp:positionV>
            <wp:extent cx="53594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5359400" cy="8255"/>
                    </a:xfrm>
                    <a:prstGeom prst="rect">
                      <a:avLst/>
                    </a:prstGeom>
                    <a:noFill/>
                  </pic:spPr>
                </pic:pic>
              </a:graphicData>
            </a:graphic>
          </wp:anchor>
        </w:drawing>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6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Vesting Schedule:</w:t>
            </w:r>
          </w:p>
        </w:tc>
        <w:tc>
          <w:tcPr>
            <w:tcW w:w="232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Vesting Date</w:t>
            </w:r>
          </w:p>
        </w:tc>
        <w:tc>
          <w:tcPr>
            <w:tcW w:w="232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Vest Quantity</w:t>
            </w:r>
          </w:p>
        </w:tc>
      </w:tr>
      <w:tr>
        <w:trPr>
          <w:trHeight w:val="245"/>
        </w:trPr>
        <w:tc>
          <w:tcPr>
            <w:tcW w:w="6580" w:type="dxa"/>
            <w:vAlign w:val="bottom"/>
            <w:tcBorders>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r>
      <w:tr>
        <w:trPr>
          <w:trHeight w:val="245"/>
        </w:trPr>
        <w:tc>
          <w:tcPr>
            <w:tcW w:w="6580" w:type="dxa"/>
            <w:vAlign w:val="bottom"/>
            <w:tcBorders>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r>
      <w:tr>
        <w:trPr>
          <w:trHeight w:val="245"/>
        </w:trPr>
        <w:tc>
          <w:tcPr>
            <w:tcW w:w="6580" w:type="dxa"/>
            <w:vAlign w:val="bottom"/>
            <w:tcBorders>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r>
    </w:tbl>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THIS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as of the ____ day of ______, _________, by and between</w:t>
      </w:r>
    </w:p>
    <w:p>
      <w:pPr>
        <w:spacing w:after="0" w:line="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b w:val="1"/>
          <w:bCs w:val="1"/>
          <w:color w:val="auto"/>
        </w:rPr>
        <w:t>UNITED COMMUNITY BANKS, INC.</w:t>
      </w:r>
      <w:r>
        <w:rPr>
          <w:rFonts w:ascii="Times New Roman" w:cs="Times New Roman" w:eastAsia="Times New Roman" w:hAnsi="Times New Roman"/>
          <w:sz w:val="21"/>
          <w:szCs w:val="21"/>
          <w:color w:val="auto"/>
        </w:rPr>
        <w:t>, a Georgia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individual designated above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Grantee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maintains the United Community Banks, Inc. 2022 Omnibus Equity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has been selected by the Committee to receive a Restricted Stock Unit Award under the Plan, vesting based upon the passage of time as specified above.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NOW, THEREFORE, IT IS AGREED</w:t>
      </w:r>
      <w:r>
        <w:rPr>
          <w:rFonts w:ascii="Times New Roman" w:cs="Times New Roman" w:eastAsia="Times New Roman" w:hAnsi="Times New Roman"/>
          <w:sz w:val="21"/>
          <w:szCs w:val="21"/>
          <w:color w:val="auto"/>
        </w:rPr>
        <w:t>, by and between the Company and the Grantee, as follows:</w:t>
      </w:r>
    </w:p>
    <w:p>
      <w:pPr>
        <w:spacing w:after="0" w:line="196" w:lineRule="exact"/>
        <w:rPr>
          <w:sz w:val="20"/>
          <w:szCs w:val="20"/>
          <w:color w:val="auto"/>
        </w:rPr>
      </w:pPr>
    </w:p>
    <w:p>
      <w:pPr>
        <w:ind w:left="1280" w:hanging="638"/>
        <w:spacing w:after="0"/>
        <w:tabs>
          <w:tab w:leader="none" w:pos="128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Award of Restricted Stock Units</w:t>
      </w:r>
    </w:p>
    <w:p>
      <w:pPr>
        <w:spacing w:after="0" w:line="183"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hereby grants to the Grantee an award of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in the amount set forth above, subject to, and in accordance with, the restrictions, terms, and conditions set forth in this Agreement and the Plan. The grant date of this award of RSUs is set forth above (the “</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48"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Execution of the Agreement</w:t>
      </w:r>
      <w:r>
        <w:rPr>
          <w:rFonts w:ascii="Times New Roman" w:cs="Times New Roman" w:eastAsia="Times New Roman" w:hAnsi="Times New Roman"/>
          <w:sz w:val="21"/>
          <w:szCs w:val="21"/>
          <w:color w:val="auto"/>
        </w:rPr>
        <w:t>. This Award is conditioned on the Grantee’s execution of this Agreement. By executing this Agreement, the Grantee agrees to the terms set forth in this Agreement (and the provisions of the Plan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340"/>
        <w:spacing w:after="0"/>
        <w:rPr>
          <w:sz w:val="20"/>
          <w:szCs w:val="20"/>
          <w:color w:val="auto"/>
        </w:rPr>
      </w:pPr>
      <w:r>
        <w:rPr>
          <w:rFonts w:ascii="Arial" w:cs="Arial" w:eastAsia="Arial" w:hAnsi="Arial"/>
          <w:sz w:val="14"/>
          <w:szCs w:val="14"/>
          <w:color w:val="auto"/>
        </w:rPr>
        <w:t>W/5102799v3</w:t>
      </w:r>
    </w:p>
    <w:p>
      <w:pPr>
        <w:sectPr>
          <w:pgSz w:w="11900" w:h="16838" w:orient="portrait"/>
          <w:cols w:equalWidth="0" w:num="1">
            <w:col w:w="11240"/>
          </w:cols>
          <w:pgMar w:left="320" w:top="333" w:right="339" w:bottom="1440" w:gutter="0" w:footer="0" w:header="0"/>
        </w:sectPr>
      </w:pPr>
    </w:p>
    <w:bookmarkStart w:id="149" w:name="page150"/>
    <w:bookmarkEnd w:id="149"/>
    <w:p>
      <w:pPr>
        <w:spacing w:after="0" w:line="245" w:lineRule="auto"/>
        <w:rPr>
          <w:sz w:val="20"/>
          <w:szCs w:val="20"/>
          <w:color w:val="auto"/>
        </w:rPr>
      </w:pPr>
      <w:r>
        <w:rPr>
          <w:rFonts w:ascii="Times New Roman" w:cs="Times New Roman" w:eastAsia="Times New Roman" w:hAnsi="Times New Roman"/>
          <w:sz w:val="21"/>
          <w:szCs w:val="21"/>
          <w:color w:val="auto"/>
        </w:rPr>
        <w:t>herein). If this Agreement is not executed by the Grantee and returned to the Company within thirty (30) days of the Date of Grant, it may be canceled by the Committee, resulting in the immediate forfeiture of all RSUs granted hereunder.</w:t>
      </w:r>
    </w:p>
    <w:p>
      <w:pPr>
        <w:spacing w:after="0" w:line="139" w:lineRule="exact"/>
        <w:rPr>
          <w:sz w:val="20"/>
          <w:szCs w:val="20"/>
          <w:color w:val="auto"/>
        </w:rPr>
      </w:pPr>
    </w:p>
    <w:p>
      <w:pPr>
        <w:ind w:left="1280" w:hanging="638"/>
        <w:spacing w:after="0"/>
        <w:tabs>
          <w:tab w:leader="none" w:pos="128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Settlement; Termination of Employment</w:t>
      </w:r>
    </w:p>
    <w:p>
      <w:pPr>
        <w:spacing w:after="0" w:line="187" w:lineRule="exact"/>
        <w:rPr>
          <w:sz w:val="20"/>
          <w:szCs w:val="20"/>
          <w:color w:val="auto"/>
        </w:rPr>
      </w:pPr>
    </w:p>
    <w:p>
      <w:pPr>
        <w:jc w:val="both"/>
        <w:ind w:firstLine="1272"/>
        <w:spacing w:after="0" w:line="217"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Subject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if the Grantee remains employed by the Company through the Vesting Date set forth above (the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xml:space="preserve">”), the RSUs shall vest in accordance with the vesting schedule set forth above. Except as otherwise provided herein, as soon as practicable (and no later than thirty (30) days after the Vesting Date (or such earlier vesting date in the event of a termination of employment as provided in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and in any case no later than March 15 of the calendar year following the applicable vesting date), a number of Shares equal to the number of vested RSUs shall be issued to the Grantee (or, if the Grantee has died, to his or her surviving spouse or, if none, to the Grantee’s estate)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 For purposes of this Agreement, employment with a Subsidiary of the Company or service as a member of the Board of Directors of the Company or a Subsidiary shall be considered employment with the Company.</w:t>
      </w:r>
    </w:p>
    <w:p>
      <w:pPr>
        <w:spacing w:after="0" w:line="155"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Termination of Employment Due to Death or Disability</w:t>
      </w:r>
      <w:r>
        <w:rPr>
          <w:rFonts w:ascii="Times New Roman" w:cs="Times New Roman" w:eastAsia="Times New Roman" w:hAnsi="Times New Roman"/>
          <w:sz w:val="21"/>
          <w:szCs w:val="21"/>
          <w:color w:val="auto"/>
        </w:rPr>
        <w:t xml:space="preserve">. If the Grantee’s employment is terminated by the Company as a result of death or Disability, the unvested RSUs shall fully vest immediately as of the Date of Termination, and a number of Shares equal to the number of such vested RSUs shall be issued to the Grantee (or the Grantee’s surviving spouse or estate) in the manner and at the time provided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Termination of Employment by the Company Without Cause or by the Grantee for Good Reason or Due to</w:t>
      </w:r>
    </w:p>
    <w:p>
      <w:pPr>
        <w:spacing w:after="0"/>
        <w:rPr>
          <w:sz w:val="20"/>
          <w:szCs w:val="20"/>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both"/>
        <w:ind w:firstLine="1908"/>
        <w:spacing w:after="0" w:line="222" w:lineRule="auto"/>
        <w:rPr>
          <w:sz w:val="20"/>
          <w:szCs w:val="20"/>
          <w:color w:val="auto"/>
        </w:rPr>
      </w:pPr>
      <w:r>
        <w:rPr>
          <w:rFonts w:ascii="Times New Roman" w:cs="Times New Roman" w:eastAsia="Times New Roman" w:hAnsi="Times New Roman"/>
          <w:sz w:val="21"/>
          <w:szCs w:val="21"/>
          <w:color w:val="auto"/>
        </w:rPr>
        <w:t>2.3.1 If the Grantee’s employment is terminated and such termination is (i) an involuntary termination by the Company without Cause (as defined herein), and the termination does not arise as a result of the Grantee’s death or Disability,</w:t>
      </w:r>
    </w:p>
    <w:p>
      <w:pPr>
        <w:spacing w:after="0" w:line="1" w:lineRule="exact"/>
        <w:rPr>
          <w:sz w:val="20"/>
          <w:szCs w:val="20"/>
          <w:color w:val="auto"/>
        </w:rPr>
      </w:pPr>
    </w:p>
    <w:p>
      <w:pPr>
        <w:jc w:val="both"/>
        <w:ind w:firstLine="6"/>
        <w:spacing w:after="0" w:line="224" w:lineRule="auto"/>
        <w:tabs>
          <w:tab w:leader="none" w:pos="33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termination by the Grantee for Good Reason (as defined herein), or (iii) a termination by the Grantee upon Retirement (as defined herein), the unvested RSUs shall fully vest immediately upon the Date of Termination, and a number of Shares equal to the number of such vested RSUs shall be issued to the Grantee in the manner and at the time provided under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firstLine="1908"/>
        <w:spacing w:after="0" w:line="222" w:lineRule="auto"/>
        <w:rPr>
          <w:sz w:val="20"/>
          <w:szCs w:val="20"/>
          <w:color w:val="auto"/>
        </w:rPr>
      </w:pPr>
      <w:r>
        <w:rPr>
          <w:rFonts w:ascii="Times New Roman" w:cs="Times New Roman" w:eastAsia="Times New Roman" w:hAnsi="Times New Roman"/>
          <w:sz w:val="21"/>
          <w:szCs w:val="21"/>
          <w:color w:val="auto"/>
        </w:rPr>
        <w:t xml:space="preserve">2.3.2 For purposes of this Agreement (except as otherwise provided in </w:t>
      </w:r>
      <w:r>
        <w:rPr>
          <w:rFonts w:ascii="Times New Roman" w:cs="Times New Roman" w:eastAsia="Times New Roman" w:hAnsi="Times New Roman"/>
          <w:sz w:val="21"/>
          <w:szCs w:val="21"/>
          <w:u w:val="single" w:color="auto"/>
          <w:color w:val="auto"/>
        </w:rPr>
        <w:t>Section 2.3.4</w:t>
      </w:r>
      <w:r>
        <w:rPr>
          <w:rFonts w:ascii="Times New Roman" w:cs="Times New Roman" w:eastAsia="Times New Roman" w:hAnsi="Times New Roman"/>
          <w:sz w:val="21"/>
          <w:szCs w:val="21"/>
          <w:color w:val="auto"/>
        </w:rPr>
        <w:t>), (i) on or after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have the meaning set forth in the Plan (without regard to the last sentence thereof), and</w:t>
      </w:r>
    </w:p>
    <w:p>
      <w:pPr>
        <w:spacing w:after="0" w:line="1" w:lineRule="exact"/>
        <w:rPr>
          <w:sz w:val="20"/>
          <w:szCs w:val="20"/>
          <w:color w:val="auto"/>
        </w:rPr>
      </w:pPr>
    </w:p>
    <w:p>
      <w:pPr>
        <w:jc w:val="both"/>
        <w:ind w:firstLine="6"/>
        <w:spacing w:after="0" w:line="210" w:lineRule="auto"/>
        <w:tabs>
          <w:tab w:leader="none" w:pos="32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shall mean (a) the Grantee’s continued intentional failure or refusal to perform substantially the Grantee’s assigned duties (other than as a result of total or partial mental or physical incapacity); (b) the Grantee’s engagement in willful misconduct, including without limitation, fraud, embezzlement, theft or dishonesty, in the course of the Grantee’s employment with the Company; (c) the Grantee’s conviction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 crime (other than a felony) that involves moral turpitude or a breach of trust or fiduciary duty owed to the Company or any of its affiliates;</w:t>
      </w:r>
    </w:p>
    <w:p>
      <w:pPr>
        <w:spacing w:after="0" w:line="3" w:lineRule="exact"/>
        <w:rPr>
          <w:rFonts w:ascii="Times New Roman" w:cs="Times New Roman" w:eastAsia="Times New Roman" w:hAnsi="Times New Roman"/>
          <w:sz w:val="21"/>
          <w:szCs w:val="21"/>
          <w:color w:val="auto"/>
        </w:rPr>
      </w:pPr>
    </w:p>
    <w:p>
      <w:pPr>
        <w:ind w:firstLine="6"/>
        <w:spacing w:after="0" w:line="231" w:lineRule="auto"/>
        <w:tabs>
          <w:tab w:leader="none" w:pos="32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of the restrictive covenants applicable to the Grantee, including those set forth in this Agreement; or (e) a material breach of the Company’s Code of Conduct or another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1" w:right="339" w:bottom="1440" w:gutter="0" w:footer="0" w:header="0"/>
        </w:sectPr>
      </w:pPr>
    </w:p>
    <w:bookmarkStart w:id="150" w:name="page151"/>
    <w:bookmarkEnd w:id="150"/>
    <w:p>
      <w:pPr>
        <w:jc w:val="both"/>
        <w:spacing w:after="0" w:line="245" w:lineRule="auto"/>
        <w:rPr>
          <w:sz w:val="20"/>
          <w:szCs w:val="20"/>
          <w:color w:val="auto"/>
        </w:rPr>
      </w:pPr>
      <w:r>
        <w:rPr>
          <w:rFonts w:ascii="Times New Roman" w:cs="Times New Roman" w:eastAsia="Times New Roman" w:hAnsi="Times New Roman"/>
          <w:sz w:val="21"/>
          <w:szCs w:val="21"/>
          <w:color w:val="auto"/>
        </w:rPr>
        <w:t>written policy of the Company applicable to the Grantee, that does, or could reasonably be expected to, result in material harm to the Company, including reputational harm.</w:t>
      </w:r>
    </w:p>
    <w:p>
      <w:pPr>
        <w:spacing w:after="0" w:line="139" w:lineRule="exact"/>
        <w:rPr>
          <w:sz w:val="20"/>
          <w:szCs w:val="20"/>
          <w:color w:val="auto"/>
        </w:rPr>
      </w:pPr>
    </w:p>
    <w:p>
      <w:pPr>
        <w:jc w:val="both"/>
        <w:ind w:firstLine="1908"/>
        <w:spacing w:after="0" w:line="233" w:lineRule="auto"/>
        <w:rPr>
          <w:sz w:val="20"/>
          <w:szCs w:val="20"/>
          <w:color w:val="auto"/>
        </w:rPr>
      </w:pPr>
      <w:r>
        <w:rPr>
          <w:rFonts w:ascii="Times New Roman" w:cs="Times New Roman" w:eastAsia="Times New Roman" w:hAnsi="Times New Roman"/>
          <w:sz w:val="21"/>
          <w:szCs w:val="21"/>
          <w:color w:val="auto"/>
        </w:rPr>
        <w:t xml:space="preserve">2.3.3 For purposes of this Agreement (except as otherwise provided in </w:t>
      </w:r>
      <w:r>
        <w:rPr>
          <w:rFonts w:ascii="Times New Roman" w:cs="Times New Roman" w:eastAsia="Times New Roman" w:hAnsi="Times New Roman"/>
          <w:sz w:val="21"/>
          <w:szCs w:val="21"/>
          <w:u w:val="single" w:color="auto"/>
          <w:color w:val="auto"/>
        </w:rPr>
        <w:t>Section 2.3.4</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termination by the Grantee of the Grantee’s employment shall mean the occurrence (without the Grantee’s express written consent) of any one of the following acts by the Company:</w:t>
      </w:r>
    </w:p>
    <w:p>
      <w:pPr>
        <w:spacing w:after="0" w:line="149" w:lineRule="exact"/>
        <w:rPr>
          <w:sz w:val="20"/>
          <w:szCs w:val="20"/>
          <w:color w:val="auto"/>
        </w:rPr>
      </w:pPr>
    </w:p>
    <w:p>
      <w:pPr>
        <w:ind w:left="1920" w:hanging="642"/>
        <w:spacing w:after="0"/>
        <w:tabs>
          <w:tab w:leader="none" w:pos="192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reduction in the Grantee’s responsibilities at the Company;</w:t>
      </w:r>
    </w:p>
    <w:p>
      <w:pPr>
        <w:spacing w:after="0" w:line="182" w:lineRule="exact"/>
        <w:rPr>
          <w:rFonts w:ascii="Times New Roman" w:cs="Times New Roman" w:eastAsia="Times New Roman" w:hAnsi="Times New Roman"/>
          <w:sz w:val="21"/>
          <w:szCs w:val="21"/>
          <w:color w:val="auto"/>
        </w:rPr>
      </w:pPr>
    </w:p>
    <w:p>
      <w:pPr>
        <w:jc w:val="both"/>
        <w:ind w:left="640" w:firstLine="638"/>
        <w:spacing w:after="0" w:line="232" w:lineRule="auto"/>
        <w:tabs>
          <w:tab w:leader="none" w:pos="190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required relocation of the Grantee’s employment to a primary worksite location that is more than thirty-five (35) miles from the Grantee’s primary worksite location and increases the distance between the Grantee’s home location and primary worksite location by more than thirty-five (35) miles;</w:t>
      </w:r>
    </w:p>
    <w:p>
      <w:pPr>
        <w:spacing w:after="0" w:line="147" w:lineRule="exact"/>
        <w:rPr>
          <w:rFonts w:ascii="Times New Roman" w:cs="Times New Roman" w:eastAsia="Times New Roman" w:hAnsi="Times New Roman"/>
          <w:sz w:val="21"/>
          <w:szCs w:val="21"/>
          <w:color w:val="auto"/>
        </w:rPr>
      </w:pPr>
    </w:p>
    <w:p>
      <w:pPr>
        <w:ind w:left="640" w:firstLine="638"/>
        <w:spacing w:after="0" w:line="245" w:lineRule="auto"/>
        <w:tabs>
          <w:tab w:leader="none" w:pos="19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Grantee’s base salary (other than a temporary reduction in connection with a specific circumstance that is consistently applied to other similarly situated executives of the Company); or</w:t>
      </w:r>
    </w:p>
    <w:p>
      <w:pPr>
        <w:spacing w:after="0" w:line="142" w:lineRule="exact"/>
        <w:rPr>
          <w:rFonts w:ascii="Times New Roman" w:cs="Times New Roman" w:eastAsia="Times New Roman" w:hAnsi="Times New Roman"/>
          <w:sz w:val="21"/>
          <w:szCs w:val="21"/>
          <w:color w:val="auto"/>
        </w:rPr>
      </w:pPr>
    </w:p>
    <w:p>
      <w:pPr>
        <w:jc w:val="both"/>
        <w:ind w:left="640" w:firstLine="638"/>
        <w:spacing w:after="0" w:line="232" w:lineRule="auto"/>
        <w:tabs>
          <w:tab w:leader="none" w:pos="190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Grantee’s target annual incentive compensation opportunity or target long-term incentive compensation opportunity (other than a reduction in connection with a change to the incentive compensation program of the Company that is consistently applied to other similarly situated executives of the Company).</w:t>
      </w:r>
    </w:p>
    <w:p>
      <w:pPr>
        <w:spacing w:after="0" w:line="17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2.3.4 The Grantee must give the Company notice of any event or condition that would constitute Good Reason within ninety (90) days of the initial existence of the event or condition, and upon receipt of such notice, the Company shall have thirty (30) days to remedy such event or condition. If such event or condition is not remedied within such thirty (30)-day period, any termination of employment by the Grantee for Good Reason must occur, if at all, within six (6) months of the Grantee learning of the initial existence of the condition or event in order for such termination as a result of such condition to constitute a termination for Good Reason.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150" w:lineRule="exact"/>
        <w:rPr>
          <w:sz w:val="20"/>
          <w:szCs w:val="20"/>
          <w:color w:val="auto"/>
        </w:rPr>
      </w:pPr>
    </w:p>
    <w:p>
      <w:pPr>
        <w:jc w:val="both"/>
        <w:ind w:firstLine="1908"/>
        <w:spacing w:after="0"/>
        <w:rPr>
          <w:sz w:val="20"/>
          <w:szCs w:val="20"/>
          <w:color w:val="auto"/>
        </w:rPr>
      </w:pPr>
      <w:r>
        <w:rPr>
          <w:rFonts w:ascii="Times New Roman" w:cs="Times New Roman" w:eastAsia="Times New Roman" w:hAnsi="Times New Roman"/>
          <w:sz w:val="21"/>
          <w:szCs w:val="21"/>
          <w:color w:val="auto"/>
        </w:rPr>
        <w:t xml:space="preserve">2.3.5 Notwithstanding anything contained herein to the contrary, if the Grantee has entered into an employment or similar agreement that applies prior to a Change in Control (or a term of similar meaning) or a severance or similar agreement that applies on or after a Change in Control (or a term of similar meaning) and, if such agreement defines “Good Reason,” and/or provides procedures and/or standards for determining whether Cause or Good Reason exists, such definition of Good Reason and the procedures and/or standards for determining the existence of Cause or Good Reason, as applicable, shall apply as if set forth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such an agreement that applies on or after a Change in Control (or a term of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151" w:name="page152"/>
    <w:bookmarkEnd w:id="151"/>
    <w:p>
      <w:pPr>
        <w:jc w:val="both"/>
        <w:spacing w:after="0"/>
        <w:rPr>
          <w:sz w:val="20"/>
          <w:szCs w:val="20"/>
          <w:color w:val="auto"/>
        </w:rPr>
      </w:pPr>
      <w:r>
        <w:rPr>
          <w:rFonts w:ascii="Times New Roman" w:cs="Times New Roman" w:eastAsia="Times New Roman" w:hAnsi="Times New Roman"/>
          <w:sz w:val="21"/>
          <w:szCs w:val="21"/>
          <w:color w:val="auto"/>
        </w:rPr>
        <w:t xml:space="preserve">meaning) such alternative definitions and procedures and/or standards, as applicable, shall apply with respect to the applicable period under such agreement from and after a Change in Control (or a term of similar meaning). Notwithstanding anything contained herein to the contrary, nothing herein shall limit the right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of certain determinations as provided in Section 3.5 of the Plan.</w:t>
      </w:r>
    </w:p>
    <w:p>
      <w:pPr>
        <w:spacing w:after="0" w:line="332" w:lineRule="exact"/>
        <w:rPr>
          <w:sz w:val="20"/>
          <w:szCs w:val="20"/>
          <w:color w:val="auto"/>
        </w:rPr>
      </w:pPr>
    </w:p>
    <w:p>
      <w:pPr>
        <w:jc w:val="both"/>
        <w:ind w:firstLine="1908"/>
        <w:spacing w:after="0" w:line="227" w:lineRule="auto"/>
        <w:rPr>
          <w:sz w:val="20"/>
          <w:szCs w:val="20"/>
          <w:color w:val="auto"/>
        </w:rPr>
      </w:pPr>
      <w:r>
        <w:rPr>
          <w:rFonts w:ascii="Times New Roman" w:cs="Times New Roman" w:eastAsia="Times New Roman" w:hAnsi="Times New Roman"/>
          <w:sz w:val="21"/>
          <w:szCs w:val="21"/>
          <w:color w:val="auto"/>
        </w:rPr>
        <w:t>2.3.6 “</w:t>
      </w:r>
      <w:r>
        <w:rPr>
          <w:rFonts w:ascii="Times New Roman" w:cs="Times New Roman" w:eastAsia="Times New Roman" w:hAnsi="Times New Roman"/>
          <w:sz w:val="21"/>
          <w:szCs w:val="21"/>
          <w:b w:val="1"/>
          <w:bCs w:val="1"/>
          <w:i w:val="1"/>
          <w:iCs w:val="1"/>
          <w:color w:val="auto"/>
        </w:rPr>
        <w:t>Retirement</w:t>
      </w:r>
      <w:r>
        <w:rPr>
          <w:rFonts w:ascii="Times New Roman" w:cs="Times New Roman" w:eastAsia="Times New Roman" w:hAnsi="Times New Roman"/>
          <w:sz w:val="21"/>
          <w:szCs w:val="21"/>
          <w:color w:val="auto"/>
        </w:rPr>
        <w:t>” shall mean a termination of employment with the Company and each subsidiary of the Company upon or after the Grantee attaining age 67 upon at least thirty (30) days’ written notice to the Company stating that Grantee is retiring and specifying the last day of employment, which shall be thirty (30) days after the Company’s receipt of such notice or such later or earlier date as agreed between the Grantee and the Company.</w:t>
      </w:r>
    </w:p>
    <w:p>
      <w:pPr>
        <w:spacing w:after="0" w:line="150"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Termination of Employment for Other Reasons</w:t>
      </w:r>
      <w:r>
        <w:rPr>
          <w:rFonts w:ascii="Times New Roman" w:cs="Times New Roman" w:eastAsia="Times New Roman" w:hAnsi="Times New Roman"/>
          <w:sz w:val="21"/>
          <w:szCs w:val="21"/>
          <w:color w:val="auto"/>
        </w:rPr>
        <w:t xml:space="preserve">. If the Grantee’s employment is terminated by the Company or by the Grantee prior to the Vesting Date for any reason other than as set forth in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the outstanding unvested RSUs shall immediately be forfeited as of the Date of Termination.</w:t>
      </w:r>
    </w:p>
    <w:p>
      <w:pPr>
        <w:spacing w:after="0" w:line="148"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The RSUs may not be sold, assigned, transferred, pledged, or otherwise encumbered prior to the date the Grantee becomes vested in the RSUs and the Shares are issued.</w:t>
      </w:r>
    </w:p>
    <w:p>
      <w:pPr>
        <w:spacing w:after="0" w:line="143"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 To the extent applicable, this Agreement shall at all times be interpreted and operated in compliance with the requirements of Section 409A of the Code and the standards, regulations or other guidance promulgated thereunder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To the extent required under the provisions of Section 409A to avoid the imposition of additional income and other taxes, the provisions of Section 11.2(b) of the Plan shall apply to the RSUs. For purposes of this Agreement, termination of employment shall be construed consistent with the meaning of a separation from service within the meaning of Section 409A and to the extent required under the provisions of Section 409A to avoid the imposition of additional income and other taxes, the Date of Termination as used for purposes of the settlement of any vested RSUs shall not occur prior to the Grantee’s separation from service.</w:t>
      </w:r>
    </w:p>
    <w:p>
      <w:pPr>
        <w:spacing w:after="0" w:line="151" w:lineRule="exact"/>
        <w:rPr>
          <w:sz w:val="20"/>
          <w:szCs w:val="20"/>
          <w:color w:val="auto"/>
        </w:rPr>
      </w:pPr>
    </w:p>
    <w:p>
      <w:pPr>
        <w:ind w:left="1280" w:hanging="638"/>
        <w:spacing w:after="0"/>
        <w:tabs>
          <w:tab w:leader="none" w:pos="128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Shareholder; Dividends; Change in Capitalization; Deferral Rights</w:t>
      </w:r>
    </w:p>
    <w:p>
      <w:pPr>
        <w:spacing w:after="0" w:line="187"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3.1 The Grantee shall have no rights as a shareholder until such date as the Shares are delivered in settlement of vested RSUs; provided, however, that following the Date of Grant of the RSUs through the date that is the earlier of (i) the date that the RSUs are vested and Shares in settlement thereof are transferred to the Grantee pursuant to Section 2.1 or (ii) the date that the RSUs are forfeited, the Grantee shall be credited with dividend equivalents with respect to ordinary cash dividends (other than an extraordinary dividend for which an adjustment is made pursuant to Section 4.3(b) of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1" w:right="339" w:bottom="1440" w:gutter="0" w:footer="0" w:header="0"/>
        </w:sectPr>
      </w:pPr>
    </w:p>
    <w:bookmarkStart w:id="152" w:name="page153"/>
    <w:bookmarkEnd w:id="152"/>
    <w:p>
      <w:pPr>
        <w:jc w:val="both"/>
        <w:spacing w:after="0" w:line="226" w:lineRule="auto"/>
        <w:rPr>
          <w:sz w:val="20"/>
          <w:szCs w:val="20"/>
          <w:color w:val="auto"/>
        </w:rPr>
      </w:pPr>
      <w:r>
        <w:rPr>
          <w:rFonts w:ascii="Times New Roman" w:cs="Times New Roman" w:eastAsia="Times New Roman" w:hAnsi="Times New Roman"/>
          <w:sz w:val="21"/>
          <w:szCs w:val="21"/>
          <w:color w:val="auto"/>
        </w:rPr>
        <w:t>Plan) declared on the Shares represented by the RSU, which dividend equivalents shall vest or be forfeited on the same basis as applies to the underlying RSUs. Within thirty (30) days after a Vesting Date (or such earlier date on which the RSUs vest in accordance with the terms of this Agreement), the Grantee shall be paid in cash the dividend equivalents with respect to the vested RSUs to which the dividend equivalents relate, less applicable withholdings.</w:t>
      </w:r>
    </w:p>
    <w:p>
      <w:pPr>
        <w:spacing w:after="0" w:line="150"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3.2 In the event of a change in capitalization, the Committee shall make appropriate adjustments in accordance with Section 4.3 of the Plan to reflect the change in capitalization;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additional Shares or additional or different shares or securities reflected in any such adjustment shall remain subject to the restrictions in this Agreement.</w:t>
      </w:r>
    </w:p>
    <w:p>
      <w:pPr>
        <w:spacing w:after="0" w:line="148"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the federal or any state securities laws.</w:t>
      </w:r>
    </w:p>
    <w:p>
      <w:pPr>
        <w:spacing w:after="0" w:line="150" w:lineRule="exact"/>
        <w:rPr>
          <w:sz w:val="20"/>
          <w:szCs w:val="20"/>
          <w:color w:val="auto"/>
        </w:rPr>
      </w:pPr>
    </w:p>
    <w:p>
      <w:pPr>
        <w:jc w:val="both"/>
        <w:ind w:firstLine="1272"/>
        <w:spacing w:after="0"/>
        <w:rPr>
          <w:sz w:val="20"/>
          <w:szCs w:val="20"/>
          <w:color w:val="auto"/>
        </w:rPr>
      </w:pPr>
      <w:r>
        <w:rPr>
          <w:rFonts w:ascii="Times New Roman" w:cs="Times New Roman" w:eastAsia="Times New Roman" w:hAnsi="Times New Roman"/>
          <w:sz w:val="21"/>
          <w:szCs w:val="21"/>
          <w:color w:val="auto"/>
        </w:rPr>
        <w:t>3.4 To the extent the Grantee makes a valid and timely deferral election with respect to the Shares deliverable upon vesting of the RSUs consistent with Section 11.1 of the Plan, the terms of such election and any applicable deferred compensation plan shall govern the delivery of the Shares and accrued dividend equivalents in respect of vested RSUs subject to such election.</w:t>
      </w:r>
    </w:p>
    <w:p>
      <w:pPr>
        <w:spacing w:after="0" w:line="332" w:lineRule="exact"/>
        <w:rPr>
          <w:sz w:val="20"/>
          <w:szCs w:val="20"/>
          <w:color w:val="auto"/>
        </w:rPr>
      </w:pPr>
    </w:p>
    <w:p>
      <w:pPr>
        <w:ind w:left="1280" w:hanging="638"/>
        <w:spacing w:after="0"/>
        <w:tabs>
          <w:tab w:leader="none" w:pos="128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 to Continued Employment</w:t>
      </w:r>
    </w:p>
    <w:p>
      <w:pPr>
        <w:spacing w:after="0" w:line="213" w:lineRule="exact"/>
        <w:rPr>
          <w:sz w:val="20"/>
          <w:szCs w:val="20"/>
          <w:color w:val="auto"/>
        </w:rPr>
      </w:pPr>
    </w:p>
    <w:p>
      <w:pPr>
        <w:jc w:val="both"/>
        <w:ind w:firstLine="1272"/>
        <w:spacing w:after="0" w:line="266" w:lineRule="auto"/>
        <w:rPr>
          <w:sz w:val="20"/>
          <w:szCs w:val="20"/>
          <w:color w:val="auto"/>
        </w:rPr>
      </w:pPr>
      <w:r>
        <w:rPr>
          <w:rFonts w:ascii="Times New Roman" w:cs="Times New Roman" w:eastAsia="Times New Roman" w:hAnsi="Times New Roman"/>
          <w:sz w:val="21"/>
          <w:szCs w:val="21"/>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31" w:lineRule="exact"/>
        <w:rPr>
          <w:sz w:val="20"/>
          <w:szCs w:val="20"/>
          <w:color w:val="auto"/>
        </w:rPr>
      </w:pPr>
    </w:p>
    <w:p>
      <w:pPr>
        <w:ind w:left="1280" w:hanging="638"/>
        <w:spacing w:after="0"/>
        <w:tabs>
          <w:tab w:leader="none" w:pos="128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Taxes and Withholding</w:t>
      </w:r>
    </w:p>
    <w:p>
      <w:pPr>
        <w:spacing w:after="0" w:line="213" w:lineRule="exact"/>
        <w:rPr>
          <w:sz w:val="20"/>
          <w:szCs w:val="20"/>
          <w:color w:val="auto"/>
        </w:rPr>
      </w:pPr>
    </w:p>
    <w:p>
      <w:pPr>
        <w:jc w:val="both"/>
        <w:ind w:firstLine="1272"/>
        <w:spacing w:after="0" w:line="258" w:lineRule="auto"/>
        <w:rPr>
          <w:sz w:val="20"/>
          <w:szCs w:val="20"/>
          <w:color w:val="auto"/>
        </w:rPr>
      </w:pPr>
      <w:r>
        <w:rPr>
          <w:rFonts w:ascii="Times New Roman" w:cs="Times New Roman" w:eastAsia="Times New Roman" w:hAnsi="Times New Roman"/>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and any dividends or dividend equivalents in respect thereof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1" w:right="339" w:bottom="1440" w:gutter="0" w:footer="0" w:header="0"/>
        </w:sectPr>
      </w:pPr>
    </w:p>
    <w:bookmarkStart w:id="153" w:name="page154"/>
    <w:bookmarkEnd w:id="153"/>
    <w:p>
      <w:pPr>
        <w:jc w:val="both"/>
        <w:spacing w:after="0" w:line="266" w:lineRule="auto"/>
        <w:rPr>
          <w:sz w:val="20"/>
          <w:szCs w:val="20"/>
          <w:color w:val="auto"/>
        </w:rPr>
      </w:pPr>
      <w:r>
        <w:rPr>
          <w:rFonts w:ascii="Times New Roman" w:cs="Times New Roman" w:eastAsia="Times New Roman" w:hAnsi="Times New Roman"/>
          <w:sz w:val="21"/>
          <w:szCs w:val="21"/>
          <w:color w:val="auto"/>
        </w:rPr>
        <w:t>withhold any distribution in whole or in part until the Company is so reimbursed. In lieu thereof, the Company shall have the right to withhold from any other cash amounts due to the Grantee an amount equal to such taxes required to be withheld or to withhold and cancel (for the minimum required withholdings or such other amounts as will not result in adverse accounting treatment to the Company) (in whole or in part) a number of Shares having a Fair Market Value not less than the amount of such taxes.</w:t>
      </w:r>
    </w:p>
    <w:p>
      <w:pPr>
        <w:spacing w:after="0" w:line="131" w:lineRule="exact"/>
        <w:rPr>
          <w:sz w:val="20"/>
          <w:szCs w:val="20"/>
          <w:color w:val="auto"/>
        </w:rPr>
      </w:pPr>
    </w:p>
    <w:p>
      <w:pPr>
        <w:ind w:left="1280" w:hanging="638"/>
        <w:spacing w:after="0"/>
        <w:tabs>
          <w:tab w:leader="none" w:pos="128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Grantee Bound by the Plan</w:t>
      </w:r>
    </w:p>
    <w:p>
      <w:pPr>
        <w:spacing w:after="0" w:line="213" w:lineRule="exact"/>
        <w:rPr>
          <w:sz w:val="20"/>
          <w:szCs w:val="20"/>
          <w:color w:val="auto"/>
        </w:rPr>
      </w:pPr>
    </w:p>
    <w:p>
      <w:pPr>
        <w:ind w:firstLine="1272"/>
        <w:spacing w:after="0" w:line="285" w:lineRule="auto"/>
        <w:rPr>
          <w:sz w:val="20"/>
          <w:szCs w:val="20"/>
          <w:color w:val="auto"/>
        </w:rPr>
      </w:pPr>
      <w:r>
        <w:rPr>
          <w:rFonts w:ascii="Times New Roman" w:cs="Times New Roman" w:eastAsia="Times New Roman" w:hAnsi="Times New Roman"/>
          <w:sz w:val="21"/>
          <w:szCs w:val="21"/>
          <w:color w:val="auto"/>
        </w:rPr>
        <w:t>The Grantee hereby acknowledges receipt of a copy of the Plan and the prospectus for the Plan, and agrees to be bound by all the terms and provisions thereof.</w:t>
      </w:r>
    </w:p>
    <w:p>
      <w:pPr>
        <w:spacing w:after="0" w:line="111" w:lineRule="exact"/>
        <w:rPr>
          <w:sz w:val="20"/>
          <w:szCs w:val="20"/>
          <w:color w:val="auto"/>
        </w:rPr>
      </w:pPr>
    </w:p>
    <w:p>
      <w:pPr>
        <w:ind w:left="1280" w:hanging="638"/>
        <w:spacing w:after="0"/>
        <w:tabs>
          <w:tab w:leader="none" w:pos="128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Covenants</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7.1 In consideration for the grant of the RSUs, continued employment with the Company, and other good and valuable consideration, the Grantee agrees to the following:</w:t>
      </w:r>
    </w:p>
    <w:p>
      <w:pPr>
        <w:spacing w:after="0" w:line="143" w:lineRule="exact"/>
        <w:rPr>
          <w:sz w:val="20"/>
          <w:szCs w:val="20"/>
          <w:color w:val="auto"/>
        </w:rPr>
      </w:pPr>
    </w:p>
    <w:p>
      <w:pPr>
        <w:jc w:val="both"/>
        <w:ind w:left="640" w:firstLine="638"/>
        <w:spacing w:after="0" w:line="232" w:lineRule="auto"/>
        <w:tabs>
          <w:tab w:leader="none" w:pos="190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Grantee’s employment with the Company or any Subsidiary and for a one (1)-year period after the Date of Termination, the Grantee will not directly or indirectly, individually, or on behalf of any Person other than the Company or a Subsidiary:</w:t>
      </w:r>
    </w:p>
    <w:p>
      <w:pPr>
        <w:spacing w:after="0" w:line="174" w:lineRule="exact"/>
        <w:rPr>
          <w:rFonts w:ascii="Times New Roman" w:cs="Times New Roman" w:eastAsia="Times New Roman" w:hAnsi="Times New Roman"/>
          <w:sz w:val="21"/>
          <w:szCs w:val="21"/>
          <w:color w:val="auto"/>
        </w:rPr>
      </w:pPr>
    </w:p>
    <w:p>
      <w:pPr>
        <w:jc w:val="both"/>
        <w:ind w:left="1360" w:firstLine="554"/>
        <w:spacing w:after="0" w:line="274" w:lineRule="auto"/>
        <w:tabs>
          <w:tab w:leader="none" w:pos="254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attempt to solicit, any customers or Prospective Customers of the Company with whom Grantee had Material Contact for the purpose of providing products or services that are competitive with the Company’s Business;</w:t>
      </w:r>
    </w:p>
    <w:p>
      <w:pPr>
        <w:spacing w:after="0" w:line="153" w:lineRule="exact"/>
        <w:rPr>
          <w:rFonts w:ascii="Times New Roman" w:cs="Times New Roman" w:eastAsia="Times New Roman" w:hAnsi="Times New Roman"/>
          <w:sz w:val="21"/>
          <w:szCs w:val="21"/>
          <w:color w:val="auto"/>
        </w:rPr>
      </w:pPr>
    </w:p>
    <w:p>
      <w:pPr>
        <w:jc w:val="both"/>
        <w:ind w:left="1360" w:firstLine="554"/>
        <w:spacing w:after="0" w:line="255" w:lineRule="auto"/>
        <w:tabs>
          <w:tab w:leader="none" w:pos="255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recruit, solicit, or induce, or in any manner attempt to recruit, solicit, or induce, anywhere within the Territory any Person employed by the Company or any Subsidiary with whom Grantee had Material Contact or about whom Grantee received Confidential Information during the one (1) year period preceding the Date of Termination, to end his or her employment with the Company or any Subsidiary, whether or not such employment is pursuant to a written contract with the Company or any Subsidiary or is at will. “Territory” is defined as New Jersey, as well as any state in which the Company has a branch location, to include the following, North Carolina, South Carolina, Georgia, Tennessee, Florida, and Alabama. If Grantee had no such specifically assigned geographic territory, then “Territory” means: (i) the United States; and, (ii) the state and county where Grantee resides. Because of Grantee’s position with the Company, Grantee is presumed to have participated in the Company’s business and/or had Confidential Information about the Company’s business throughout the United States (including state and state-equivalents and county and county-equivalents therein). The Grantee will not be deemed to have violated this Section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7" w:right="339" w:bottom="1440" w:gutter="0" w:footer="0" w:header="0"/>
        </w:sectPr>
      </w:pPr>
    </w:p>
    <w:bookmarkStart w:id="154" w:name="page155"/>
    <w:bookmarkEnd w:id="154"/>
    <w:p>
      <w:pPr>
        <w:ind w:left="718"/>
        <w:spacing w:after="0" w:line="285" w:lineRule="auto"/>
        <w:rPr>
          <w:sz w:val="20"/>
          <w:szCs w:val="20"/>
          <w:color w:val="auto"/>
        </w:rPr>
      </w:pPr>
      <w:r>
        <w:rPr>
          <w:rFonts w:ascii="Times New Roman" w:cs="Times New Roman" w:eastAsia="Times New Roman" w:hAnsi="Times New Roman"/>
          <w:sz w:val="21"/>
          <w:szCs w:val="21"/>
          <w:color w:val="auto"/>
        </w:rPr>
        <w:t>employees respond to general advertisements for employment or if the Company provides prior written consent to the activities of the Grantee; or</w:t>
      </w:r>
    </w:p>
    <w:p>
      <w:pPr>
        <w:spacing w:after="0" w:line="142" w:lineRule="exact"/>
        <w:rPr>
          <w:sz w:val="20"/>
          <w:szCs w:val="20"/>
          <w:color w:val="auto"/>
        </w:rPr>
      </w:pPr>
    </w:p>
    <w:p>
      <w:pPr>
        <w:jc w:val="both"/>
        <w:ind w:left="718" w:firstLine="554"/>
        <w:spacing w:after="0" w:line="259" w:lineRule="auto"/>
        <w:tabs>
          <w:tab w:leader="none" w:pos="191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disparaging or derogatory statements, whether verbally, in writing, or in any other manner, about the Company that is intended to cause or that reasonably would be expected to cause a person to whom it is communicated to have a lowered opinion of the Company, including a lowered opinion of the services and products offered and provided by the Company or its business practices. Notwithstanding the foregoing, this Section shall not in any way limit Grantee’s ability to provide truthful testimony or information in response to a subpoena, court order, or valid request by a government agency, or as otherwise required or permitted by law.</w:t>
      </w:r>
    </w:p>
    <w:p>
      <w:pPr>
        <w:spacing w:after="0" w:line="158" w:lineRule="exact"/>
        <w:rPr>
          <w:rFonts w:ascii="Times New Roman" w:cs="Times New Roman" w:eastAsia="Times New Roman" w:hAnsi="Times New Roman"/>
          <w:sz w:val="21"/>
          <w:szCs w:val="21"/>
          <w:color w:val="auto"/>
        </w:rPr>
      </w:pPr>
    </w:p>
    <w:p>
      <w:pPr>
        <w:jc w:val="both"/>
        <w:ind w:left="-2" w:firstLine="638"/>
        <w:spacing w:after="0" w:line="232" w:lineRule="auto"/>
        <w:tabs>
          <w:tab w:leader="none" w:pos="126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147" w:lineRule="exact"/>
        <w:rPr>
          <w:rFonts w:ascii="Times New Roman" w:cs="Times New Roman" w:eastAsia="Times New Roman" w:hAnsi="Times New Roman"/>
          <w:sz w:val="21"/>
          <w:szCs w:val="21"/>
          <w:color w:val="auto"/>
        </w:rPr>
      </w:pPr>
    </w:p>
    <w:p>
      <w:pPr>
        <w:jc w:val="both"/>
        <w:ind w:left="-2" w:firstLine="638"/>
        <w:spacing w:after="0" w:line="226" w:lineRule="auto"/>
        <w:tabs>
          <w:tab w:leader="none" w:pos="1267"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or expiration of the Grantee’s employment with the Company for any reason whatsoever or at any time, the Grantee will immediately return to the Company all materials (including electronically stored materials), documents, plans, records, notes, or other papers, and any copies in the Grantee’s possession or control, relating in any way to the Company’s Business, which at all times shall be the property of the Company.</w:t>
      </w:r>
    </w:p>
    <w:p>
      <w:pPr>
        <w:spacing w:after="0" w:line="150" w:lineRule="exact"/>
        <w:rPr>
          <w:sz w:val="20"/>
          <w:szCs w:val="20"/>
          <w:color w:val="auto"/>
        </w:rPr>
      </w:pPr>
    </w:p>
    <w:p>
      <w:pPr>
        <w:ind w:left="638"/>
        <w:spacing w:after="0"/>
        <w:tabs>
          <w:tab w:leader="none" w:pos="1258"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color w:val="auto"/>
        </w:rPr>
        <w:t>For purposes of this Agreement, the following terms shall have the meanings specified below:</w:t>
      </w:r>
    </w:p>
    <w:p>
      <w:pPr>
        <w:spacing w:after="0" w:line="179" w:lineRule="exact"/>
        <w:rPr>
          <w:sz w:val="20"/>
          <w:szCs w:val="20"/>
          <w:color w:val="auto"/>
        </w:rPr>
      </w:pPr>
    </w:p>
    <w:p>
      <w:pPr>
        <w:jc w:val="both"/>
        <w:ind w:left="-2" w:firstLine="638"/>
        <w:spacing w:after="0" w:line="224" w:lineRule="auto"/>
        <w:tabs>
          <w:tab w:leader="none" w:pos="1267"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Company’s Business</w:t>
      </w:r>
      <w:r>
        <w:rPr>
          <w:rFonts w:ascii="Times New Roman" w:cs="Times New Roman" w:eastAsia="Times New Roman" w:hAnsi="Times New Roman"/>
          <w:sz w:val="21"/>
          <w:szCs w:val="21"/>
          <w:color w:val="auto"/>
        </w:rPr>
        <w:t>” means the unique and highly competitive business of the Company, which, as of the Effective Date, consists of banking and trust services, including the offering of commercial or consumer loans and extensions of credit, letters of credit, commercial and consumer deposits and deposit accounts, treasury management services, money transfer and bill payment services, internet or electronic banking, automated teller machines, IRA and retirement accounts, mortgage loans, home equity lines of credit, equipment financing, and financial advisory services.</w:t>
      </w:r>
    </w:p>
    <w:p>
      <w:pPr>
        <w:spacing w:after="0" w:line="145" w:lineRule="exact"/>
        <w:rPr>
          <w:rFonts w:ascii="Times New Roman" w:cs="Times New Roman" w:eastAsia="Times New Roman" w:hAnsi="Times New Roman"/>
          <w:sz w:val="21"/>
          <w:szCs w:val="21"/>
          <w:color w:val="auto"/>
        </w:rPr>
      </w:pPr>
    </w:p>
    <w:p>
      <w:pPr>
        <w:jc w:val="both"/>
        <w:ind w:left="-2" w:firstLine="638"/>
        <w:spacing w:after="0" w:line="217" w:lineRule="auto"/>
        <w:tabs>
          <w:tab w:leader="none" w:pos="1265"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Contact</w:t>
      </w:r>
      <w:r>
        <w:rPr>
          <w:rFonts w:ascii="Times New Roman" w:cs="Times New Roman" w:eastAsia="Times New Roman" w:hAnsi="Times New Roman"/>
          <w:sz w:val="21"/>
          <w:szCs w:val="21"/>
          <w:color w:val="auto"/>
        </w:rPr>
        <w:t>” means the contact between the Grantee and each existing employee, customer or Prospective Customer (a) with whom or which the Grantee dealt on behalf of the Company, (b) whose dealings with the Company were managed, coordinated, or supervised by the Grantee, (c) about whom the Grantee obtained Confidential Information or trade secrets in the ordinary course of business as a result of the Grantee’s association with the Company, or</w:t>
      </w:r>
    </w:p>
    <w:p>
      <w:pPr>
        <w:spacing w:after="0" w:line="2" w:lineRule="exact"/>
        <w:rPr>
          <w:rFonts w:ascii="Times New Roman" w:cs="Times New Roman" w:eastAsia="Times New Roman" w:hAnsi="Times New Roman"/>
          <w:sz w:val="21"/>
          <w:szCs w:val="21"/>
          <w:color w:val="auto"/>
        </w:rPr>
      </w:pPr>
    </w:p>
    <w:p>
      <w:pPr>
        <w:jc w:val="both"/>
        <w:ind w:left="-2" w:firstLine="2"/>
        <w:spacing w:after="0" w:line="224" w:lineRule="auto"/>
        <w:tabs>
          <w:tab w:leader="none" w:pos="33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 receives products or services authorized by the Company, the sale or provision of which results or resulted in compensation, commissions, or earnings for the Grantee within one (1) year prior to the end of the Grantee’s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598"/>
          </w:cols>
          <w:pgMar w:left="962" w:top="1398" w:right="339" w:bottom="1440" w:gutter="0" w:footer="0" w:header="0"/>
        </w:sectPr>
      </w:pPr>
    </w:p>
    <w:bookmarkStart w:id="155" w:name="page156"/>
    <w:bookmarkEnd w:id="155"/>
    <w:p>
      <w:pPr>
        <w:jc w:val="both"/>
        <w:ind w:left="640" w:firstLine="638"/>
        <w:spacing w:after="0" w:line="218" w:lineRule="auto"/>
        <w:tabs>
          <w:tab w:leader="none" w:pos="190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Grantee’s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w:t>
      </w:r>
    </w:p>
    <w:p>
      <w:pPr>
        <w:spacing w:after="0" w:line="145" w:lineRule="exact"/>
        <w:rPr>
          <w:rFonts w:ascii="Times New Roman" w:cs="Times New Roman" w:eastAsia="Times New Roman" w:hAnsi="Times New Roman"/>
          <w:sz w:val="21"/>
          <w:szCs w:val="21"/>
          <w:color w:val="auto"/>
        </w:rPr>
      </w:pPr>
    </w:p>
    <w:p>
      <w:pPr>
        <w:ind w:left="640" w:firstLine="638"/>
        <w:spacing w:after="0" w:line="249" w:lineRule="auto"/>
        <w:tabs>
          <w:tab w:leader="none" w:pos="190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Prospective Customer</w:t>
      </w:r>
      <w:r>
        <w:rPr>
          <w:rFonts w:ascii="Times New Roman" w:cs="Times New Roman" w:eastAsia="Times New Roman" w:hAnsi="Times New Roman"/>
          <w:sz w:val="21"/>
          <w:szCs w:val="21"/>
          <w:color w:val="auto"/>
        </w:rPr>
        <w:t>” means any Person who was actively and directly solicited by the Company during the one (1) year prior to the end of the Grantee’s employment with the Company.</w:t>
      </w:r>
    </w:p>
    <w:p>
      <w:pPr>
        <w:spacing w:after="0" w:line="134" w:lineRule="exact"/>
        <w:rPr>
          <w:rFonts w:ascii="Times New Roman" w:cs="Times New Roman" w:eastAsia="Times New Roman" w:hAnsi="Times New Roman"/>
          <w:sz w:val="21"/>
          <w:szCs w:val="21"/>
          <w:color w:val="auto"/>
        </w:rPr>
      </w:pPr>
    </w:p>
    <w:p>
      <w:pPr>
        <w:ind w:left="640" w:firstLine="638"/>
        <w:spacing w:after="0" w:line="249" w:lineRule="auto"/>
        <w:tabs>
          <w:tab w:leader="none" w:pos="190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Date of Termination</w:t>
      </w:r>
      <w:r>
        <w:rPr>
          <w:rFonts w:ascii="Times New Roman" w:cs="Times New Roman" w:eastAsia="Times New Roman" w:hAnsi="Times New Roman"/>
          <w:sz w:val="21"/>
          <w:szCs w:val="21"/>
          <w:color w:val="auto"/>
        </w:rPr>
        <w:t>” means the date upon which the Grantee’s employment with the Company or any Subsidiary ceases for any reason.</w:t>
      </w:r>
    </w:p>
    <w:p>
      <w:pPr>
        <w:spacing w:after="0" w:line="134" w:lineRule="exact"/>
        <w:rPr>
          <w:rFonts w:ascii="Times New Roman" w:cs="Times New Roman" w:eastAsia="Times New Roman" w:hAnsi="Times New Roman"/>
          <w:sz w:val="21"/>
          <w:szCs w:val="21"/>
          <w:color w:val="auto"/>
        </w:rPr>
      </w:pPr>
    </w:p>
    <w:p>
      <w:pPr>
        <w:ind w:left="640" w:firstLine="638"/>
        <w:spacing w:after="0" w:line="249" w:lineRule="auto"/>
        <w:tabs>
          <w:tab w:leader="none" w:pos="191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any individual, corporation, bank, partnership, joint venture, association, joint-stock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trust, unincorporated organization or other entity.</w:t>
      </w:r>
    </w:p>
    <w:p>
      <w:pPr>
        <w:spacing w:after="0" w:line="139"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 xml:space="preserve">7.3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then the Company shall be entitled to all remedies available in law or equity. In addition (and without limiting the foregoing),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the Committee shall, notwithstanding any other provision in this Agreement to the contrary, (i) cancel the outstanding RSUs that are not yet vested or with respect to which Shares have not yet been issued to the Grantee, and</w:t>
      </w:r>
    </w:p>
    <w:p>
      <w:pPr>
        <w:spacing w:after="0" w:line="3" w:lineRule="exact"/>
        <w:rPr>
          <w:sz w:val="20"/>
          <w:szCs w:val="20"/>
          <w:color w:val="auto"/>
        </w:rPr>
      </w:pPr>
    </w:p>
    <w:p>
      <w:pPr>
        <w:jc w:val="both"/>
        <w:ind w:firstLine="6"/>
        <w:spacing w:after="0" w:line="224" w:lineRule="auto"/>
        <w:tabs>
          <w:tab w:leader="none" w:pos="31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the Grantee to return to the Company any Shares issued to the Grantee pursuant to vesting of the RSUs (or to pay to the Company the greater of the then-current value of any such Shares or the value of the shares as of the applicable Vesting Date) that occurred (or will occur) during the period six (6) months prior to and one (1) year after the Date of Termination.</w:t>
      </w:r>
    </w:p>
    <w:p>
      <w:pPr>
        <w:spacing w:after="0" w:line="148" w:lineRule="exact"/>
        <w:rPr>
          <w:sz w:val="20"/>
          <w:szCs w:val="20"/>
          <w:color w:val="auto"/>
        </w:rPr>
      </w:pPr>
    </w:p>
    <w:p>
      <w:pPr>
        <w:jc w:val="both"/>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7.4 The Grantee acknowledges and agrees that the provisions of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and that these covenants do not pose an undue hardship on the Grantee. The Grantee further acknowledges that the Grantee’s breach of any of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would likely cause irreparable injury to the Company, and therefore entitles the Company to injunctive relief, in addition to any other remedies available in law or equity.</w:t>
      </w:r>
    </w:p>
    <w:p>
      <w:pPr>
        <w:spacing w:after="0" w:line="153"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7.5 The Defend Trade Secrets Act (18 U.S.C. § 1833(b)) states: “An individual shall not be held criminally or civilly liable under any federal or state trade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7" w:right="339" w:bottom="1440" w:gutter="0" w:footer="0" w:header="0"/>
        </w:sectPr>
      </w:pPr>
    </w:p>
    <w:bookmarkStart w:id="156" w:name="page157"/>
    <w:bookmarkEnd w:id="156"/>
    <w:p>
      <w:pPr>
        <w:spacing w:after="0" w:line="222" w:lineRule="auto"/>
        <w:rPr>
          <w:sz w:val="20"/>
          <w:szCs w:val="20"/>
          <w:color w:val="auto"/>
        </w:rPr>
      </w:pPr>
      <w:r>
        <w:rPr>
          <w:rFonts w:ascii="Times New Roman" w:cs="Times New Roman" w:eastAsia="Times New Roman" w:hAnsi="Times New Roman"/>
          <w:sz w:val="21"/>
          <w:szCs w:val="21"/>
          <w:color w:val="auto"/>
        </w:rPr>
        <w:t>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1" w:lineRule="exact"/>
        <w:rPr>
          <w:sz w:val="20"/>
          <w:szCs w:val="20"/>
          <w:color w:val="auto"/>
        </w:rPr>
      </w:pPr>
    </w:p>
    <w:p>
      <w:pPr>
        <w:jc w:val="both"/>
        <w:ind w:firstLine="6"/>
        <w:spacing w:after="0" w:line="214" w:lineRule="auto"/>
        <w:tabs>
          <w:tab w:leader="none" w:pos="33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In addition, nothing in this Agreement, the Plan or any other agreement with or policy of the Company shall or does impair the Grantee’s rights under the whistleblower provisions of any applicable federal law or regulation, including the right to communicate and cooperate with, or provide Confidential Information about the Company to, the U.S. Securities and Exchange Commission as provided for under Section 21F of the Exchange Act, without notifying the Company, or, for the avoidance of doubt, limit the Grantee’s right to receive an award for the information provided to any government authority under any such law or regulation.</w:t>
      </w:r>
    </w:p>
    <w:p>
      <w:pPr>
        <w:spacing w:after="0" w:line="173"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Modification of Agreement; Severability</w:t>
      </w:r>
    </w:p>
    <w:p>
      <w:pPr>
        <w:spacing w:after="0" w:line="226"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68" w:lineRule="exact"/>
        <w:rPr>
          <w:sz w:val="20"/>
          <w:szCs w:val="20"/>
          <w:color w:val="auto"/>
        </w:rPr>
      </w:pPr>
    </w:p>
    <w:p>
      <w:pPr>
        <w:ind w:left="1280" w:hanging="638"/>
        <w:spacing w:after="0"/>
        <w:tabs>
          <w:tab w:leader="none" w:pos="128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and Forum</w:t>
      </w:r>
    </w:p>
    <w:p>
      <w:pPr>
        <w:spacing w:after="0" w:line="240"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64" w:lineRule="exact"/>
        <w:rPr>
          <w:sz w:val="20"/>
          <w:szCs w:val="20"/>
          <w:color w:val="auto"/>
        </w:rPr>
      </w:pPr>
    </w:p>
    <w:p>
      <w:pPr>
        <w:ind w:left="1280" w:hanging="638"/>
        <w:spacing w:after="0"/>
        <w:tabs>
          <w:tab w:leader="none" w:pos="128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 in Interest</w:t>
      </w:r>
    </w:p>
    <w:p>
      <w:pPr>
        <w:spacing w:after="0" w:line="240" w:lineRule="exact"/>
        <w:rPr>
          <w:sz w:val="20"/>
          <w:szCs w:val="20"/>
          <w:color w:val="auto"/>
        </w:rPr>
      </w:pPr>
    </w:p>
    <w:p>
      <w:pPr>
        <w:jc w:val="both"/>
        <w:ind w:firstLine="1272"/>
        <w:spacing w:after="0" w:line="267"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1" w:right="339" w:bottom="1440" w:gutter="0" w:footer="0" w:header="0"/>
        </w:sectPr>
      </w:pPr>
    </w:p>
    <w:bookmarkStart w:id="157" w:name="page158"/>
    <w:bookmarkEnd w:id="157"/>
    <w:p>
      <w:pPr>
        <w:spacing w:after="0" w:line="285" w:lineRule="auto"/>
        <w:rPr>
          <w:sz w:val="20"/>
          <w:szCs w:val="20"/>
          <w:color w:val="auto"/>
        </w:rPr>
      </w:pPr>
      <w:r>
        <w:rPr>
          <w:rFonts w:ascii="Times New Roman" w:cs="Times New Roman" w:eastAsia="Times New Roman" w:hAnsi="Times New Roman"/>
          <w:sz w:val="21"/>
          <w:szCs w:val="21"/>
          <w:color w:val="auto"/>
        </w:rPr>
        <w:t>rights granted to the Company under this Agreement shall be final, binding, and conclusive upon the Grantee’s heirs, executors, administrators, and successors.</w:t>
      </w:r>
    </w:p>
    <w:p>
      <w:pPr>
        <w:spacing w:after="0" w:line="138" w:lineRule="exact"/>
        <w:rPr>
          <w:sz w:val="20"/>
          <w:szCs w:val="20"/>
          <w:color w:val="auto"/>
        </w:rPr>
      </w:pPr>
    </w:p>
    <w:p>
      <w:pPr>
        <w:ind w:left="1260" w:hanging="618"/>
        <w:spacing w:after="0"/>
        <w:tabs>
          <w:tab w:leader="none" w:pos="126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w:t>
      </w:r>
    </w:p>
    <w:p>
      <w:pPr>
        <w:spacing w:after="0" w:line="240" w:lineRule="exact"/>
        <w:rPr>
          <w:sz w:val="20"/>
          <w:szCs w:val="20"/>
          <w:color w:val="auto"/>
        </w:rPr>
      </w:pPr>
    </w:p>
    <w:p>
      <w:pPr>
        <w:jc w:val="both"/>
        <w:ind w:firstLine="1272"/>
        <w:spacing w:after="0" w:line="261" w:lineRule="auto"/>
        <w:rPr>
          <w:sz w:val="20"/>
          <w:szCs w:val="20"/>
          <w:color w:val="auto"/>
        </w:rPr>
      </w:pPr>
      <w:r>
        <w:rPr>
          <w:rFonts w:ascii="Times New Roman" w:cs="Times New Roman" w:eastAsia="Times New Roman" w:hAnsi="Times New Roman"/>
          <w:sz w:val="21"/>
          <w:szCs w:val="21"/>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65" w:lineRule="exact"/>
        <w:rPr>
          <w:sz w:val="20"/>
          <w:szCs w:val="20"/>
          <w:color w:val="auto"/>
        </w:rPr>
      </w:pPr>
    </w:p>
    <w:p>
      <w:pPr>
        <w:ind w:left="1280" w:hanging="638"/>
        <w:spacing w:after="0"/>
        <w:tabs>
          <w:tab w:leader="none" w:pos="128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Resolution of Disputes</w:t>
      </w:r>
    </w:p>
    <w:p>
      <w:pPr>
        <w:spacing w:after="0" w:line="240"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 or application of this Agreement and the Plan shall be determined by the Committee. Except as otherwise provided in Section 3.5 of the Plan with respect to certain determinations following a Change in Control, any determination made by the Committee shall be final, binding, and conclusive on the Grantee and the Company and their successors, assigns, heirs, executors, administrators, and legal representatives for all purposes.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7" w:right="339" w:bottom="1440" w:gutter="0" w:footer="0" w:header="0"/>
        </w:sectPr>
      </w:pPr>
    </w:p>
    <w:bookmarkStart w:id="158" w:name="page159"/>
    <w:bookmarkEnd w:id="158"/>
    <w:p>
      <w:pPr>
        <w:ind w:lef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7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200" w:lineRule="exact"/>
        <w:rPr>
          <w:sz w:val="20"/>
          <w:szCs w:val="20"/>
          <w:color w:val="auto"/>
        </w:rPr>
      </w:pPr>
    </w:p>
    <w:p>
      <w:pPr>
        <w:spacing w:after="0" w:line="35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-151130</wp:posOffset>
            </wp:positionV>
            <wp:extent cx="18173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16510</wp:posOffset>
            </wp:positionV>
            <wp:extent cx="18173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-151130</wp:posOffset>
            </wp:positionV>
            <wp:extent cx="18173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By accepting this Agreement, the Grantee hereby accepts the RSU grant subject to all its terms and provisions and agrees to be bound by the terms and provisions of this Agreement, including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and the Plan. Except as otherwise provided under Section 3.5 of the Plan with respect to certain determinations following a Change in Control,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By accepting this Agreement, the Grantee hereby consents to the holding and processing of personal data provided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Grantee to the Company for all purposes necessary for the operation of the Plan. These include, but are not limited to:</w:t>
      </w:r>
    </w:p>
    <w:p>
      <w:pPr>
        <w:ind w:left="1920" w:hanging="642"/>
        <w:spacing w:after="0" w:line="210" w:lineRule="auto"/>
        <w:tabs>
          <w:tab w:leader="none" w:pos="19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administering and maintaining Plan records;</w:t>
      </w:r>
    </w:p>
    <w:p>
      <w:pPr>
        <w:ind w:left="1900" w:hanging="622"/>
        <w:spacing w:after="0" w:line="210" w:lineRule="auto"/>
        <w:tabs>
          <w:tab w:leader="none" w:pos="190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any registrars, brokers, or third-party administrators of the Plan; and</w:t>
      </w:r>
    </w:p>
    <w:p>
      <w:pPr>
        <w:ind w:left="1920" w:hanging="642"/>
        <w:spacing w:after="0"/>
        <w:tabs>
          <w:tab w:leader="none" w:pos="19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future purchasers of the Company or the business in which the Grantee works.</w:t>
      </w:r>
    </w:p>
    <w:p>
      <w:pPr>
        <w:spacing w:after="0" w:line="7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5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Signature:</w:t>
      </w:r>
    </w:p>
    <w:p>
      <w:pPr>
        <w:spacing w:after="0" w:line="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-132715</wp:posOffset>
            </wp:positionV>
            <wp:extent cx="23812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-132715</wp:posOffset>
            </wp:positionV>
            <wp:extent cx="23812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238125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26670</wp:posOffset>
            </wp:positionV>
            <wp:extent cx="23812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4" w:right="33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10"/>
        </w:trPr>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19</w:t>
            </w:r>
          </w:p>
        </w:tc>
      </w:tr>
      <w:tr>
        <w:trPr>
          <w:trHeight w:val="787"/>
        </w:trPr>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564"/>
        </w:trPr>
        <w:tc>
          <w:tcPr>
            <w:tcW w:w="200" w:type="dxa"/>
            <w:vAlign w:val="bottom"/>
            <w:tcBorders>
              <w:left w:val="single" w:sz="8" w:color="auto"/>
            </w:tcBorders>
            <w:shd w:val="clear" w:color="auto" w:fill="002060"/>
          </w:tcPr>
          <w:p>
            <w:pPr>
              <w:spacing w:after="0"/>
              <w:rPr>
                <w:sz w:val="24"/>
                <w:szCs w:val="24"/>
                <w:color w:val="auto"/>
              </w:rPr>
            </w:pPr>
          </w:p>
        </w:tc>
        <w:tc>
          <w:tcPr>
            <w:tcW w:w="140" w:type="dxa"/>
            <w:vAlign w:val="bottom"/>
            <w:shd w:val="clear" w:color="auto" w:fill="002060"/>
          </w:tcPr>
          <w:p>
            <w:pPr>
              <w:spacing w:after="0"/>
              <w:rPr>
                <w:sz w:val="24"/>
                <w:szCs w:val="24"/>
                <w:color w:val="auto"/>
              </w:rPr>
            </w:pPr>
          </w:p>
        </w:tc>
        <w:tc>
          <w:tcPr>
            <w:tcW w:w="3000" w:type="dxa"/>
            <w:vAlign w:val="bottom"/>
            <w:tcBorders>
              <w:right w:val="single" w:sz="8" w:color="002060"/>
            </w:tcBorders>
            <w:shd w:val="clear" w:color="auto" w:fill="002060"/>
          </w:tcPr>
          <w:p>
            <w:pPr>
              <w:spacing w:after="0"/>
              <w:rPr>
                <w:sz w:val="24"/>
                <w:szCs w:val="24"/>
                <w:color w:val="auto"/>
              </w:rPr>
            </w:pPr>
          </w:p>
        </w:tc>
        <w:tc>
          <w:tcPr>
            <w:tcW w:w="5480" w:type="dxa"/>
            <w:vAlign w:val="bottom"/>
            <w:tcBorders>
              <w:right w:val="single" w:sz="8" w:color="002060"/>
            </w:tcBorders>
            <w:shd w:val="clear" w:color="auto" w:fill="002060"/>
          </w:tcPr>
          <w:p>
            <w:pPr>
              <w:ind w:left="40"/>
              <w:spacing w:after="0"/>
              <w:rPr>
                <w:sz w:val="20"/>
                <w:szCs w:val="20"/>
                <w:color w:val="auto"/>
              </w:rPr>
            </w:pPr>
            <w:r>
              <w:rPr>
                <w:rFonts w:ascii="Times New Roman" w:cs="Times New Roman" w:eastAsia="Times New Roman" w:hAnsi="Times New Roman"/>
                <w:sz w:val="18"/>
                <w:szCs w:val="18"/>
                <w:b w:val="1"/>
                <w:bCs w:val="1"/>
                <w:color w:val="FFFFFF"/>
              </w:rPr>
              <w:t>United Community Banks, Inc.</w:t>
            </w:r>
          </w:p>
        </w:tc>
        <w:tc>
          <w:tcPr>
            <w:tcW w:w="1660" w:type="dxa"/>
            <w:vAlign w:val="bottom"/>
            <w:tcBorders>
              <w:right w:val="single" w:sz="8" w:color="002060"/>
            </w:tcBorders>
            <w:shd w:val="clear" w:color="auto" w:fill="002060"/>
          </w:tcPr>
          <w:p>
            <w:pPr>
              <w:spacing w:after="0"/>
              <w:rPr>
                <w:sz w:val="24"/>
                <w:szCs w:val="24"/>
                <w:color w:val="auto"/>
              </w:rPr>
            </w:pPr>
          </w:p>
        </w:tc>
        <w:tc>
          <w:tcPr>
            <w:tcW w:w="780" w:type="dxa"/>
            <w:vAlign w:val="bottom"/>
            <w:tcBorders>
              <w:right w:val="single" w:sz="8" w:color="auto"/>
            </w:tcBorders>
            <w:shd w:val="clear" w:color="auto" w:fill="002060"/>
          </w:tcPr>
          <w:p>
            <w:pPr>
              <w:spacing w:after="0"/>
              <w:rPr>
                <w:sz w:val="24"/>
                <w:szCs w:val="24"/>
                <w:color w:val="auto"/>
              </w:rPr>
            </w:pPr>
          </w:p>
        </w:tc>
      </w:tr>
      <w:tr>
        <w:trPr>
          <w:trHeight w:val="370"/>
        </w:trPr>
        <w:tc>
          <w:tcPr>
            <w:tcW w:w="3340" w:type="dxa"/>
            <w:vAlign w:val="bottom"/>
            <w:tcBorders>
              <w:left w:val="single" w:sz="8" w:color="auto"/>
              <w:bottom w:val="single" w:sz="8" w:color="auto"/>
              <w:right w:val="single" w:sz="8" w:color="002060"/>
            </w:tcBorders>
            <w:gridSpan w:val="3"/>
            <w:shd w:val="clear" w:color="auto" w:fill="002060"/>
          </w:tcPr>
          <w:p>
            <w:pPr>
              <w:spacing w:after="0"/>
              <w:rPr>
                <w:sz w:val="24"/>
                <w:szCs w:val="24"/>
                <w:color w:val="auto"/>
              </w:rPr>
            </w:pPr>
          </w:p>
        </w:tc>
        <w:tc>
          <w:tcPr>
            <w:tcW w:w="5480" w:type="dxa"/>
            <w:vAlign w:val="bottom"/>
            <w:tcBorders>
              <w:bottom w:val="single" w:sz="8" w:color="auto"/>
              <w:right w:val="single" w:sz="8" w:color="002060"/>
            </w:tcBorders>
            <w:shd w:val="clear" w:color="auto" w:fill="002060"/>
          </w:tcPr>
          <w:p>
            <w:pPr>
              <w:spacing w:after="0"/>
              <w:rPr>
                <w:sz w:val="24"/>
                <w:szCs w:val="24"/>
                <w:color w:val="auto"/>
              </w:rPr>
            </w:pPr>
          </w:p>
        </w:tc>
        <w:tc>
          <w:tcPr>
            <w:tcW w:w="1660" w:type="dxa"/>
            <w:vAlign w:val="bottom"/>
            <w:tcBorders>
              <w:bottom w:val="single" w:sz="8" w:color="auto"/>
              <w:right w:val="single" w:sz="8" w:color="002060"/>
            </w:tcBorders>
            <w:shd w:val="clear" w:color="auto" w:fill="002060"/>
          </w:tcPr>
          <w:p>
            <w:pPr>
              <w:spacing w:after="0"/>
              <w:rPr>
                <w:sz w:val="24"/>
                <w:szCs w:val="24"/>
                <w:color w:val="auto"/>
              </w:rPr>
            </w:pPr>
          </w:p>
        </w:tc>
        <w:tc>
          <w:tcPr>
            <w:tcW w:w="780" w:type="dxa"/>
            <w:vAlign w:val="bottom"/>
            <w:tcBorders>
              <w:bottom w:val="single" w:sz="8" w:color="auto"/>
              <w:right w:val="single" w:sz="8" w:color="auto"/>
            </w:tcBorders>
            <w:shd w:val="clear" w:color="auto" w:fill="002060"/>
          </w:tcPr>
          <w:p>
            <w:pPr>
              <w:spacing w:after="0"/>
              <w:rPr>
                <w:sz w:val="24"/>
                <w:szCs w:val="24"/>
                <w:color w:val="auto"/>
              </w:rPr>
            </w:pPr>
          </w:p>
        </w:tc>
      </w:tr>
      <w:tr>
        <w:trPr>
          <w:trHeight w:val="299"/>
        </w:trPr>
        <w:tc>
          <w:tcPr>
            <w:tcW w:w="3340" w:type="dxa"/>
            <w:vAlign w:val="bottom"/>
            <w:tcBorders>
              <w:left w:val="single" w:sz="8" w:color="auto"/>
              <w:right w:val="single" w:sz="8" w:color="auto"/>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Document Title</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Insider Trading Policy</w:t>
            </w:r>
          </w:p>
        </w:tc>
        <w:tc>
          <w:tcPr>
            <w:tcW w:w="166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Version No.</w:t>
            </w:r>
          </w:p>
        </w:tc>
        <w:tc>
          <w:tcPr>
            <w:tcW w:w="780" w:type="dxa"/>
            <w:vAlign w:val="bottom"/>
            <w:tcBorders>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r>
      <w:tr>
        <w:trPr>
          <w:trHeight w:val="92"/>
        </w:trPr>
        <w:tc>
          <w:tcPr>
            <w:tcW w:w="3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548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shd w:val="clear" w:color="auto" w:fill="D9D9D9"/>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r>
      <w:tr>
        <w:trPr>
          <w:trHeight w:val="299"/>
        </w:trPr>
        <w:tc>
          <w:tcPr>
            <w:tcW w:w="3340" w:type="dxa"/>
            <w:vAlign w:val="bottom"/>
            <w:tcBorders>
              <w:left w:val="single" w:sz="8" w:color="auto"/>
              <w:right w:val="single" w:sz="8" w:color="auto"/>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2022</w:t>
            </w:r>
          </w:p>
        </w:tc>
        <w:tc>
          <w:tcPr>
            <w:tcW w:w="16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92"/>
        </w:trPr>
        <w:tc>
          <w:tcPr>
            <w:tcW w:w="3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r>
      <w:tr>
        <w:trPr>
          <w:trHeight w:val="299"/>
        </w:trPr>
        <w:tc>
          <w:tcPr>
            <w:tcW w:w="3340" w:type="dxa"/>
            <w:vAlign w:val="bottom"/>
            <w:tcBorders>
              <w:left w:val="single" w:sz="8" w:color="auto"/>
              <w:right w:val="single" w:sz="8" w:color="auto"/>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Date of Last Revision</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2023</w:t>
            </w:r>
          </w:p>
        </w:tc>
        <w:tc>
          <w:tcPr>
            <w:tcW w:w="16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92"/>
        </w:trPr>
        <w:tc>
          <w:tcPr>
            <w:tcW w:w="3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r>
      <w:tr>
        <w:trPr>
          <w:trHeight w:val="299"/>
        </w:trPr>
        <w:tc>
          <w:tcPr>
            <w:tcW w:w="3340" w:type="dxa"/>
            <w:vAlign w:val="bottom"/>
            <w:tcBorders>
              <w:left w:val="single" w:sz="8" w:color="auto"/>
              <w:right w:val="single" w:sz="8" w:color="auto"/>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Policy Owner(s)</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c>
          <w:tcPr>
            <w:tcW w:w="16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92"/>
        </w:trPr>
        <w:tc>
          <w:tcPr>
            <w:tcW w:w="3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r>
      <w:tr>
        <w:trPr>
          <w:trHeight w:val="299"/>
        </w:trPr>
        <w:tc>
          <w:tcPr>
            <w:tcW w:w="3340" w:type="dxa"/>
            <w:vAlign w:val="bottom"/>
            <w:tcBorders>
              <w:left w:val="single" w:sz="8" w:color="auto"/>
              <w:right w:val="single" w:sz="8" w:color="auto"/>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Reviewing Committee</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Management Committee</w:t>
            </w:r>
          </w:p>
        </w:tc>
        <w:tc>
          <w:tcPr>
            <w:tcW w:w="16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92"/>
        </w:trPr>
        <w:tc>
          <w:tcPr>
            <w:tcW w:w="3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r>
      <w:tr>
        <w:trPr>
          <w:trHeight w:val="299"/>
        </w:trPr>
        <w:tc>
          <w:tcPr>
            <w:tcW w:w="3340" w:type="dxa"/>
            <w:vAlign w:val="bottom"/>
            <w:tcBorders>
              <w:left w:val="single" w:sz="8" w:color="auto"/>
              <w:right w:val="single" w:sz="8" w:color="auto"/>
            </w:tcBorders>
            <w:gridSpan w:val="3"/>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Approving Body</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Risk Committee</w:t>
            </w:r>
          </w:p>
        </w:tc>
        <w:tc>
          <w:tcPr>
            <w:tcW w:w="16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92"/>
        </w:trPr>
        <w:tc>
          <w:tcPr>
            <w:tcW w:w="3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r>
      <w:tr>
        <w:trPr>
          <w:trHeight w:val="73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2060"/>
              </w:rPr>
              <w:t>Table of Contents</w:t>
            </w:r>
          </w:p>
        </w:tc>
        <w:tc>
          <w:tcPr>
            <w:tcW w:w="5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6"/>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Policy Statement and Scope</w:t>
            </w:r>
          </w:p>
        </w:tc>
        <w:tc>
          <w:tcPr>
            <w:tcW w:w="5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Governance, Roles, and Responsibilities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Policy Requirements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0" w:type="dxa"/>
            <w:vAlign w:val="bottom"/>
          </w:tcPr>
          <w:p>
            <w:pPr>
              <w:spacing w:after="0"/>
              <w:rPr>
                <w:sz w:val="19"/>
                <w:szCs w:val="19"/>
                <w:color w:val="auto"/>
              </w:rPr>
            </w:pP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Transactions Subject to this Policy</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0" w:type="dxa"/>
            <w:vAlign w:val="bottom"/>
          </w:tcPr>
          <w:p>
            <w:pPr>
              <w:spacing w:after="0"/>
              <w:rPr>
                <w:sz w:val="19"/>
                <w:szCs w:val="19"/>
                <w:color w:val="auto"/>
              </w:rPr>
            </w:pP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   Statement of Insider Trading Policy</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0" w:type="dxa"/>
            <w:vAlign w:val="bottom"/>
          </w:tcPr>
          <w:p>
            <w:pPr>
              <w:spacing w:after="0"/>
              <w:rPr>
                <w:sz w:val="19"/>
                <w:szCs w:val="19"/>
                <w:color w:val="auto"/>
              </w:rPr>
            </w:pP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  Definition of Material Nonpublic Information</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00" w:type="dxa"/>
            <w:vAlign w:val="bottom"/>
          </w:tcPr>
          <w:p>
            <w:pPr>
              <w:spacing w:after="0"/>
              <w:rPr>
                <w:sz w:val="19"/>
                <w:szCs w:val="19"/>
                <w:color w:val="auto"/>
              </w:rPr>
            </w:pP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  Transactions by Family Members and Others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00" w:type="dxa"/>
            <w:vAlign w:val="bottom"/>
          </w:tcPr>
          <w:p>
            <w:pPr>
              <w:spacing w:after="0"/>
              <w:rPr>
                <w:sz w:val="19"/>
                <w:szCs w:val="19"/>
                <w:color w:val="auto"/>
              </w:rPr>
            </w:pP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  Transactions by Entities that You Influence or Control</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00" w:type="dxa"/>
            <w:vAlign w:val="bottom"/>
          </w:tcPr>
          <w:p>
            <w:pPr>
              <w:spacing w:after="0"/>
              <w:rPr>
                <w:sz w:val="19"/>
                <w:szCs w:val="19"/>
                <w:color w:val="auto"/>
              </w:rPr>
            </w:pP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  Event-Specific Trading Restriction Periods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00" w:type="dxa"/>
            <w:vAlign w:val="bottom"/>
          </w:tcPr>
          <w:p>
            <w:pPr>
              <w:spacing w:after="0"/>
              <w:rPr>
                <w:sz w:val="19"/>
                <w:szCs w:val="19"/>
                <w:color w:val="auto"/>
              </w:rPr>
            </w:pP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  Transactions Under Company Plans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0" w:type="dxa"/>
            <w:vAlign w:val="bottom"/>
          </w:tcPr>
          <w:p>
            <w:pPr>
              <w:spacing w:after="0"/>
              <w:rPr>
                <w:sz w:val="19"/>
                <w:szCs w:val="19"/>
                <w:color w:val="auto"/>
              </w:rPr>
            </w:pP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  Transactions Not Involving a Purchase or Sale</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3"/>
              </w:rPr>
              <w:t>i.</w:t>
            </w: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10b5-1 Plans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3"/>
              </w:rPr>
              <w:t>j.</w:t>
            </w: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Post-Termination Transactions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0" w:type="dxa"/>
            <w:vAlign w:val="bottom"/>
          </w:tcPr>
          <w:p>
            <w:pPr>
              <w:spacing w:after="0"/>
              <w:rPr>
                <w:sz w:val="19"/>
                <w:szCs w:val="19"/>
                <w:color w:val="auto"/>
              </w:rPr>
            </w:pP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  Consequences of Violations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3"/>
              </w:rPr>
              <w:t>l.</w:t>
            </w: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Assistance</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Policy Administration</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Approval Requirements</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Enforcement and Implementation</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Ongoing Monitoring and Oversight</w:t>
            </w:r>
          </w:p>
        </w:tc>
        <w:tc>
          <w:tcPr>
            <w:tcW w:w="5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1"/>
        </w:trPr>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Appendix I: Addendum to Insider Trading Policy Applicable to Designated Insiders</w:t>
            </w:r>
          </w:p>
        </w:tc>
        <w:tc>
          <w:tcPr>
            <w:tcW w:w="16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-5485765</wp:posOffset>
            </wp:positionV>
            <wp:extent cx="1371600" cy="4711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13716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002060"/>
        </w:rPr>
        <w:t>1. Policy Statement and Scope</w:t>
      </w:r>
    </w:p>
    <w:p>
      <w:pPr>
        <w:spacing w:after="0" w:line="21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This Insider Trading Policy provides guidelines with respect to transactions in the securities of United Community Banks, Inc. (“United” or the “Company”) and the handling of confidential information about the Company and the companies with which the Company does business or otherwise interacts. The Company’s Board of Directors has adopted this Policy to promote compliance with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7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obtained in the course of employment with or service to the Company and to not engage in transactions in securities while in possession of material nonpublic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applies to all employees, officers, directors, and agents of United.</w:t>
      </w:r>
    </w:p>
    <w:p>
      <w:pPr>
        <w:sectPr>
          <w:pgSz w:w="11900" w:h="16838" w:orient="portrait"/>
          <w:cols w:equalWidth="0" w:num="1">
            <w:col w:w="11260"/>
          </w:cols>
          <w:pgMar w:left="320" w:top="124"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8"/>
          <w:szCs w:val="28"/>
          <w:b w:val="1"/>
          <w:bCs w:val="1"/>
          <w:color w:val="002060"/>
        </w:rPr>
        <w:drawing>
          <wp:anchor simplePos="0" relativeHeight="251657728" behindDoc="1" locked="0" layoutInCell="0" allowOverlap="1">
            <wp:simplePos x="0" y="0"/>
            <wp:positionH relativeFrom="page">
              <wp:posOffset>6702425</wp:posOffset>
            </wp:positionH>
            <wp:positionV relativeFrom="page">
              <wp:posOffset>88900</wp:posOffset>
            </wp:positionV>
            <wp:extent cx="639445" cy="1936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639445" cy="193675"/>
                    </a:xfrm>
                    <a:prstGeom prst="rect">
                      <a:avLst/>
                    </a:prstGeom>
                    <a:noFill/>
                  </pic:spPr>
                </pic:pic>
              </a:graphicData>
            </a:graphic>
          </wp:anchor>
        </w:drawing>
        <w:t>2. Governance, Roles, and Responsibilities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high-level roles and responsibilities applicable to the implementation, oversight, and review of this Policy.</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2780" w:type="dxa"/>
            <w:vAlign w:val="bottom"/>
            <w:tcBorders>
              <w:top w:val="single" w:sz="8" w:color="auto"/>
              <w:left w:val="single" w:sz="8" w:color="auto"/>
              <w:right w:val="single" w:sz="8" w:color="auto"/>
            </w:tcBorders>
            <w:shd w:val="clear" w:color="auto" w:fill="002060"/>
          </w:tcPr>
          <w:p>
            <w:pPr>
              <w:ind w:left="80"/>
              <w:spacing w:after="0"/>
              <w:rPr>
                <w:sz w:val="20"/>
                <w:szCs w:val="20"/>
                <w:color w:val="auto"/>
              </w:rPr>
            </w:pPr>
            <w:r>
              <w:rPr>
                <w:rFonts w:ascii="Times New Roman" w:cs="Times New Roman" w:eastAsia="Times New Roman" w:hAnsi="Times New Roman"/>
                <w:sz w:val="18"/>
                <w:szCs w:val="18"/>
                <w:b w:val="1"/>
                <w:bCs w:val="1"/>
                <w:color w:val="FFFFFF"/>
              </w:rPr>
              <w:t>Responsible Party</w:t>
            </w:r>
          </w:p>
        </w:tc>
        <w:tc>
          <w:tcPr>
            <w:tcW w:w="8480" w:type="dxa"/>
            <w:vAlign w:val="bottom"/>
            <w:tcBorders>
              <w:top w:val="single" w:sz="8" w:color="auto"/>
              <w:right w:val="single" w:sz="8" w:color="auto"/>
            </w:tcBorders>
            <w:shd w:val="clear" w:color="auto" w:fill="002060"/>
          </w:tcPr>
          <w:p>
            <w:pPr>
              <w:ind w:left="60"/>
              <w:spacing w:after="0"/>
              <w:rPr>
                <w:sz w:val="20"/>
                <w:szCs w:val="20"/>
                <w:color w:val="auto"/>
              </w:rPr>
            </w:pPr>
            <w:r>
              <w:rPr>
                <w:rFonts w:ascii="Times New Roman" w:cs="Times New Roman" w:eastAsia="Times New Roman" w:hAnsi="Times New Roman"/>
                <w:sz w:val="18"/>
                <w:szCs w:val="18"/>
                <w:b w:val="1"/>
                <w:bCs w:val="1"/>
                <w:color w:val="FFFFFF"/>
              </w:rPr>
              <w:t>Role/Responsibility</w:t>
            </w:r>
          </w:p>
        </w:tc>
        <w:tc>
          <w:tcPr>
            <w:tcW w:w="0" w:type="dxa"/>
            <w:vAlign w:val="bottom"/>
          </w:tcPr>
          <w:p>
            <w:pPr>
              <w:spacing w:after="0"/>
              <w:rPr>
                <w:sz w:val="1"/>
                <w:szCs w:val="1"/>
                <w:color w:val="auto"/>
              </w:rPr>
            </w:pPr>
          </w:p>
        </w:tc>
      </w:tr>
      <w:tr>
        <w:trPr>
          <w:trHeight w:val="92"/>
        </w:trPr>
        <w:tc>
          <w:tcPr>
            <w:tcW w:w="2780" w:type="dxa"/>
            <w:vAlign w:val="bottom"/>
            <w:tcBorders>
              <w:left w:val="single" w:sz="8" w:color="auto"/>
              <w:bottom w:val="single" w:sz="8" w:color="auto"/>
              <w:right w:val="single" w:sz="8" w:color="auto"/>
            </w:tcBorders>
            <w:shd w:val="clear" w:color="auto" w:fill="002060"/>
          </w:tcPr>
          <w:p>
            <w:pPr>
              <w:spacing w:after="0"/>
              <w:rPr>
                <w:sz w:val="7"/>
                <w:szCs w:val="7"/>
                <w:color w:val="auto"/>
              </w:rPr>
            </w:pPr>
          </w:p>
        </w:tc>
        <w:tc>
          <w:tcPr>
            <w:tcW w:w="8480" w:type="dxa"/>
            <w:vAlign w:val="bottom"/>
            <w:tcBorders>
              <w:bottom w:val="single" w:sz="8" w:color="auto"/>
              <w:right w:val="single" w:sz="8" w:color="auto"/>
            </w:tcBorders>
            <w:shd w:val="clear" w:color="auto" w:fill="002060"/>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2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Board Risk Committee</w:t>
            </w:r>
          </w:p>
        </w:tc>
        <w:tc>
          <w:tcPr>
            <w:tcW w:w="8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Board Risk Committee is responsible for:</w:t>
            </w:r>
          </w:p>
        </w:tc>
        <w:tc>
          <w:tcPr>
            <w:tcW w:w="0" w:type="dxa"/>
            <w:vAlign w:val="bottom"/>
          </w:tcPr>
          <w:p>
            <w:pPr>
              <w:spacing w:after="0"/>
              <w:rPr>
                <w:sz w:val="1"/>
                <w:szCs w:val="1"/>
                <w:color w:val="auto"/>
              </w:rPr>
            </w:pPr>
          </w:p>
        </w:tc>
      </w:tr>
      <w:tr>
        <w:trPr>
          <w:trHeight w:val="258"/>
        </w:trPr>
        <w:tc>
          <w:tcPr>
            <w:tcW w:w="2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 Risk Committee”)</w:t>
            </w:r>
          </w:p>
        </w:tc>
        <w:tc>
          <w:tcPr>
            <w:tcW w:w="84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Approving new and material revisions to this policy.</w:t>
            </w:r>
          </w:p>
        </w:tc>
        <w:tc>
          <w:tcPr>
            <w:tcW w:w="0" w:type="dxa"/>
            <w:vAlign w:val="bottom"/>
          </w:tcPr>
          <w:p>
            <w:pPr>
              <w:spacing w:after="0"/>
              <w:rPr>
                <w:sz w:val="1"/>
                <w:szCs w:val="1"/>
                <w:color w:val="auto"/>
              </w:rPr>
            </w:pPr>
          </w:p>
        </w:tc>
      </w:tr>
      <w:tr>
        <w:trPr>
          <w:trHeight w:val="78"/>
        </w:trPr>
        <w:tc>
          <w:tcPr>
            <w:tcW w:w="2780" w:type="dxa"/>
            <w:vAlign w:val="bottom"/>
            <w:tcBorders>
              <w:left w:val="single" w:sz="8" w:color="auto"/>
              <w:bottom w:val="single" w:sz="8" w:color="auto"/>
              <w:right w:val="single" w:sz="8" w:color="auto"/>
            </w:tcBorders>
          </w:tcPr>
          <w:p>
            <w:pPr>
              <w:spacing w:after="0"/>
              <w:rPr>
                <w:sz w:val="6"/>
                <w:szCs w:val="6"/>
                <w:color w:val="auto"/>
              </w:rPr>
            </w:pPr>
          </w:p>
        </w:tc>
        <w:tc>
          <w:tcPr>
            <w:tcW w:w="84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780" w:type="dxa"/>
            <w:vAlign w:val="bottom"/>
            <w:tcBorders>
              <w:left w:val="single" w:sz="8" w:color="auto"/>
              <w:right w:val="single" w:sz="8" w:color="auto"/>
            </w:tcBorders>
          </w:tcPr>
          <w:p>
            <w:pPr>
              <w:spacing w:after="0"/>
              <w:rPr>
                <w:sz w:val="24"/>
                <w:szCs w:val="24"/>
                <w:color w:val="auto"/>
              </w:rPr>
            </w:pPr>
          </w:p>
        </w:tc>
        <w:tc>
          <w:tcPr>
            <w:tcW w:w="8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General Counsel is responsible for:</w:t>
            </w:r>
          </w:p>
        </w:tc>
        <w:tc>
          <w:tcPr>
            <w:tcW w:w="0" w:type="dxa"/>
            <w:vAlign w:val="bottom"/>
          </w:tcPr>
          <w:p>
            <w:pPr>
              <w:spacing w:after="0"/>
              <w:rPr>
                <w:sz w:val="1"/>
                <w:szCs w:val="1"/>
                <w:color w:val="auto"/>
              </w:rPr>
            </w:pPr>
          </w:p>
        </w:tc>
      </w:tr>
      <w:tr>
        <w:trPr>
          <w:trHeight w:val="265"/>
        </w:trPr>
        <w:tc>
          <w:tcPr>
            <w:tcW w:w="2780" w:type="dxa"/>
            <w:vAlign w:val="bottom"/>
            <w:tcBorders>
              <w:left w:val="single" w:sz="8" w:color="auto"/>
              <w:right w:val="single" w:sz="8" w:color="auto"/>
            </w:tcBorders>
          </w:tcPr>
          <w:p>
            <w:pPr>
              <w:spacing w:after="0"/>
              <w:rPr>
                <w:sz w:val="23"/>
                <w:szCs w:val="23"/>
                <w:color w:val="auto"/>
              </w:rPr>
            </w:pPr>
          </w:p>
        </w:tc>
        <w:tc>
          <w:tcPr>
            <w:tcW w:w="84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Maintaining ownership of this Policy;</w:t>
            </w:r>
          </w:p>
        </w:tc>
        <w:tc>
          <w:tcPr>
            <w:tcW w:w="0" w:type="dxa"/>
            <w:vAlign w:val="bottom"/>
          </w:tcPr>
          <w:p>
            <w:pPr>
              <w:spacing w:after="0"/>
              <w:rPr>
                <w:sz w:val="1"/>
                <w:szCs w:val="1"/>
                <w:color w:val="auto"/>
              </w:rPr>
            </w:pPr>
          </w:p>
        </w:tc>
      </w:tr>
      <w:tr>
        <w:trPr>
          <w:trHeight w:val="246"/>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General Counsel</w:t>
            </w:r>
          </w:p>
        </w:tc>
        <w:tc>
          <w:tcPr>
            <w:tcW w:w="84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Overseeing and administering, or appointing an appropriate designee(s) to oversee and administer (in whole</w:t>
            </w:r>
          </w:p>
        </w:tc>
        <w:tc>
          <w:tcPr>
            <w:tcW w:w="0" w:type="dxa"/>
            <w:vAlign w:val="bottom"/>
          </w:tcPr>
          <w:p>
            <w:pPr>
              <w:spacing w:after="0"/>
              <w:rPr>
                <w:sz w:val="1"/>
                <w:szCs w:val="1"/>
                <w:color w:val="auto"/>
              </w:rPr>
            </w:pPr>
          </w:p>
        </w:tc>
      </w:tr>
      <w:tr>
        <w:trPr>
          <w:trHeight w:val="112"/>
        </w:trPr>
        <w:tc>
          <w:tcPr>
            <w:tcW w:w="2780" w:type="dxa"/>
            <w:vAlign w:val="bottom"/>
            <w:tcBorders>
              <w:left w:val="single" w:sz="8" w:color="auto"/>
              <w:right w:val="single" w:sz="8" w:color="auto"/>
            </w:tcBorders>
            <w:vMerge w:val="continue"/>
          </w:tcPr>
          <w:p>
            <w:pPr>
              <w:spacing w:after="0"/>
              <w:rPr>
                <w:sz w:val="9"/>
                <w:szCs w:val="9"/>
                <w:color w:val="auto"/>
              </w:rPr>
            </w:pPr>
          </w:p>
        </w:tc>
        <w:tc>
          <w:tcPr>
            <w:tcW w:w="848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or in part) this Policy; and</w:t>
            </w:r>
          </w:p>
        </w:tc>
        <w:tc>
          <w:tcPr>
            <w:tcW w:w="0" w:type="dxa"/>
            <w:vAlign w:val="bottom"/>
          </w:tcPr>
          <w:p>
            <w:pPr>
              <w:spacing w:after="0"/>
              <w:rPr>
                <w:sz w:val="1"/>
                <w:szCs w:val="1"/>
                <w:color w:val="auto"/>
              </w:rPr>
            </w:pPr>
          </w:p>
        </w:tc>
      </w:tr>
      <w:tr>
        <w:trPr>
          <w:trHeight w:val="119"/>
        </w:trPr>
        <w:tc>
          <w:tcPr>
            <w:tcW w:w="2780" w:type="dxa"/>
            <w:vAlign w:val="bottom"/>
            <w:tcBorders>
              <w:left w:val="single" w:sz="8" w:color="auto"/>
              <w:right w:val="single" w:sz="8" w:color="auto"/>
            </w:tcBorders>
          </w:tcPr>
          <w:p>
            <w:pPr>
              <w:spacing w:after="0"/>
              <w:rPr>
                <w:sz w:val="10"/>
                <w:szCs w:val="10"/>
                <w:color w:val="auto"/>
              </w:rPr>
            </w:pPr>
          </w:p>
        </w:tc>
        <w:tc>
          <w:tcPr>
            <w:tcW w:w="8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780" w:type="dxa"/>
            <w:vAlign w:val="bottom"/>
            <w:tcBorders>
              <w:left w:val="single" w:sz="8" w:color="auto"/>
              <w:right w:val="single" w:sz="8" w:color="auto"/>
            </w:tcBorders>
          </w:tcPr>
          <w:p>
            <w:pPr>
              <w:spacing w:after="0"/>
              <w:rPr>
                <w:sz w:val="24"/>
                <w:szCs w:val="24"/>
                <w:color w:val="auto"/>
              </w:rPr>
            </w:pPr>
          </w:p>
        </w:tc>
        <w:tc>
          <w:tcPr>
            <w:tcW w:w="84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Providing routine reporting and escalating Policy related issues or concerns to Business Unit Management,</w:t>
            </w:r>
          </w:p>
        </w:tc>
        <w:tc>
          <w:tcPr>
            <w:tcW w:w="0" w:type="dxa"/>
            <w:vAlign w:val="bottom"/>
          </w:tcPr>
          <w:p>
            <w:pPr>
              <w:spacing w:after="0"/>
              <w:rPr>
                <w:sz w:val="1"/>
                <w:szCs w:val="1"/>
                <w:color w:val="auto"/>
              </w:rPr>
            </w:pPr>
          </w:p>
        </w:tc>
      </w:tr>
      <w:tr>
        <w:trPr>
          <w:trHeight w:val="239"/>
        </w:trPr>
        <w:tc>
          <w:tcPr>
            <w:tcW w:w="2780" w:type="dxa"/>
            <w:vAlign w:val="bottom"/>
            <w:tcBorders>
              <w:left w:val="single" w:sz="8" w:color="auto"/>
              <w:right w:val="single" w:sz="8" w:color="auto"/>
            </w:tcBorders>
          </w:tcPr>
          <w:p>
            <w:pPr>
              <w:spacing w:after="0"/>
              <w:rPr>
                <w:sz w:val="20"/>
                <w:szCs w:val="20"/>
                <w:color w:val="auto"/>
              </w:rPr>
            </w:pPr>
          </w:p>
        </w:tc>
        <w:tc>
          <w:tcPr>
            <w:tcW w:w="84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Board and Management Committees, and the Board, as appropriate.</w:t>
            </w:r>
          </w:p>
        </w:tc>
        <w:tc>
          <w:tcPr>
            <w:tcW w:w="0" w:type="dxa"/>
            <w:vAlign w:val="bottom"/>
          </w:tcPr>
          <w:p>
            <w:pPr>
              <w:spacing w:after="0"/>
              <w:rPr>
                <w:sz w:val="1"/>
                <w:szCs w:val="1"/>
                <w:color w:val="auto"/>
              </w:rPr>
            </w:pPr>
          </w:p>
        </w:tc>
      </w:tr>
      <w:tr>
        <w:trPr>
          <w:trHeight w:val="78"/>
        </w:trPr>
        <w:tc>
          <w:tcPr>
            <w:tcW w:w="2780" w:type="dxa"/>
            <w:vAlign w:val="bottom"/>
            <w:tcBorders>
              <w:left w:val="single" w:sz="8" w:color="auto"/>
              <w:bottom w:val="single" w:sz="8" w:color="auto"/>
              <w:right w:val="single" w:sz="8" w:color="auto"/>
            </w:tcBorders>
          </w:tcPr>
          <w:p>
            <w:pPr>
              <w:spacing w:after="0"/>
              <w:rPr>
                <w:sz w:val="6"/>
                <w:szCs w:val="6"/>
                <w:color w:val="auto"/>
              </w:rPr>
            </w:pPr>
          </w:p>
        </w:tc>
        <w:tc>
          <w:tcPr>
            <w:tcW w:w="84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9"/>
        </w:trPr>
        <w:tc>
          <w:tcPr>
            <w:tcW w:w="27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Audit</w:t>
            </w:r>
          </w:p>
        </w:tc>
        <w:tc>
          <w:tcPr>
            <w:tcW w:w="8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United’s Chief Audit Executive (“CAE”) is charged with conducting periodic audits to ensure United’s compliance</w:t>
            </w:r>
          </w:p>
        </w:tc>
        <w:tc>
          <w:tcPr>
            <w:tcW w:w="0" w:type="dxa"/>
            <w:vAlign w:val="bottom"/>
          </w:tcPr>
          <w:p>
            <w:pPr>
              <w:spacing w:after="0"/>
              <w:rPr>
                <w:sz w:val="1"/>
                <w:szCs w:val="1"/>
                <w:color w:val="auto"/>
              </w:rPr>
            </w:pPr>
          </w:p>
        </w:tc>
      </w:tr>
      <w:tr>
        <w:trPr>
          <w:trHeight w:val="232"/>
        </w:trPr>
        <w:tc>
          <w:tcPr>
            <w:tcW w:w="2780" w:type="dxa"/>
            <w:vAlign w:val="bottom"/>
            <w:tcBorders>
              <w:left w:val="single" w:sz="8" w:color="auto"/>
              <w:right w:val="single" w:sz="8" w:color="auto"/>
            </w:tcBorders>
            <w:vMerge w:val="continue"/>
          </w:tcPr>
          <w:p>
            <w:pPr>
              <w:spacing w:after="0"/>
              <w:rPr>
                <w:sz w:val="20"/>
                <w:szCs w:val="20"/>
                <w:color w:val="auto"/>
              </w:rPr>
            </w:pPr>
          </w:p>
        </w:tc>
        <w:tc>
          <w:tcPr>
            <w:tcW w:w="8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program effectively meets regulatory requirements. The CAE will present reports of such examinations to the Audit</w:t>
            </w:r>
          </w:p>
        </w:tc>
        <w:tc>
          <w:tcPr>
            <w:tcW w:w="0" w:type="dxa"/>
            <w:vAlign w:val="bottom"/>
          </w:tcPr>
          <w:p>
            <w:pPr>
              <w:spacing w:after="0"/>
              <w:rPr>
                <w:sz w:val="1"/>
                <w:szCs w:val="1"/>
                <w:color w:val="auto"/>
              </w:rPr>
            </w:pPr>
          </w:p>
        </w:tc>
      </w:tr>
      <w:tr>
        <w:trPr>
          <w:trHeight w:val="231"/>
        </w:trPr>
        <w:tc>
          <w:tcPr>
            <w:tcW w:w="2780" w:type="dxa"/>
            <w:vAlign w:val="bottom"/>
            <w:tcBorders>
              <w:left w:val="single" w:sz="8" w:color="auto"/>
              <w:right w:val="single" w:sz="8" w:color="auto"/>
            </w:tcBorders>
          </w:tcPr>
          <w:p>
            <w:pPr>
              <w:spacing w:after="0"/>
              <w:rPr>
                <w:sz w:val="20"/>
                <w:szCs w:val="20"/>
                <w:color w:val="auto"/>
              </w:rPr>
            </w:pPr>
          </w:p>
        </w:tc>
        <w:tc>
          <w:tcPr>
            <w:tcW w:w="8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Committee of the Board of Directors.</w:t>
            </w:r>
          </w:p>
        </w:tc>
        <w:tc>
          <w:tcPr>
            <w:tcW w:w="0" w:type="dxa"/>
            <w:vAlign w:val="bottom"/>
          </w:tcPr>
          <w:p>
            <w:pPr>
              <w:spacing w:after="0"/>
              <w:rPr>
                <w:sz w:val="1"/>
                <w:szCs w:val="1"/>
                <w:color w:val="auto"/>
              </w:rPr>
            </w:pPr>
          </w:p>
        </w:tc>
      </w:tr>
      <w:tr>
        <w:trPr>
          <w:trHeight w:val="92"/>
        </w:trPr>
        <w:tc>
          <w:tcPr>
            <w:tcW w:w="2780" w:type="dxa"/>
            <w:vAlign w:val="bottom"/>
            <w:tcBorders>
              <w:left w:val="single" w:sz="8" w:color="auto"/>
              <w:bottom w:val="single" w:sz="8" w:color="auto"/>
              <w:right w:val="single" w:sz="8" w:color="auto"/>
            </w:tcBorders>
          </w:tcPr>
          <w:p>
            <w:pPr>
              <w:spacing w:after="0"/>
              <w:rPr>
                <w:sz w:val="7"/>
                <w:szCs w:val="7"/>
                <w:color w:val="auto"/>
              </w:rPr>
            </w:pPr>
          </w:p>
        </w:tc>
        <w:tc>
          <w:tcPr>
            <w:tcW w:w="8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002060"/>
        </w:rPr>
        <w:t>3. Policy Requirements</w:t>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a. Transactions Subject to this Policy</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This Policy applies to transactions in (i) the Company’s securities (collectively referred to in this Policy as “Company Securities”), including the Company’s common stock, options to purchase common stock, restricted stock awards, and derivative securities that are not issued by the Company, such as exchange-traded put or call options or swaps relating to the Company’s Securities, and (ii) the securities of another company at any time when the person has become aware of (in the course of employment with or service to the Company) material non-public information about such company or material non-public information that could affect the share price of such company's securities.</w:t>
      </w:r>
    </w:p>
    <w:p>
      <w:pPr>
        <w:spacing w:after="0" w:line="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b. Statement of Insider Trading Policy</w:t>
      </w:r>
    </w:p>
    <w:p>
      <w:pPr>
        <w:spacing w:after="0" w:line="11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No director, officer, or other employee of the Company who is aware of material nonpublic information relating to the Company may, directly or indirectly, through family members or other persons or entities:</w:t>
      </w:r>
    </w:p>
    <w:p>
      <w:pPr>
        <w:spacing w:after="0" w:line="1" w:lineRule="exact"/>
        <w:rPr>
          <w:sz w:val="20"/>
          <w:szCs w:val="20"/>
          <w:color w:val="auto"/>
        </w:rPr>
      </w:pPr>
    </w:p>
    <w:p>
      <w:pPr>
        <w:ind w:left="640" w:right="20" w:hanging="316"/>
        <w:spacing w:after="0" w:line="272" w:lineRule="auto"/>
        <w:tabs>
          <w:tab w:leader="none" w:pos="6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specified in this Policy under the headings “Transactions Under Company Plans,” “Transactions Not Involving a Purchase or Sale” and “Rule 10b5-1 Plans”);</w:t>
      </w:r>
    </w:p>
    <w:p>
      <w:pPr>
        <w:ind w:left="640" w:hanging="316"/>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any other person or entity that he, she, or it purchase or sell any Company Securities; or</w:t>
      </w:r>
    </w:p>
    <w:p>
      <w:pPr>
        <w:spacing w:after="0" w:line="25" w:lineRule="exact"/>
        <w:rPr>
          <w:rFonts w:ascii="Times New Roman" w:cs="Times New Roman" w:eastAsia="Times New Roman" w:hAnsi="Times New Roman"/>
          <w:sz w:val="18"/>
          <w:szCs w:val="18"/>
          <w:color w:val="auto"/>
        </w:rPr>
      </w:pPr>
    </w:p>
    <w:p>
      <w:pPr>
        <w:jc w:val="both"/>
        <w:ind w:left="640" w:right="20" w:hanging="316"/>
        <w:spacing w:after="0" w:line="290" w:lineRule="auto"/>
        <w:tabs>
          <w:tab w:leader="none" w:pos="6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analysts, and consulting firms, unless such disclosure is made in accordance with the Company’s confidentiality policies.</w:t>
      </w:r>
    </w:p>
    <w:p>
      <w:pPr>
        <w:spacing w:after="0" w:line="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addition, no director, officer, or other employee of the Company who, in the course of his or her employment with or service to the Company, learns of material nonpublic information about a company with which the Company does business or otherwise interacts, including its customers, vendors, competitors, potential targets or acquirors, or other banking industry participants, may trade in that company’s securities until the information becomes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ectPr>
          <w:pgSz w:w="11900" w:h="16838" w:orient="portrait"/>
          <w:cols w:equalWidth="0" w:num="1">
            <w:col w:w="11260"/>
          </w:cols>
          <w:pgMar w:left="320" w:top="1241" w:right="319" w:bottom="1440" w:gutter="0" w:footer="0" w:header="0"/>
        </w:sectPr>
      </w:pPr>
    </w:p>
    <w:bookmarkStart w:id="161" w:name="page162"/>
    <w:bookmarkEnd w:id="161"/>
    <w:p>
      <w:pPr>
        <w:ind w:left="640" w:right="5060" w:firstLine="399"/>
        <w:spacing w:after="0" w:line="349" w:lineRule="auto"/>
        <w:tabs>
          <w:tab w:leader="none" w:pos="1355" w:val="left"/>
        </w:tabs>
        <w:numPr>
          <w:ilvl w:val="1"/>
          <w:numId w:val="9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6702425</wp:posOffset>
            </wp:positionH>
            <wp:positionV relativeFrom="page">
              <wp:posOffset>88900</wp:posOffset>
            </wp:positionV>
            <wp:extent cx="639445" cy="1936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639445" cy="193675"/>
                    </a:xfrm>
                    <a:prstGeom prst="rect">
                      <a:avLst/>
                    </a:prstGeom>
                    <a:noFill/>
                  </pic:spPr>
                </pic:pic>
              </a:graphicData>
            </a:graphic>
          </wp:anchor>
        </w:drawing>
        <w:t xml:space="preserve">Definition of Material Nonpublic Information </w:t>
      </w:r>
      <w:r>
        <w:rPr>
          <w:rFonts w:ascii="Times New Roman" w:cs="Times New Roman" w:eastAsia="Times New Roman" w:hAnsi="Times New Roman"/>
          <w:sz w:val="24"/>
          <w:szCs w:val="24"/>
          <w:color w:val="auto"/>
        </w:rPr>
        <w:t xml:space="preserve">i. </w:t>
      </w:r>
      <w:r>
        <w:rPr>
          <w:rFonts w:ascii="Times New Roman" w:cs="Times New Roman" w:eastAsia="Times New Roman" w:hAnsi="Times New Roman"/>
          <w:sz w:val="24"/>
          <w:szCs w:val="24"/>
          <w:b w:val="1"/>
          <w:bCs w:val="1"/>
          <w:color w:val="auto"/>
        </w:rPr>
        <w:t>When Information is Considered Material</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Instead, materiality is based on an assessment of all of the facts and circumstances, and is often evaluated by enforcement authorities with the benefit of hindsight.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information that ordinarily would be regarded as material are:</w:t>
      </w:r>
    </w:p>
    <w:p>
      <w:pPr>
        <w:spacing w:after="0" w:line="32" w:lineRule="exact"/>
        <w:rPr>
          <w:sz w:val="20"/>
          <w:szCs w:val="20"/>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previously disclosed financial information;</w:t>
      </w:r>
    </w:p>
    <w:p>
      <w:pPr>
        <w:spacing w:after="0" w:line="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loan credit quality problems;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merger or acquisition;</w:t>
      </w:r>
    </w:p>
    <w:p>
      <w:pPr>
        <w:spacing w:after="0" w:line="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acquisition or sale of significant assets;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securities;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31" w:lineRule="exact"/>
        <w:rPr>
          <w:rFonts w:ascii="Times New Roman" w:cs="Times New Roman" w:eastAsia="Times New Roman" w:hAnsi="Times New Roman"/>
          <w:sz w:val="18"/>
          <w:szCs w:val="18"/>
          <w:color w:val="auto"/>
        </w:rPr>
      </w:pPr>
    </w:p>
    <w:p>
      <w:pPr>
        <w:ind w:left="640" w:hanging="316"/>
        <w:spacing w:after="0" w:line="289" w:lineRule="auto"/>
        <w:tabs>
          <w:tab w:leader="none" w:pos="6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29" w:lineRule="exact"/>
        <w:rPr>
          <w:sz w:val="20"/>
          <w:szCs w:val="20"/>
          <w:color w:val="auto"/>
        </w:rPr>
      </w:pPr>
    </w:p>
    <w:p>
      <w:pPr>
        <w:ind w:left="940" w:hanging="298"/>
        <w:spacing w:after="0"/>
        <w:tabs>
          <w:tab w:leader="none" w:pos="940" w:val="left"/>
        </w:tabs>
        <w:numPr>
          <w:ilvl w:val="0"/>
          <w:numId w:val="9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b w:val="1"/>
          <w:bCs w:val="1"/>
          <w:color w:val="auto"/>
        </w:rPr>
        <w:t>When Information is Considered Nonpublic</w:t>
      </w:r>
    </w:p>
    <w:p>
      <w:pPr>
        <w:spacing w:after="0" w:line="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Information that has not been disclosed to the public is generally considered to be nonpublic information. Information is generally considered to be disclosed to the public if the information has been widely disseminated, such as by disclosure through a newswire service or filing with the Securities and Exchange Commission. By contrast, information would likely not be considered widely disseminated if it is available only to the Company’s employees or if it is only available to a select group of analysts, brokers, and institutional investors. Once information is widely disseminated, it is still necessary to provide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w:t>
      </w:r>
    </w:p>
    <w:p>
      <w:pPr>
        <w:spacing w:after="0" w:line="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d. Transactions by Family Members and Others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w:t>
      </w:r>
    </w:p>
    <w:p>
      <w:pPr>
        <w:spacing w:after="0" w:line="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e. Transactions by Entities that You Influence or Control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f.  Event-Specific Trading Restriction Periods</w:t>
      </w:r>
    </w:p>
    <w:p>
      <w:pPr>
        <w:spacing w:after="0" w:line="1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certain directors, officers, and/or employees. In that situation, the Company's Compliance Officers may notify any person subject to this Policy with knowledge of the event that they should not trade in the Company's Securities. So long as the event remains material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ectPr>
          <w:pgSz w:w="11900" w:h="16838" w:orient="portrait"/>
          <w:cols w:equalWidth="0" w:num="1">
            <w:col w:w="11240"/>
          </w:cols>
          <w:pgMar w:left="320" w:top="1146" w:right="339" w:bottom="1440" w:gutter="0" w:footer="0" w:header="0"/>
        </w:sectPr>
      </w:pPr>
    </w:p>
    <w:bookmarkStart w:id="162" w:name="page163"/>
    <w:bookmarkEnd w:id="162"/>
    <w:p>
      <w:pPr>
        <w:ind w:right="380"/>
        <w:spacing w:after="0" w:line="29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6702425</wp:posOffset>
            </wp:positionH>
            <wp:positionV relativeFrom="page">
              <wp:posOffset>88900</wp:posOffset>
            </wp:positionV>
            <wp:extent cx="639445" cy="1936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39445" cy="193675"/>
                    </a:xfrm>
                    <a:prstGeom prst="rect">
                      <a:avLst/>
                    </a:prstGeom>
                    <a:noFill/>
                  </pic:spPr>
                </pic:pic>
              </a:graphicData>
            </a:graphic>
          </wp:anchor>
        </w:drawing>
        <w:t>nonpublic, those persons designated by the Compliance Officers may not trade Company Securities. The existence of an event-specific trading restriction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w:t>
      </w:r>
    </w:p>
    <w:p>
      <w:pPr>
        <w:spacing w:after="0" w:line="6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g. Transactions Under Company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to the following transactions:</w:t>
      </w:r>
    </w:p>
    <w:p>
      <w:pPr>
        <w:spacing w:after="0" w:line="24" w:lineRule="exact"/>
        <w:rPr>
          <w:sz w:val="20"/>
          <w:szCs w:val="20"/>
          <w:color w:val="auto"/>
        </w:rPr>
      </w:pPr>
    </w:p>
    <w:p>
      <w:pPr>
        <w:ind w:left="640" w:right="160" w:hanging="316"/>
        <w:spacing w:after="0" w:line="257" w:lineRule="auto"/>
        <w:tabs>
          <w:tab w:leader="none" w:pos="6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Exercises.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 w:lineRule="exact"/>
        <w:rPr>
          <w:rFonts w:ascii="Times New Roman" w:cs="Times New Roman" w:eastAsia="Times New Roman" w:hAnsi="Times New Roman"/>
          <w:sz w:val="18"/>
          <w:szCs w:val="18"/>
          <w:color w:val="auto"/>
        </w:rPr>
      </w:pPr>
    </w:p>
    <w:p>
      <w:pPr>
        <w:ind w:left="640" w:right="140" w:hanging="316"/>
        <w:spacing w:after="0" w:line="264" w:lineRule="auto"/>
        <w:tabs>
          <w:tab w:leader="none" w:pos="6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h. Transactions Not Involving a Purchase or Sale</w:t>
      </w:r>
    </w:p>
    <w:p>
      <w:pPr>
        <w:spacing w:after="0" w:line="10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8"/>
          <w:szCs w:val="18"/>
          <w:color w:val="auto"/>
        </w:rPr>
        <w:t>Bona fide gifts of securities are not transactions subject to this Policy. Further, transactions in mutual funds that are invested in Company Securities are not transactions subject to this Policy.</w:t>
      </w:r>
    </w:p>
    <w:p>
      <w:pPr>
        <w:spacing w:after="0" w:line="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i.  Rule 10b5-1 Plans</w:t>
      </w:r>
    </w:p>
    <w:p>
      <w:pPr>
        <w:spacing w:after="0" w:line="9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Rule 10b5-1 under the Securities Exchange Act of 1934 provides a defense from insider trading liability under Rule 10b-5. To be eligible to rely on this defense, a person subject to this Policy must enter into a Rule 10b5-1 plan for transactions in Company Securities that meets certain conditions specified in the Rule (a “Rule 10b5-1 Plan”). To comply with the Policy, a Rule 10b5-1 Plan must be approved by the Company's Compliance Officers.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Any Rule 10b5-1 Plan must be submitted for approval five days prior to the entry into the Rule 10b5-1 Plan. No further pre-approval of transactions conducted pursuant to the Rule 10b5-1 Plan will be required.</w:t>
      </w:r>
    </w:p>
    <w:p>
      <w:pPr>
        <w:spacing w:after="0" w:line="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j.  Post-Termination Transactions</w:t>
      </w:r>
    </w:p>
    <w:p>
      <w:pPr>
        <w:spacing w:after="0" w:line="105"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spacing w:after="0" w:line="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k. Consequences of Violations</w:t>
      </w:r>
    </w:p>
    <w:p>
      <w:pPr>
        <w:spacing w:after="0" w:line="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Punishment for insider trading violations is severe, and could include significant fines and imprisonment. In addition, an individual’s failure to comply with this Policy may subject the individual to Company-imposed sanctions, including dismissal for cause.</w:t>
      </w:r>
    </w:p>
    <w:p>
      <w:pPr>
        <w:spacing w:after="0" w:line="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5"/>
          <w:szCs w:val="25"/>
          <w:b w:val="1"/>
          <w:bCs w:val="1"/>
          <w:color w:val="auto"/>
        </w:rPr>
        <w:t>l.  Company Assistance</w:t>
      </w:r>
    </w:p>
    <w:p>
      <w:pPr>
        <w:spacing w:after="0" w:line="92" w:lineRule="exact"/>
        <w:rPr>
          <w:sz w:val="20"/>
          <w:szCs w:val="20"/>
          <w:color w:val="auto"/>
        </w:rPr>
      </w:pPr>
    </w:p>
    <w:p>
      <w:pPr>
        <w:ind w:right="800"/>
        <w:spacing w:after="0" w:line="289"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Company's Compliance Officers, Jefferson Harralson (864-240-6208) and Melinda Davis Lux (864-241-8736).</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ectPr>
          <w:pgSz w:w="11900" w:h="16838" w:orient="portrait"/>
          <w:cols w:equalWidth="0" w:num="1">
            <w:col w:w="11220"/>
          </w:cols>
          <w:pgMar w:left="320" w:top="1075"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8"/>
          <w:szCs w:val="28"/>
          <w:b w:val="1"/>
          <w:bCs w:val="1"/>
          <w:color w:val="002060"/>
        </w:rPr>
        <w:drawing>
          <wp:anchor simplePos="0" relativeHeight="251657728" behindDoc="1" locked="0" layoutInCell="0" allowOverlap="1">
            <wp:simplePos x="0" y="0"/>
            <wp:positionH relativeFrom="page">
              <wp:posOffset>6702425</wp:posOffset>
            </wp:positionH>
            <wp:positionV relativeFrom="page">
              <wp:posOffset>88900</wp:posOffset>
            </wp:positionV>
            <wp:extent cx="639445" cy="1936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639445" cy="193675"/>
                    </a:xfrm>
                    <a:prstGeom prst="rect">
                      <a:avLst/>
                    </a:prstGeom>
                    <a:noFill/>
                  </pic:spPr>
                </pic:pic>
              </a:graphicData>
            </a:graphic>
          </wp:anchor>
        </w:drawing>
        <w:t>4. Policy Administration</w:t>
      </w:r>
    </w:p>
    <w:p>
      <w:pPr>
        <w:spacing w:after="0" w:line="22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Policy Owner is responsible for final Policy content and is available for consultation on Policy interpretation. This Policy and its supporting procedures should be interpreted in a manner consistent with all applicable laws, rules, and regulations. Any apparent conflicts between this Policy and laws, rules, and regulations must be escalated immediately to the Policy Owner for further evaluation.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002060"/>
        </w:rPr>
        <w:t>5. Approval Requirements</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Policy Owner shall review this Policy annually, or more frequently if revisions are required. At a minimum, the Policy Owner shall submit the Policy for review and approval to the Board Risk Committee</w:t>
      </w:r>
      <w:r>
        <w:rPr>
          <w:rFonts w:ascii="Times New Roman" w:cs="Times New Roman" w:eastAsia="Times New Roman" w:hAnsi="Times New Roman"/>
          <w:sz w:val="18"/>
          <w:szCs w:val="18"/>
          <w:color w:val="C00000"/>
        </w:rPr>
        <w:t>.</w:t>
      </w:r>
      <w:r>
        <w:rPr>
          <w:rFonts w:ascii="Times New Roman" w:cs="Times New Roman" w:eastAsia="Times New Roman" w:hAnsi="Times New Roman"/>
          <w:sz w:val="18"/>
          <w:szCs w:val="18"/>
          <w:color w:val="auto"/>
        </w:rPr>
        <w:t xml:space="preserve"> This Policy is effective following final approval. The Policy Owner is authorized to make minor or non-substantive alterations to this Policy, such as job titles or grammatical changes, without requiring Board Risk Committee review and approval.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002060"/>
        </w:rPr>
        <w:t>6. Enforcement and Implementation</w:t>
      </w:r>
    </w:p>
    <w:p>
      <w:pPr>
        <w:spacing w:after="0" w:line="22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All Personnel are responsible for complying with this Policy. Non-compliance may be subject to disciplinary action. Exceptions to this Policy are generally not permitted unless authorized by the Policy Owner. The Policy Owner must only grant exceptions on a limited, case-by-case basis and only when compensating Controls are in place. The Policy Owner must provide routine Policy exception reporting to Business Unit Management, committees, and the Board, as appropriate.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002060"/>
        </w:rPr>
        <w:t>7. Ongoing Monitoring and Oversight</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Policy Owner must be able to demonstrate adherence with this Policy using established monitoring and oversight routines. Management is responsible for ensuring that non-compliance with Policy requirements are appropriately escalated to ensure appropriate visibility of risks relating to this Policy. The Policy Owner must also provide routine reporting to escalate risks, issues, or concerns to Business Unit Management, committees, and the Board, as appropriate. Reporting may include, but is not limited to, revisions to this Policy and/or documented issues, concerns, or non-compliance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ectPr>
          <w:pgSz w:w="11900" w:h="16838" w:orient="portrait"/>
          <w:cols w:equalWidth="0" w:num="1">
            <w:col w:w="11240"/>
          </w:cols>
          <w:pgMar w:left="320" w:top="124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8"/>
          <w:szCs w:val="28"/>
          <w:b w:val="1"/>
          <w:bCs w:val="1"/>
          <w:color w:val="002060"/>
        </w:rPr>
        <w:drawing>
          <wp:anchor simplePos="0" relativeHeight="251657728" behindDoc="1" locked="0" layoutInCell="0" allowOverlap="1">
            <wp:simplePos x="0" y="0"/>
            <wp:positionH relativeFrom="page">
              <wp:posOffset>6702425</wp:posOffset>
            </wp:positionH>
            <wp:positionV relativeFrom="page">
              <wp:posOffset>88900</wp:posOffset>
            </wp:positionV>
            <wp:extent cx="639445" cy="1936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639445" cy="193675"/>
                    </a:xfrm>
                    <a:prstGeom prst="rect">
                      <a:avLst/>
                    </a:prstGeom>
                    <a:noFill/>
                  </pic:spPr>
                </pic:pic>
              </a:graphicData>
            </a:graphic>
          </wp:anchor>
        </w:drawing>
        <w:t>8. Appendix I: Addendum to Insider Trading Policy Applicable to Designated Insiders</w:t>
      </w:r>
    </w:p>
    <w:p>
      <w:pPr>
        <w:spacing w:after="0" w:line="2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The Company has established additional procedures and policies to assist the Company in the administration of this Policy, to facilitate compliance with laws prohibiting insider trading, and to avoid the appearance of any impropriety.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procedures and policies in this Addendum are applicable only to:</w:t>
      </w:r>
    </w:p>
    <w:p>
      <w:pPr>
        <w:spacing w:after="0" w:line="24" w:lineRule="exact"/>
        <w:rPr>
          <w:sz w:val="20"/>
          <w:szCs w:val="20"/>
          <w:color w:val="auto"/>
        </w:rPr>
      </w:pPr>
    </w:p>
    <w:p>
      <w:pPr>
        <w:ind w:left="640" w:hanging="316"/>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16 officers of the Company;</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Board of Directors of the Company; and</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employees of the Company designated by the Compliance Officers as being subject to these procedures and policies.</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persons described above are referred to in this Addendum as “Insiders.” This Addendum also applies to an Insider's Family Members and Controlled Entities.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Procedures Applicable to all Insiders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restrictions and prohibitions apply to all Insiders: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Quarterly Trading Restrictions</w:t>
      </w:r>
      <w:r>
        <w:rPr>
          <w:rFonts w:ascii="Times New Roman" w:cs="Times New Roman" w:eastAsia="Times New Roman" w:hAnsi="Times New Roman"/>
          <w:sz w:val="18"/>
          <w:szCs w:val="18"/>
          <w:color w:val="auto"/>
        </w:rPr>
        <w:t>: Insiders may not conduct any transactions involving the Company’s Securities during a “Blackout Period” beginning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prior to the end of each fiscal quarter and ending on the second business day following the date of the public release of the Company’s earnings results for that quarter. In other words, Insiders may only conduct transactions in Company Securities during the “Window Period” beginning on the third business day following the public release of the Company’s quarterly earnings and ending two weeks prior to the close of the next fiscal quarter.</w:t>
      </w:r>
    </w:p>
    <w:p>
      <w:pPr>
        <w:spacing w:after="0" w:line="10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Quarterly Trading Restrictions do not apply to transactions identified in this Policy under the headings “Transactions Under Company Plans,” “Transactions Not Involving a Purchase or Sale,” and “Rule 10b5-1 Plans.”</w:t>
      </w:r>
    </w:p>
    <w:p>
      <w:pPr>
        <w:spacing w:after="0" w:line="8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7"/>
          <w:szCs w:val="17"/>
          <w:b w:val="1"/>
          <w:bCs w:val="1"/>
          <w:i w:val="1"/>
          <w:iCs w:val="1"/>
          <w:color w:val="auto"/>
        </w:rPr>
        <w:t>Special and Prohibited Transactions; Anti-Hedging Policy</w:t>
      </w:r>
      <w:r>
        <w:rPr>
          <w:rFonts w:ascii="Times New Roman" w:cs="Times New Roman" w:eastAsia="Times New Roman" w:hAnsi="Times New Roman"/>
          <w:sz w:val="17"/>
          <w:szCs w:val="17"/>
          <w:color w:val="auto"/>
        </w:rPr>
        <w:t>: The Company has determined that there is a heightened legal risk and/or the appearance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improper or inappropriate conduct if Insiders engage in certain types of transactions. Therefore, Insiders may not engage in any of the following transactions:</w:t>
      </w:r>
    </w:p>
    <w:p>
      <w:pPr>
        <w:spacing w:after="0" w:line="56" w:lineRule="exact"/>
        <w:rPr>
          <w:sz w:val="20"/>
          <w:szCs w:val="20"/>
          <w:color w:val="auto"/>
        </w:rPr>
      </w:pPr>
    </w:p>
    <w:p>
      <w:pPr>
        <w:ind w:left="640" w:hanging="316"/>
        <w:spacing w:after="0" w:line="281" w:lineRule="auto"/>
        <w:tabs>
          <w:tab w:leader="none" w:pos="63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Trading in Company Securities on a Short-Term Basis</w:t>
      </w:r>
      <w:r>
        <w:rPr>
          <w:rFonts w:ascii="Times New Roman" w:cs="Times New Roman" w:eastAsia="Times New Roman" w:hAnsi="Times New Roman"/>
          <w:sz w:val="17"/>
          <w:szCs w:val="17"/>
          <w:color w:val="auto"/>
        </w:rPr>
        <w:t>. Because short-term trading in Company Securities may give the appearance that an Insider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trading based on material, nonpublic information, any Company Securities purchased in the open market must be held for a minimum of six months.</w:t>
      </w:r>
    </w:p>
    <w:p>
      <w:pPr>
        <w:jc w:val="both"/>
        <w:ind w:left="640" w:hanging="316"/>
        <w:spacing w:after="0" w:line="255" w:lineRule="auto"/>
        <w:tabs>
          <w:tab w:leader="none" w:pos="6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 Sales</w:t>
      </w:r>
      <w:r>
        <w:rPr>
          <w:rFonts w:ascii="Times New Roman" w:cs="Times New Roman" w:eastAsia="Times New Roman" w:hAnsi="Times New Roman"/>
          <w:sz w:val="18"/>
          <w:szCs w:val="18"/>
          <w:color w:val="auto"/>
        </w:rPr>
        <w:t>. Short sales of Company Securities (i.e., the sale of a security that the seller does not own) may evidence an expectation on the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prohibits officers and directors from engaging in short sales.</w:t>
      </w:r>
    </w:p>
    <w:p>
      <w:pPr>
        <w:jc w:val="both"/>
        <w:ind w:left="640" w:hanging="316"/>
        <w:spacing w:after="0" w:line="258" w:lineRule="auto"/>
        <w:tabs>
          <w:tab w:leader="none" w:pos="6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financial instruments such as prepaid variable forwards, equity swaps, collars, and exchange funds. Such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Insiders are prohibited from engaging in any such transactions.</w:t>
      </w:r>
    </w:p>
    <w:p>
      <w:pPr>
        <w:jc w:val="both"/>
        <w:ind w:left="640" w:hanging="316"/>
        <w:spacing w:after="0" w:line="258" w:lineRule="auto"/>
        <w:tabs>
          <w:tab w:leader="none" w:pos="6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Procedures Applicable to the Company’s Directors and Section 16 Officers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procedures are applicable only to the Company’s Directors and Section 16 officers: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ectPr>
          <w:pgSz w:w="11900" w:h="16838" w:orient="portrait"/>
          <w:cols w:equalWidth="0" w:num="1">
            <w:col w:w="11240"/>
          </w:cols>
          <w:pgMar w:left="320" w:top="1241" w:right="339" w:bottom="1440" w:gutter="0" w:footer="0" w:header="0"/>
        </w:sectPr>
      </w:pPr>
    </w:p>
    <w:bookmarkStart w:id="165" w:name="page166"/>
    <w:bookmarkEnd w:id="165"/>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6702425</wp:posOffset>
            </wp:positionH>
            <wp:positionV relativeFrom="page">
              <wp:posOffset>88900</wp:posOffset>
            </wp:positionV>
            <wp:extent cx="639445" cy="1936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39445" cy="193675"/>
                    </a:xfrm>
                    <a:prstGeom prst="rect">
                      <a:avLst/>
                    </a:prstGeom>
                    <a:noFill/>
                  </pic:spPr>
                </pic:pic>
              </a:graphicData>
            </a:graphic>
          </wp:anchor>
        </w:drawing>
      </w: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Pre-Clearance Procedures</w:t>
      </w:r>
      <w:r>
        <w:rPr>
          <w:rFonts w:ascii="Times New Roman" w:cs="Times New Roman" w:eastAsia="Times New Roman" w:hAnsi="Times New Roman"/>
          <w:sz w:val="18"/>
          <w:szCs w:val="18"/>
          <w:color w:val="auto"/>
        </w:rPr>
        <w:t>. The Company's Directors and Section 16 officers may not engage in any transaction in Company Securities without first obtaining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pre-clearance of the transaction from a Compliance Officer. A request for pre-clearance should be submitted to a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If pre-clearance is granted, the pre-cleared trade must be effected within five business days of receipt of pre-clearance and a broker confirmation of the trade must be provided to the Company. All trades must be executed through a broker, unless otherwise approved by a Compliance Officer. If the pre-cleared trade is not effected within five business days, the Director or Section 16 officer must obtain a new pre-clearance for the proposed trade.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Pre-Clearance Procedures do not apply to transactions identified in this Policy under the headings “Transactions Under Company Plans,” “Transactions Not Involving a Purchase or Sale,” and “Rule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ectPr>
          <w:pgSz w:w="11900" w:h="16838" w:orient="portrait"/>
          <w:cols w:equalWidth="0" w:num="1">
            <w:col w:w="11240"/>
          </w:cols>
          <w:pgMar w:left="320" w:top="1440"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38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1500" w:type="dxa"/>
            <w:vAlign w:val="bottom"/>
          </w:tcPr>
          <w:p>
            <w:pPr>
              <w:spacing w:after="0"/>
              <w:rPr>
                <w:sz w:val="20"/>
                <w:szCs w:val="20"/>
                <w:color w:val="auto"/>
              </w:rPr>
            </w:pPr>
          </w:p>
        </w:tc>
      </w:tr>
      <w:tr>
        <w:trPr>
          <w:trHeight w:val="424"/>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 of United Community Banks, Inc. as of December 31, 2024.</w:t>
            </w:r>
          </w:p>
        </w:tc>
        <w:tc>
          <w:tcPr>
            <w:tcW w:w="1500" w:type="dxa"/>
            <w:vAlign w:val="bottom"/>
          </w:tcPr>
          <w:p>
            <w:pPr>
              <w:spacing w:after="0"/>
              <w:rPr>
                <w:sz w:val="24"/>
                <w:szCs w:val="24"/>
                <w:color w:val="auto"/>
              </w:rPr>
            </w:pPr>
          </w:p>
        </w:tc>
      </w:tr>
      <w:tr>
        <w:trPr>
          <w:trHeight w:val="516"/>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Subsidiary</w:t>
            </w:r>
          </w:p>
        </w:tc>
        <w:tc>
          <w:tcPr>
            <w:tcW w:w="8380" w:type="dxa"/>
            <w:vAlign w:val="bottom"/>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State of Organization</w:t>
            </w:r>
          </w:p>
        </w:tc>
      </w:tr>
      <w:tr>
        <w:trPr>
          <w:trHeight w:val="47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Bank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South Carolina</w:t>
            </w:r>
          </w:p>
        </w:tc>
      </w:tr>
      <w:tr>
        <w:trPr>
          <w:trHeight w:val="451"/>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Navitas Credit Corp.</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Florida</w:t>
            </w:r>
          </w:p>
        </w:tc>
      </w:tr>
      <w:tr>
        <w:trPr>
          <w:trHeight w:val="451"/>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NLFC Reinsurance Corp.</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450"/>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UCB Investments,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North Carolina</w:t>
            </w:r>
          </w:p>
        </w:tc>
      </w:tr>
      <w:tr>
        <w:trPr>
          <w:trHeight w:val="451"/>
        </w:trPr>
        <w:tc>
          <w:tcPr>
            <w:tcW w:w="20" w:type="dxa"/>
            <w:vAlign w:val="bottom"/>
          </w:tcPr>
          <w:p>
            <w:pPr>
              <w:spacing w:after="0"/>
              <w:rPr>
                <w:sz w:val="24"/>
                <w:szCs w:val="24"/>
                <w:color w:val="auto"/>
              </w:rPr>
            </w:pPr>
          </w:p>
        </w:tc>
        <w:tc>
          <w:tcPr>
            <w:tcW w:w="9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UCB Funding Corp.</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450"/>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United Community Development Corporation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451"/>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UCBI Georgia Credits,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450"/>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United Community Payment Systems, LLC (50% owned by United Community Bank)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371"/>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TFG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371"/>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FNBSM The Falls,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Florida</w:t>
            </w:r>
          </w:p>
        </w:tc>
      </w:tr>
      <w:tr>
        <w:trPr>
          <w:trHeight w:val="371"/>
        </w:trPr>
        <w:tc>
          <w:tcPr>
            <w:tcW w:w="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United Community Public Finance,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37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FinTrust Brokerage Services,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North Carolina</w:t>
            </w:r>
          </w:p>
        </w:tc>
      </w:tr>
      <w:tr>
        <w:trPr>
          <w:trHeight w:val="37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Community Insurance,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Florida</w:t>
            </w:r>
          </w:p>
        </w:tc>
      </w:tr>
      <w:tr>
        <w:trPr>
          <w:trHeight w:val="37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FinTrust Capital Advisors,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37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First Capital Trust II</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37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Tidelands Statutory Trust I</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451"/>
        </w:trPr>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 Oaks Statutory Trust I</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bl>
    <w:p>
      <w:pPr>
        <w:sectPr>
          <w:pgSz w:w="11900" w:h="16838" w:orient="portrait"/>
          <w:cols w:equalWidth="0" w:num="1">
            <w:col w:w="10660"/>
          </w:cols>
          <w:pgMar w:left="320" w:top="875" w:right="919" w:bottom="1440" w:gutter="0" w:footer="0" w:header="0"/>
        </w:sectPr>
      </w:pPr>
    </w:p>
    <w:bookmarkStart w:id="167" w:name="page168"/>
    <w:bookmarkEnd w:id="16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80"/>
        <w:spacing w:after="0"/>
        <w:rPr>
          <w:sz w:val="20"/>
          <w:szCs w:val="20"/>
          <w:color w:val="auto"/>
        </w:rPr>
      </w:pPr>
      <w:r>
        <w:rPr>
          <w:rFonts w:ascii="Georgia" w:cs="Georgia" w:eastAsia="Georgia" w:hAnsi="Georgia"/>
          <w:sz w:val="21"/>
          <w:szCs w:val="21"/>
          <w:u w:val="single" w:color="auto"/>
          <w:color w:val="auto"/>
        </w:rPr>
        <w:t>CONSENT OF INDEPENDENT REGISTERED PUBLIC ACCOUNTING FIRM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Georgia" w:cs="Georgia" w:eastAsia="Georgia" w:hAnsi="Georgia"/>
          <w:sz w:val="18"/>
          <w:szCs w:val="18"/>
          <w:color w:val="auto"/>
        </w:rPr>
        <w:t>We hereby consent to the incorporation by reference in the Registration Statements on Form S-3 (No. 333-268788) and S- 8 (Nos. 333-</w:t>
      </w:r>
    </w:p>
    <w:p>
      <w:pPr>
        <w:spacing w:after="0" w:line="25" w:lineRule="exact"/>
        <w:rPr>
          <w:sz w:val="20"/>
          <w:szCs w:val="20"/>
          <w:color w:val="auto"/>
        </w:rPr>
      </w:pPr>
    </w:p>
    <w:p>
      <w:pPr>
        <w:spacing w:after="0" w:line="233" w:lineRule="auto"/>
        <w:rPr>
          <w:sz w:val="20"/>
          <w:szCs w:val="20"/>
          <w:color w:val="auto"/>
        </w:rPr>
      </w:pPr>
      <w:r>
        <w:rPr>
          <w:rFonts w:ascii="Georgia" w:cs="Georgia" w:eastAsia="Georgia" w:hAnsi="Georgia"/>
          <w:sz w:val="18"/>
          <w:szCs w:val="18"/>
          <w:color w:val="auto"/>
        </w:rPr>
        <w:t>265839, 333-269144) of United Community Banks, Inc. of our report dated February 27, 2025 relating to the financial statements and the effectiveness of internal control over financial reporting, which appears in this Form 10-K.</w:t>
      </w:r>
    </w:p>
    <w:p>
      <w:pPr>
        <w:spacing w:after="0" w:line="379" w:lineRule="exact"/>
        <w:rPr>
          <w:sz w:val="20"/>
          <w:szCs w:val="20"/>
          <w:color w:val="auto"/>
        </w:rPr>
      </w:pPr>
    </w:p>
    <w:p>
      <w:pPr>
        <w:ind w:left="20"/>
        <w:spacing w:after="0"/>
        <w:rPr>
          <w:sz w:val="20"/>
          <w:szCs w:val="20"/>
          <w:color w:val="auto"/>
        </w:rPr>
      </w:pPr>
      <w:r>
        <w:rPr>
          <w:rFonts w:ascii="Georgia" w:cs="Georgia" w:eastAsia="Georgia" w:hAnsi="Georgia"/>
          <w:sz w:val="21"/>
          <w:szCs w:val="2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47536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475361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Georgia" w:cs="Georgia" w:eastAsia="Georgia" w:hAnsi="Georgia"/>
          <w:sz w:val="21"/>
          <w:szCs w:val="21"/>
          <w:color w:val="auto"/>
        </w:rPr>
        <w:t>Atlanta, Georgia</w:t>
      </w:r>
    </w:p>
    <w:p>
      <w:pPr>
        <w:spacing w:after="0" w:line="26" w:lineRule="exact"/>
        <w:rPr>
          <w:sz w:val="20"/>
          <w:szCs w:val="20"/>
          <w:color w:val="auto"/>
        </w:rPr>
      </w:pPr>
    </w:p>
    <w:p>
      <w:pPr>
        <w:ind w:left="20"/>
        <w:spacing w:after="0"/>
        <w:rPr>
          <w:sz w:val="20"/>
          <w:szCs w:val="20"/>
          <w:color w:val="auto"/>
        </w:rPr>
      </w:pPr>
      <w:r>
        <w:rPr>
          <w:rFonts w:ascii="Georgia" w:cs="Georgia" w:eastAsia="Georgia" w:hAnsi="Georgia"/>
          <w:sz w:val="21"/>
          <w:szCs w:val="21"/>
          <w:color w:val="auto"/>
        </w:rPr>
        <w:t>February 27, 2025</w:t>
      </w:r>
    </w:p>
    <w:p>
      <w:pPr>
        <w:sectPr>
          <w:pgSz w:w="11900" w:h="16838" w:orient="portrait"/>
          <w:cols w:equalWidth="0" w:num="1">
            <w:col w:w="10740"/>
          </w:cols>
          <w:pgMar w:left="320" w:top="874" w:right="8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17" w:lineRule="exact"/>
        <w:rPr>
          <w:sz w:val="20"/>
          <w:szCs w:val="20"/>
          <w:color w:val="auto"/>
        </w:rPr>
      </w:pPr>
    </w:p>
    <w:p>
      <w:pPr>
        <w:ind w:left="180" w:hanging="174"/>
        <w:spacing w:after="0"/>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United Community Banks, Inc. (the “Registrant”);</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8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4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7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firstLine="2"/>
        <w:spacing w:after="0" w:line="274" w:lineRule="auto"/>
        <w:tabs>
          <w:tab w:leader="none" w:pos="86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3" w:lineRule="exact"/>
        <w:rPr>
          <w:rFonts w:ascii="Times New Roman" w:cs="Times New Roman" w:eastAsia="Times New Roman" w:hAnsi="Times New Roman"/>
          <w:sz w:val="18"/>
          <w:szCs w:val="18"/>
          <w:color w:val="auto"/>
        </w:rPr>
      </w:pPr>
    </w:p>
    <w:p>
      <w:pPr>
        <w:ind w:left="640" w:firstLine="81"/>
        <w:spacing w:after="0" w:line="274" w:lineRule="auto"/>
        <w:tabs>
          <w:tab w:leader="none" w:pos="911"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firstLine="81"/>
        <w:spacing w:after="0" w:line="274" w:lineRule="auto"/>
        <w:tabs>
          <w:tab w:leader="none" w:pos="919"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7"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875"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17" w:lineRule="exact"/>
        <w:rPr>
          <w:sz w:val="20"/>
          <w:szCs w:val="20"/>
          <w:color w:val="auto"/>
        </w:rPr>
      </w:pPr>
    </w:p>
    <w:p>
      <w:pPr>
        <w:ind w:left="180" w:hanging="174"/>
        <w:spacing w:after="0"/>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United Community Banks, Inc. (the “Registrant”);</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8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4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7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firstLine="2"/>
        <w:spacing w:after="0" w:line="274" w:lineRule="auto"/>
        <w:tabs>
          <w:tab w:leader="none" w:pos="86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3" w:lineRule="exact"/>
        <w:rPr>
          <w:rFonts w:ascii="Times New Roman" w:cs="Times New Roman" w:eastAsia="Times New Roman" w:hAnsi="Times New Roman"/>
          <w:sz w:val="18"/>
          <w:szCs w:val="18"/>
          <w:color w:val="auto"/>
        </w:rPr>
      </w:pPr>
    </w:p>
    <w:p>
      <w:pPr>
        <w:ind w:left="640" w:firstLine="2"/>
        <w:spacing w:after="0" w:line="274" w:lineRule="auto"/>
        <w:tabs>
          <w:tab w:leader="none" w:pos="8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firstLine="2"/>
        <w:spacing w:after="0" w:line="274" w:lineRule="auto"/>
        <w:tabs>
          <w:tab w:leader="none" w:pos="84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1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874"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United Community Banks, Inc. (“United”) on Form 10-K for the period ending December 31, 2024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0" w:lineRule="exact"/>
        <w:rPr>
          <w:sz w:val="20"/>
          <w:szCs w:val="20"/>
          <w:color w:val="auto"/>
        </w:rPr>
      </w:pPr>
    </w:p>
    <w:p>
      <w:pPr>
        <w:ind w:left="1280" w:hanging="638"/>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134"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3"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Date: February 27, 2025</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lvl w:ilvl="1">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1)"/>
      <w:numFmt w:val="lowerRoman"/>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lvl w:ilvl="1">
      <w:lvlJc w:val="left"/>
      <w:lvlText w:val="(%2)"/>
      <w:numFmt w:val="decimal"/>
      <w:start w:val="1"/>
    </w:lvl>
  </w:abstractNum>
  <w:abstractNum w:abstractNumId="31">
    <w:nsid w:val="1381823A"/>
    <w:multiLevelType w:val="hybridMultilevel"/>
    <w:lvl w:ilvl="0">
      <w:lvlJc w:val="left"/>
      <w:lvlText w:val="(%1)"/>
      <w:numFmt w:val="decimal"/>
      <w:start w:val="7"/>
    </w:lvl>
    <w:lvl w:ilvl="1">
      <w:lvlJc w:val="left"/>
      <w:lvlText w:val="%2"/>
      <w:numFmt w:val="decimal"/>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lowerLetter"/>
      <w:start w:val="1"/>
    </w:lvl>
    <w:lvl w:ilvl="1">
      <w:lvlJc w:val="left"/>
      <w:lvlText w:val="(%2)"/>
      <w:numFmt w:val="lowerLetter"/>
      <w:start w:val="2"/>
    </w:lvl>
  </w:abstractNum>
  <w:abstractNum w:abstractNumId="41">
    <w:nsid w:val="168E121F"/>
    <w:multiLevelType w:val="hybridMultilevel"/>
    <w:lvl w:ilvl="0">
      <w:lvlJc w:val="left"/>
      <w:lvlText w:val="(%1)"/>
      <w:numFmt w:val="lowerLetter"/>
      <w:start w:val="1"/>
    </w:lvl>
    <w:lvl w:ilvl="1">
      <w:lvlJc w:val="left"/>
      <w:lvlText w:val="%2."/>
      <w:numFmt w:val="decimal"/>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decimal"/>
      <w:start w:val="23"/>
    </w:lvl>
  </w:abstractNum>
  <w:abstractNum w:abstractNumId="44">
    <w:nsid w:val="5DC79EA8"/>
    <w:multiLevelType w:val="hybridMultilevel"/>
    <w:lvl w:ilvl="0">
      <w:lvlJc w:val="left"/>
      <w:lvlText w:val="%1"/>
      <w:numFmt w:val="decimal"/>
      <w:start w:val="97"/>
    </w:lvl>
  </w:abstractNum>
  <w:abstractNum w:abstractNumId="45">
    <w:nsid w:val="540A471C"/>
    <w:multiLevelType w:val="hybridMultilevel"/>
    <w:lvl w:ilvl="0">
      <w:lvlJc w:val="left"/>
      <w:lvlText w:val="#"/>
      <w:numFmt w:val="bullet"/>
      <w:start w:val="1"/>
    </w:lvl>
    <w:lvl w:ilvl="1">
      <w:lvlJc w:val="left"/>
      <w:lvlText w:val="%2"/>
      <w:numFmt w:val="decimal"/>
      <w:start w:val="104"/>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2"/>
    </w:lvl>
  </w:abstractNum>
  <w:abstractNum w:abstractNumId="50">
    <w:nsid w:val="11447B73"/>
    <w:multiLevelType w:val="hybridMultilevel"/>
    <w:lvl w:ilvl="0">
      <w:lvlJc w:val="left"/>
      <w:lvlText w:val="7"/>
      <w:numFmt w:val="bullet"/>
      <w:start w:val="1"/>
    </w:lvl>
  </w:abstractNum>
  <w:abstractNum w:abstractNumId="51">
    <w:nsid w:val="42963E5A"/>
    <w:multiLevelType w:val="hybridMultilevel"/>
    <w:lvl w:ilvl="0">
      <w:lvlJc w:val="left"/>
      <w:lvlText w:val="(%1)"/>
      <w:numFmt w:val="lowerRoman"/>
      <w:start w:val="2"/>
    </w:lvl>
  </w:abstractNum>
  <w:abstractNum w:abstractNumId="52">
    <w:nsid w:val="A0382C5"/>
    <w:multiLevelType w:val="hybridMultilevel"/>
    <w:lvl w:ilvl="0">
      <w:lvlJc w:val="left"/>
      <w:lvlText w:val="(%1)"/>
      <w:numFmt w:val="lowerRoman"/>
      <w:start w:val="1"/>
    </w:lvl>
  </w:abstractNum>
  <w:abstractNum w:abstractNumId="53">
    <w:nsid w:val="8F2B15E"/>
    <w:multiLevelType w:val="hybridMultilevel"/>
    <w:lvl w:ilvl="0">
      <w:lvlJc w:val="left"/>
      <w:lvlText w:val="%1."/>
      <w:numFmt w:val="decimal"/>
      <w:start w:val="3"/>
    </w:lvl>
  </w:abstractNum>
  <w:abstractNum w:abstractNumId="54">
    <w:nsid w:val="1A32234B"/>
    <w:multiLevelType w:val="hybridMultilevel"/>
    <w:lvl w:ilvl="0">
      <w:lvlJc w:val="left"/>
      <w:lvlText w:val="%1."/>
      <w:numFmt w:val="decimal"/>
      <w:start w:val="4"/>
    </w:lvl>
  </w:abstractNum>
  <w:abstractNum w:abstractNumId="55">
    <w:nsid w:val="3B0FD379"/>
    <w:multiLevelType w:val="hybridMultilevel"/>
    <w:lvl w:ilvl="0">
      <w:lvlJc w:val="left"/>
      <w:lvlText w:val="%1."/>
      <w:numFmt w:val="decimal"/>
      <w:start w:val="5"/>
    </w:lvl>
  </w:abstractNum>
  <w:abstractNum w:abstractNumId="56">
    <w:nsid w:val="68EB2F63"/>
    <w:multiLevelType w:val="hybridMultilevel"/>
    <w:lvl w:ilvl="0">
      <w:lvlJc w:val="left"/>
      <w:lvlText w:val="%1."/>
      <w:numFmt w:val="decimal"/>
      <w:start w:val="6"/>
    </w:lvl>
  </w:abstractNum>
  <w:abstractNum w:abstractNumId="57">
    <w:nsid w:val="4962813B"/>
    <w:multiLevelType w:val="hybridMultilevel"/>
    <w:lvl w:ilvl="0">
      <w:lvlJc w:val="left"/>
      <w:lvlText w:val="%1."/>
      <w:numFmt w:val="decimal"/>
      <w:start w:val="7"/>
    </w:lvl>
  </w:abstractNum>
  <w:abstractNum w:abstractNumId="58">
    <w:nsid w:val="60B6DF70"/>
    <w:multiLevelType w:val="hybridMultilevel"/>
    <w:lvl w:ilvl="0">
      <w:lvlJc w:val="left"/>
      <w:lvlText w:val="(%1)"/>
      <w:numFmt w:val="lowerLetter"/>
      <w:start w:val="1"/>
    </w:lvl>
    <w:lvl w:ilvl="1">
      <w:lvlJc w:val="left"/>
      <w:lvlText w:val="(%2)"/>
      <w:numFmt w:val="lowerRoman"/>
      <w:start w:val="1"/>
    </w:lvl>
  </w:abstractNum>
  <w:abstractNum w:abstractNumId="59">
    <w:nsid w:val="6A5EE64"/>
    <w:multiLevelType w:val="hybridMultilevel"/>
    <w:lvl w:ilvl="0">
      <w:lvlJc w:val="left"/>
      <w:lvlText w:val="(%1)"/>
      <w:numFmt w:val="lowerLetter"/>
      <w:start w:val="2"/>
    </w:lvl>
  </w:abstractNum>
  <w:abstractNum w:abstractNumId="60">
    <w:nsid w:val="14330624"/>
    <w:multiLevelType w:val="hybridMultilevel"/>
    <w:lvl w:ilvl="0">
      <w:lvlJc w:val="left"/>
      <w:lvlText w:val="%1"/>
      <w:numFmt w:val="lowerLetter"/>
      <w:start w:val="1"/>
    </w:lvl>
    <w:lvl w:ilvl="1">
      <w:lvlJc w:val="left"/>
      <w:lvlText w:val="(%2)"/>
      <w:numFmt w:val="lowerLetter"/>
      <w:start w:val="1"/>
    </w:lvl>
  </w:abstractNum>
  <w:abstractNum w:abstractNumId="61">
    <w:nsid w:val="7FFFCA11"/>
    <w:multiLevelType w:val="hybridMultilevel"/>
    <w:lvl w:ilvl="0">
      <w:lvlJc w:val="left"/>
      <w:lvlText w:val="(%1)"/>
      <w:numFmt w:val="lowerLetter"/>
      <w:start w:val="4"/>
    </w:lvl>
    <w:lvl w:ilvl="1">
      <w:lvlJc w:val="left"/>
      <w:lvlText w:val="(%2)"/>
      <w:numFmt w:val="lowerLetter"/>
      <w:start w:val="3"/>
    </w:lvl>
  </w:abstractNum>
  <w:abstractNum w:abstractNumId="62">
    <w:nsid w:val="1A27709E"/>
    <w:multiLevelType w:val="hybridMultilevel"/>
    <w:lvl w:ilvl="0">
      <w:lvlJc w:val="left"/>
      <w:lvlText w:val="(%1)"/>
      <w:numFmt w:val="lowerLetter"/>
      <w:start w:val="4"/>
    </w:lvl>
  </w:abstractNum>
  <w:abstractNum w:abstractNumId="63">
    <w:nsid w:val="71EA1109"/>
    <w:multiLevelType w:val="hybridMultilevel"/>
    <w:lvl w:ilvl="0">
      <w:lvlJc w:val="left"/>
      <w:lvlText w:val="%1."/>
      <w:numFmt w:val="decimal"/>
      <w:start w:val="8"/>
    </w:lvl>
  </w:abstractNum>
  <w:abstractNum w:abstractNumId="64">
    <w:nsid w:val="100F59DC"/>
    <w:multiLevelType w:val="hybridMultilevel"/>
    <w:lvl w:ilvl="0">
      <w:lvlJc w:val="left"/>
      <w:lvlText w:val="%1."/>
      <w:numFmt w:val="decimal"/>
      <w:start w:val="9"/>
    </w:lvl>
  </w:abstractNum>
  <w:abstractNum w:abstractNumId="65">
    <w:nsid w:val="7FB7E0AA"/>
    <w:multiLevelType w:val="hybridMultilevel"/>
    <w:lvl w:ilvl="0">
      <w:lvlJc w:val="left"/>
      <w:lvlText w:val="%1."/>
      <w:numFmt w:val="decimal"/>
      <w:start w:val="10"/>
    </w:lvl>
  </w:abstractNum>
  <w:abstractNum w:abstractNumId="66">
    <w:nsid w:val="6EB5BD4"/>
    <w:multiLevelType w:val="hybridMultilevel"/>
    <w:lvl w:ilvl="0">
      <w:lvlJc w:val="left"/>
      <w:lvlText w:val="%1."/>
      <w:numFmt w:val="decimal"/>
      <w:start w:val="11"/>
    </w:lvl>
  </w:abstractNum>
  <w:abstractNum w:abstractNumId="67">
    <w:nsid w:val="6F6DD9AC"/>
    <w:multiLevelType w:val="hybridMultilevel"/>
    <w:lvl w:ilvl="0">
      <w:lvlJc w:val="left"/>
      <w:lvlText w:val="%1."/>
      <w:numFmt w:val="decimal"/>
      <w:start w:val="12"/>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1."/>
      <w:numFmt w:val="decimal"/>
      <w:start w:val="2"/>
    </w:lvl>
  </w:abstractNum>
  <w:abstractNum w:abstractNumId="71">
    <w:nsid w:val="4C04A8AF"/>
    <w:multiLevelType w:val="hybridMultilevel"/>
    <w:lvl w:ilvl="0">
      <w:lvlJc w:val="left"/>
      <w:lvlText w:val="(%1)"/>
      <w:numFmt w:val="lowerRoman"/>
      <w:start w:val="2"/>
    </w:lvl>
  </w:abstractNum>
  <w:abstractNum w:abstractNumId="72">
    <w:nsid w:val="1716703B"/>
    <w:multiLevelType w:val="hybridMultilevel"/>
    <w:lvl w:ilvl="0">
      <w:lvlJc w:val="left"/>
      <w:lvlText w:val="(%1)"/>
      <w:numFmt w:val="lowerLetter"/>
      <w:start w:val="35"/>
    </w:lvl>
  </w:abstractNum>
  <w:abstractNum w:abstractNumId="73">
    <w:nsid w:val="14E17E33"/>
    <w:multiLevelType w:val="hybridMultilevel"/>
    <w:lvl w:ilvl="0">
      <w:lvlJc w:val="left"/>
      <w:lvlText w:val="(%1)"/>
      <w:numFmt w:val="lowerLetter"/>
      <w:start w:val="4"/>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decimal"/>
      <w:start w:val="3"/>
    </w:lvl>
  </w:abstractNum>
  <w:abstractNum w:abstractNumId="76">
    <w:nsid w:val="68EBC550"/>
    <w:multiLevelType w:val="hybridMultilevel"/>
    <w:lvl w:ilvl="0">
      <w:lvlJc w:val="left"/>
      <w:lvlText w:val="%1."/>
      <w:numFmt w:val="decimal"/>
      <w:start w:val="4"/>
    </w:lvl>
  </w:abstractNum>
  <w:abstractNum w:abstractNumId="77">
    <w:nsid w:val="2DF6D648"/>
    <w:multiLevelType w:val="hybridMultilevel"/>
    <w:lvl w:ilvl="0">
      <w:lvlJc w:val="left"/>
      <w:lvlText w:val="%1."/>
      <w:numFmt w:val="decimal"/>
      <w:start w:val="5"/>
    </w:lvl>
  </w:abstractNum>
  <w:abstractNum w:abstractNumId="78">
    <w:nsid w:val="46B7D447"/>
    <w:multiLevelType w:val="hybridMultilevel"/>
    <w:lvl w:ilvl="0">
      <w:lvlJc w:val="left"/>
      <w:lvlText w:val="%1."/>
      <w:numFmt w:val="decimal"/>
      <w:start w:val="6"/>
    </w:lvl>
  </w:abstractNum>
  <w:abstractNum w:abstractNumId="79">
    <w:nsid w:val="4A2AC315"/>
    <w:multiLevelType w:val="hybridMultilevel"/>
    <w:lvl w:ilvl="0">
      <w:lvlJc w:val="left"/>
      <w:lvlText w:val="%1."/>
      <w:numFmt w:val="decimal"/>
      <w:start w:val="7"/>
    </w:lvl>
  </w:abstractNum>
  <w:abstractNum w:abstractNumId="80">
    <w:nsid w:val="39EE015C"/>
    <w:multiLevelType w:val="hybridMultilevel"/>
    <w:lvl w:ilvl="0">
      <w:lvlJc w:val="left"/>
      <w:lvlText w:val="(%1)"/>
      <w:numFmt w:val="lowerLetter"/>
      <w:start w:val="1"/>
    </w:lvl>
    <w:lvl w:ilvl="1">
      <w:lvlJc w:val="left"/>
      <w:lvlText w:val="(%2)"/>
      <w:numFmt w:val="lowerRoman"/>
      <w:start w:val="1"/>
    </w:lvl>
  </w:abstractNum>
  <w:abstractNum w:abstractNumId="81">
    <w:nsid w:val="57FC4FBB"/>
    <w:multiLevelType w:val="hybridMultilevel"/>
    <w:lvl w:ilvl="0">
      <w:lvlJc w:val="left"/>
      <w:lvlText w:val="%1"/>
      <w:numFmt w:val="lowerLetter"/>
      <w:start w:val="1"/>
    </w:lvl>
    <w:lvl w:ilvl="1">
      <w:lvlJc w:val="left"/>
      <w:lvlText w:val="(%2)"/>
      <w:numFmt w:val="lowerLetter"/>
      <w:start w:val="61"/>
    </w:lvl>
  </w:abstractNum>
  <w:abstractNum w:abstractNumId="82">
    <w:nsid w:val="CC1016F"/>
    <w:multiLevelType w:val="hybridMultilevel"/>
    <w:lvl w:ilvl="0">
      <w:lvlJc w:val="left"/>
      <w:lvlText w:val="(%1)"/>
      <w:numFmt w:val="lowerLetter"/>
      <w:start w:val="2"/>
    </w:lvl>
    <w:lvl w:ilvl="1">
      <w:lvlJc w:val="left"/>
      <w:lvlText w:val="%2"/>
      <w:numFmt w:val="lowerLetter"/>
      <w:start w:val="1"/>
    </w:lvl>
  </w:abstractNum>
  <w:abstractNum w:abstractNumId="83">
    <w:nsid w:val="43F18422"/>
    <w:multiLevelType w:val="hybridMultilevel"/>
    <w:lvl w:ilvl="0">
      <w:lvlJc w:val="left"/>
      <w:lvlText w:val="%1"/>
      <w:numFmt w:val="lowerLetter"/>
      <w:start w:val="1"/>
    </w:lvl>
    <w:lvl w:ilvl="1">
      <w:lvlJc w:val="left"/>
      <w:lvlText w:val="(%2)"/>
      <w:numFmt w:val="lowerLetter"/>
      <w:start w:val="1"/>
    </w:lvl>
  </w:abstractNum>
  <w:abstractNum w:abstractNumId="84">
    <w:nsid w:val="60EF0119"/>
    <w:multiLevelType w:val="hybridMultilevel"/>
    <w:lvl w:ilvl="0">
      <w:lvlJc w:val="left"/>
      <w:lvlText w:val="(%1)"/>
      <w:numFmt w:val="lowerLetter"/>
      <w:start w:val="4"/>
    </w:lvl>
    <w:lvl w:ilvl="1">
      <w:lvlJc w:val="left"/>
      <w:lvlText w:val="%2"/>
      <w:numFmt w:val="lowerLetter"/>
      <w:start w:val="1"/>
    </w:lvl>
  </w:abstractNum>
  <w:abstractNum w:abstractNumId="85">
    <w:nsid w:val="26F324BA"/>
    <w:multiLevelType w:val="hybridMultilevel"/>
    <w:lvl w:ilvl="0">
      <w:lvlJc w:val="left"/>
      <w:lvlText w:val="(%1)"/>
      <w:numFmt w:val="lowerLetter"/>
      <w:start w:val="3"/>
    </w:lvl>
  </w:abstractNum>
  <w:abstractNum w:abstractNumId="86">
    <w:nsid w:val="7F01579B"/>
    <w:multiLevelType w:val="hybridMultilevel"/>
    <w:lvl w:ilvl="0">
      <w:lvlJc w:val="left"/>
      <w:lvlText w:val="(%1)"/>
      <w:numFmt w:val="lowerRoman"/>
      <w:start w:val="2"/>
    </w:lvl>
  </w:abstractNum>
  <w:abstractNum w:abstractNumId="87">
    <w:nsid w:val="49DA307D"/>
    <w:multiLevelType w:val="hybridMultilevel"/>
    <w:lvl w:ilvl="0">
      <w:lvlJc w:val="left"/>
      <w:lvlText w:val="(%1)"/>
      <w:numFmt w:val="upperLetter"/>
      <w:start w:val="2"/>
    </w:lvl>
    <w:lvl w:ilvl="1">
      <w:lvlJc w:val="left"/>
      <w:lvlText w:val="%2."/>
      <w:numFmt w:val="decimal"/>
      <w:start w:val="8"/>
    </w:lvl>
  </w:abstractNum>
  <w:abstractNum w:abstractNumId="88">
    <w:nsid w:val="7055A5F5"/>
    <w:multiLevelType w:val="hybridMultilevel"/>
    <w:lvl w:ilvl="0">
      <w:lvlJc w:val="left"/>
      <w:lvlText w:val="%1."/>
      <w:numFmt w:val="decimal"/>
      <w:start w:val="9"/>
    </w:lvl>
  </w:abstractNum>
  <w:abstractNum w:abstractNumId="89">
    <w:nsid w:val="5FB8370B"/>
    <w:multiLevelType w:val="hybridMultilevel"/>
    <w:lvl w:ilvl="0">
      <w:lvlJc w:val="left"/>
      <w:lvlText w:val="%1."/>
      <w:numFmt w:val="decimal"/>
      <w:start w:val="10"/>
    </w:lvl>
  </w:abstractNum>
  <w:abstractNum w:abstractNumId="90">
    <w:nsid w:val="50801EE1"/>
    <w:multiLevelType w:val="hybridMultilevel"/>
    <w:lvl w:ilvl="0">
      <w:lvlJc w:val="left"/>
      <w:lvlText w:val="%1."/>
      <w:numFmt w:val="decimal"/>
      <w:start w:val="11"/>
    </w:lvl>
  </w:abstractNum>
  <w:abstractNum w:abstractNumId="91">
    <w:nsid w:val="488AC1A"/>
    <w:multiLevelType w:val="hybridMultilevel"/>
    <w:lvl w:ilvl="0">
      <w:lvlJc w:val="left"/>
      <w:lvlText w:val="%1."/>
      <w:numFmt w:val="decimal"/>
      <w:start w:val="12"/>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1"/>
      <w:numFmt w:val="lowerLetter"/>
      <w:start w:val="1"/>
    </w:lvl>
    <w:lvl w:ilvl="1">
      <w:lvlJc w:val="left"/>
      <w:lvlText w:val="%2."/>
      <w:numFmt w:val="lowerLetter"/>
      <w:start w:val="3"/>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1."/>
      <w:numFmt w:val="lowerRoman"/>
      <w:start w:val="2"/>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6" Type="http://schemas.openxmlformats.org/officeDocument/2006/relationships/image" Target="media/image193.png"/><Relationship Id="rId221"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jpeg"/><Relationship Id="rId266" Type="http://schemas.openxmlformats.org/officeDocument/2006/relationships/image" Target="media/image233.jpeg"/><Relationship Id="rId267" Type="http://schemas.openxmlformats.org/officeDocument/2006/relationships/image" Target="media/image234.jpeg"/><Relationship Id="rId268" Type="http://schemas.openxmlformats.org/officeDocument/2006/relationships/image" Target="media/image235.jpeg"/><Relationship Id="rId269" Type="http://schemas.openxmlformats.org/officeDocument/2006/relationships/image" Target="media/image236.jpeg"/><Relationship Id="rId270" Type="http://schemas.openxmlformats.org/officeDocument/2006/relationships/image" Target="media/image237.jpeg"/><Relationship Id="rId271" Type="http://schemas.openxmlformats.org/officeDocument/2006/relationships/image" Target="media/image238.jpe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00" Type="http://schemas.openxmlformats.org/officeDocument/2006/relationships/hyperlink" Target="https://www.sec.gov/Archives/edgar/data/857855/000110465922076762/tm2219182-3_s4a.htm#tAAAA" TargetMode="External"/><Relationship Id="rId201" Type="http://schemas.openxmlformats.org/officeDocument/2006/relationships/hyperlink" Target="https://www.sec.gov/Archives/edgar/data/857855/000110465923022325/tm236951d1_ex2-1.htm" TargetMode="External"/><Relationship Id="rId202" Type="http://schemas.openxmlformats.org/officeDocument/2006/relationships/hyperlink" Target="https://www.sec.gov/Archives/edgar/data/857855/000085785521000109/ucbi93021ex31restatedartic.htm" TargetMode="External"/><Relationship Id="rId203" Type="http://schemas.openxmlformats.org/officeDocument/2006/relationships/hyperlink" Target="https://www.sec.gov/Archives/edgar/data/857855/000157104915003882/t82199_ex3-2.htm" TargetMode="External"/><Relationship Id="rId204" Type="http://schemas.openxmlformats.org/officeDocument/2006/relationships/hyperlink" Target="https://www.sec.gov/Archives/edgar/data/857855/000157104915006745/t1501908_ex4-1.htm" TargetMode="External"/><Relationship Id="rId205" Type="http://schemas.openxmlformats.org/officeDocument/2006/relationships/hyperlink" Target="https://www.sec.gov/Archives/edgar/data/857855/000157104915006745/t1501908_ex4-2.htm" TargetMode="External"/><Relationship Id="rId207" Type="http://schemas.openxmlformats.org/officeDocument/2006/relationships/hyperlink" Target="https://www.sec.gov/Archives/edgar/data/857855/000114420418003238/tv483592_ex4-1.htm" TargetMode="External"/><Relationship Id="rId208" Type="http://schemas.openxmlformats.org/officeDocument/2006/relationships/hyperlink" Target="https://www.sec.gov/Archives/edgar/data/857855/000114420418003238/tv483592_ex4-2.htm" TargetMode="External"/><Relationship Id="rId209" Type="http://schemas.openxmlformats.org/officeDocument/2006/relationships/hyperlink" Target="https://www.sec.gov/Archives/edgar/data/857855/000110465920072017/tm2022256d1_ex4-2.htm" TargetMode="External"/><Relationship Id="rId210" Type="http://schemas.openxmlformats.org/officeDocument/2006/relationships/hyperlink" Target="https://www.sec.gov/Archives/edgar/data/857855/000085785521000012/ucbi1231202010kex411.htm" TargetMode="External"/><Relationship Id="rId211" Type="http://schemas.openxmlformats.org/officeDocument/2006/relationships/hyperlink" Target="https://www.sec.gov/Archives/edgar/data/857855/000110465920074182/tm2022777d1_ex4-1.htm" TargetMode="External"/><Relationship Id="rId212" Type="http://schemas.openxmlformats.org/officeDocument/2006/relationships/hyperlink" Target="https://www.sec.gov/Archives/edgar/data/857855/000110465920074182/tm2022777d1_ex4-2.htm" TargetMode="External"/><Relationship Id="rId213" Type="http://schemas.openxmlformats.org/officeDocument/2006/relationships/hyperlink" Target="https://www.sec.gov/Archives/edgar/data/857855/000114036122013333/ny20003550x2_def14a.htm#a002_v2" TargetMode="External"/><Relationship Id="rId214" Type="http://schemas.openxmlformats.org/officeDocument/2006/relationships/hyperlink" Target="https://www.sec.gov/Archives/edgar/data/857855/000085785522000043/ex102ucb2022omnibusequityp.htm" TargetMode="External"/><Relationship Id="rId215" Type="http://schemas.openxmlformats.org/officeDocument/2006/relationships/hyperlink" Target="https://www.sec.gov/Archives/edgar/data/857855/000085785524000010/ucbi1231202310kex104trsu.htm" TargetMode="External"/><Relationship Id="rId216" Type="http://schemas.openxmlformats.org/officeDocument/2006/relationships/hyperlink" Target="https://www.sec.gov/Archives/edgar/data/857855/000110465923022002/tm236836d1_ex10-3.htm" TargetMode="External"/><Relationship Id="rId217" Type="http://schemas.openxmlformats.org/officeDocument/2006/relationships/hyperlink" Target="https://www.sec.gov/Archives/edgar/data/857855/000110465923022002/tm236836d1_ex10-1.htm" TargetMode="External"/><Relationship Id="rId218" Type="http://schemas.openxmlformats.org/officeDocument/2006/relationships/hyperlink" Target="https://www.sec.gov/Archives/edgar/data/857855/000110465923022002/tm236836d1_ex10-2.htm" TargetMode="External"/><Relationship Id="rId219" Type="http://schemas.openxmlformats.org/officeDocument/2006/relationships/hyperlink" Target="https://www.sec.gov/Archives/edgar/data/857855/000085785520000011/ucbi1231201910kex1015.htm" TargetMode="External"/><Relationship Id="rId220" Type="http://schemas.openxmlformats.org/officeDocument/2006/relationships/hyperlink" Target="https://www.sec.gov/Archives/edgar/data/857855/000085785520000011/ucbi1231201910kex1016.htm" TargetMode="External"/><Relationship Id="rId222" Type="http://schemas.openxmlformats.org/officeDocument/2006/relationships/hyperlink" Target="https://www.sec.gov/Archives/edgar/data/857855/000085785520000011/ucbi1231201910kex1017.htm" TargetMode="External"/><Relationship Id="rId223" Type="http://schemas.openxmlformats.org/officeDocument/2006/relationships/hyperlink" Target="https://www.sec.gov/Archives/edgar/data/857855/000085785520000011/ucbi1231201910kex1018.htm" TargetMode="External"/><Relationship Id="rId224" Type="http://schemas.openxmlformats.org/officeDocument/2006/relationships/hyperlink" Target="https://www.sec.gov/Archives/edgar/data/857855/000085785520000011/ucbi1231201910kex1019.htm" TargetMode="External"/><Relationship Id="rId225" Type="http://schemas.openxmlformats.org/officeDocument/2006/relationships/hyperlink" Target="https://www.sec.gov/Archives/edgar/data/857855/000095014407004014/g07026exv10w5.htm" TargetMode="External"/><Relationship Id="rId226" Type="http://schemas.openxmlformats.org/officeDocument/2006/relationships/hyperlink" Target="https://www.sec.gov/Archives/edgar/data/857855/000085785523000058/ex101ucbiexecutiveannualin.htm" TargetMode="External"/><Relationship Id="rId227" Type="http://schemas.openxmlformats.org/officeDocument/2006/relationships/hyperlink" Target="https://www.sec.gov/Archives/edgar/data/857855/000085785524000010/ucbi12312023ex97ucbicomp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2025-02-27T17:15:22Z</dcterms:created>
  <dcterms:modified xsi:type="dcterms:W3CDTF">2025-02-27T17:15:22Z</dcterms:modified>
</cp:coreProperties>
</file>