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38"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4"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5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001-35095</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COMMUNITY BANKS,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3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Georgia</w:t>
            </w:r>
          </w:p>
        </w:tc>
        <w:tc>
          <w:tcPr>
            <w:tcW w:w="5980" w:type="dxa"/>
            <w:vAlign w:val="bottom"/>
            <w:gridSpan w:val="2"/>
          </w:tcPr>
          <w:p>
            <w:pPr>
              <w:jc w:val="center"/>
              <w:ind w:left="2159"/>
              <w:spacing w:after="0"/>
              <w:rPr>
                <w:sz w:val="20"/>
                <w:szCs w:val="20"/>
                <w:color w:val="auto"/>
              </w:rPr>
            </w:pPr>
            <w:r>
              <w:rPr>
                <w:rFonts w:ascii="Times New Roman" w:cs="Times New Roman" w:eastAsia="Times New Roman" w:hAnsi="Times New Roman"/>
                <w:sz w:val="16"/>
                <w:szCs w:val="16"/>
                <w:b w:val="1"/>
                <w:bCs w:val="1"/>
                <w:color w:val="auto"/>
              </w:rPr>
              <w:t>58-1807304</w:t>
            </w:r>
          </w:p>
        </w:tc>
      </w:tr>
      <w:tr>
        <w:trPr>
          <w:trHeight w:val="234"/>
        </w:trPr>
        <w:tc>
          <w:tcPr>
            <w:tcW w:w="20" w:type="dxa"/>
            <w:vAlign w:val="bottom"/>
          </w:tcPr>
          <w:p>
            <w:pPr>
              <w:spacing w:after="0"/>
              <w:rPr>
                <w:sz w:val="20"/>
                <w:szCs w:val="20"/>
                <w:color w:val="auto"/>
              </w:rPr>
            </w:pPr>
          </w:p>
        </w:tc>
        <w:tc>
          <w:tcPr>
            <w:tcW w:w="37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c>
          <w:tcPr>
            <w:tcW w:w="2240" w:type="dxa"/>
            <w:vAlign w:val="bottom"/>
          </w:tcPr>
          <w:p>
            <w:pPr>
              <w:spacing w:after="0"/>
              <w:rPr>
                <w:sz w:val="20"/>
                <w:szCs w:val="20"/>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338"/>
        </w:trPr>
        <w:tc>
          <w:tcPr>
            <w:tcW w:w="20" w:type="dxa"/>
            <w:vAlign w:val="bottom"/>
          </w:tcPr>
          <w:p>
            <w:pPr>
              <w:spacing w:after="0"/>
              <w:rPr>
                <w:sz w:val="24"/>
                <w:szCs w:val="24"/>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200 East Camperdown Way</w:t>
            </w:r>
          </w:p>
        </w:tc>
        <w:tc>
          <w:tcPr>
            <w:tcW w:w="22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Greenville, South Carolina</w:t>
            </w:r>
          </w:p>
        </w:tc>
        <w:tc>
          <w:tcPr>
            <w:tcW w:w="5980" w:type="dxa"/>
            <w:vAlign w:val="bottom"/>
            <w:gridSpan w:val="2"/>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w w:val="99"/>
              </w:rPr>
              <w:t>29601</w:t>
            </w:r>
          </w:p>
        </w:tc>
      </w:tr>
      <w:tr>
        <w:trPr>
          <w:trHeight w:val="209"/>
        </w:trPr>
        <w:tc>
          <w:tcPr>
            <w:tcW w:w="2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9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(800) 822-2651</w:t>
            </w:r>
          </w:p>
        </w:tc>
        <w:tc>
          <w:tcPr>
            <w:tcW w:w="37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4"/>
                <w:szCs w:val="24"/>
                <w:color w:val="auto"/>
              </w:rPr>
            </w:pPr>
          </w:p>
        </w:tc>
        <w:tc>
          <w:tcPr>
            <w:tcW w:w="2880" w:type="dxa"/>
            <w:vAlign w:val="bottom"/>
            <w:gridSpan w:val="2"/>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Common stock, par value $1 per share</w:t>
            </w:r>
          </w:p>
        </w:tc>
        <w:tc>
          <w:tcPr>
            <w:tcW w:w="280" w:type="dxa"/>
            <w:vAlign w:val="bottom"/>
          </w:tcPr>
          <w:p>
            <w:pPr>
              <w:spacing w:after="0"/>
              <w:rPr>
                <w:sz w:val="18"/>
                <w:szCs w:val="18"/>
                <w:color w:val="auto"/>
              </w:rPr>
            </w:pPr>
          </w:p>
        </w:tc>
        <w:tc>
          <w:tcPr>
            <w:tcW w:w="234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UCB</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61"/>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1/1000th interest in a share of</w:t>
            </w:r>
          </w:p>
        </w:tc>
        <w:tc>
          <w:tcPr>
            <w:tcW w:w="280" w:type="dxa"/>
            <w:vAlign w:val="bottom"/>
          </w:tcPr>
          <w:p>
            <w:pPr>
              <w:spacing w:after="0"/>
              <w:rPr>
                <w:sz w:val="13"/>
                <w:szCs w:val="13"/>
                <w:color w:val="auto"/>
              </w:rPr>
            </w:pPr>
          </w:p>
        </w:tc>
        <w:tc>
          <w:tcPr>
            <w:tcW w:w="2340" w:type="dxa"/>
            <w:vAlign w:val="bottom"/>
            <w:gridSpan w:val="2"/>
            <w:vMerge w:val="restart"/>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UCB PRI</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90"/>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Series I Non-Cumulative Preferred Stock</w:t>
            </w:r>
          </w:p>
        </w:tc>
        <w:tc>
          <w:tcPr>
            <w:tcW w:w="28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2"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4"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Large 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7" w:lineRule="exact"/>
        <w:rPr>
          <w:sz w:val="24"/>
          <w:szCs w:val="24"/>
          <w:color w:val="auto"/>
        </w:rPr>
      </w:pPr>
    </w:p>
    <w:p>
      <w:pPr>
        <w:spacing w:after="0" w:line="231"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 shell company (as defined in Rule 12b-2 of the Exchange Act).</w:t>
      </w:r>
    </w:p>
    <w:p>
      <w:pPr>
        <w:spacing w:after="0" w:line="16" w:lineRule="exact"/>
        <w:rPr>
          <w:sz w:val="24"/>
          <w:szCs w:val="24"/>
          <w:color w:val="auto"/>
        </w:rPr>
      </w:pPr>
    </w:p>
    <w:p>
      <w:pPr>
        <w:ind w:left="5180"/>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There were 119,286,806 shares of the registrant’s common stock, par value $1 per share, outstanding as of October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Glossary of Defined Terms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70"/>
        </w:trPr>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Cautionary Note Regarding Forward-looking Statements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70"/>
        </w:trPr>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40" w:type="dxa"/>
            <w:vAlign w:val="bottom"/>
            <w:gridSpan w:val="13"/>
            <w:shd w:val="clear" w:color="auto" w:fill="CCEEFF"/>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58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840" w:type="dxa"/>
            <w:vAlign w:val="bottom"/>
            <w:tcBorders>
              <w:top w:val="single" w:sz="8" w:color="CCEEFF"/>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40" w:type="dxa"/>
            <w:vAlign w:val="bottom"/>
            <w:tcBorders>
              <w:top w:val="single" w:sz="8" w:color="0000FF"/>
            </w:tcBorders>
            <w:gridSpan w:val="10"/>
          </w:tcPr>
          <w:p>
            <w:pPr>
              <w:spacing w:after="0"/>
              <w:rPr>
                <w:sz w:val="19"/>
                <w:szCs w:val="19"/>
                <w:color w:val="auto"/>
              </w:rPr>
            </w:pPr>
          </w:p>
        </w:tc>
        <w:tc>
          <w:tcPr>
            <w:tcW w:w="4200" w:type="dxa"/>
            <w:vAlign w:val="bottom"/>
            <w:tcBorders>
              <w:top w:val="single" w:sz="8" w:color="CCEEFF"/>
            </w:tcBorders>
            <w:gridSpan w:val="3"/>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Balance Sheets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Comprehensive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Changes in Shareholders’ Equity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Cash Flows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Notes to Consolidated Financial Statements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3.</w:t>
            </w: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4.</w:t>
            </w: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40" w:type="dxa"/>
            <w:vAlign w:val="bottom"/>
            <w:gridSpan w:val="13"/>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5.</w:t>
            </w: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Item 6.</w:t>
            </w:r>
          </w:p>
        </w:tc>
        <w:tc>
          <w:tcPr>
            <w:tcW w:w="440" w:type="dxa"/>
            <w:vAlign w:val="bottom"/>
          </w:tcPr>
          <w:p>
            <w:pPr>
              <w:spacing w:after="0"/>
              <w:rPr>
                <w:sz w:val="16"/>
                <w:szCs w:val="16"/>
                <w:color w:val="auto"/>
              </w:rPr>
            </w:pPr>
          </w:p>
        </w:tc>
        <w:tc>
          <w:tcPr>
            <w:tcW w:w="94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Exhibits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69"/>
        </w:trPr>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2023 10-K</w:t>
            </w:r>
          </w:p>
        </w:tc>
        <w:tc>
          <w:tcPr>
            <w:tcW w:w="120" w:type="dxa"/>
            <w:vAlign w:val="bottom"/>
            <w:tcBorders>
              <w:top w:val="single" w:sz="8" w:color="CCEEFF"/>
            </w:tcBorders>
            <w:shd w:val="clear" w:color="auto" w:fill="CCEEFF"/>
          </w:tcPr>
          <w:p>
            <w:pPr>
              <w:spacing w:after="0"/>
              <w:rPr>
                <w:sz w:val="14"/>
                <w:szCs w:val="14"/>
                <w:color w:val="auto"/>
              </w:rPr>
            </w:pPr>
          </w:p>
        </w:tc>
        <w:tc>
          <w:tcPr>
            <w:tcW w:w="85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United’s Annual Report on Form 10-K for the year ended December 31, 2023 filed with the SEC on February 23,</w:t>
            </w:r>
          </w:p>
        </w:tc>
      </w:tr>
      <w:tr>
        <w:trPr>
          <w:trHeight w:val="243"/>
        </w:trPr>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ALCO</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Asset/Liability Management Committee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Board of Directors</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losses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CET1</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 Mercantile Exchange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(interchangeable with "United" below)</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CVA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valuation adjustment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Modification made to borrowers experiencing financial difficulty</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 System</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FinTrust</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Collectively, FinTrust Brokerage Services, LLC and FinTrust Capital Advisors, LLC</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Miami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Miami Bancorp, Inc. and its wholly-owned subsidiary, First National Bank of South Miami</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Home Loan Bank</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FRB</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 Bank</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FTE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Fully taxable equivalent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GSE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on an unconsolidated basis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HTM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LIHTC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Low-income housing tax credit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MD&amp;A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MBS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NOW</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Negotiable order of withdrawal</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NPA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Proportional amortization method</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credit deteriorated</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Progress</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Progress Financial Corporation and its wholly-owned subsidiary, Progress Bank &amp; Trust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for the quarterly period ending September 30, 2024</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Department of the Treasury</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and its direct and indirect subsidiaries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Department of Agriculture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interest entity</w:t>
            </w:r>
          </w:p>
        </w:tc>
      </w:tr>
    </w:tbl>
    <w:p>
      <w:pPr>
        <w:spacing w:after="0" w:line="200" w:lineRule="exact"/>
        <w:rPr>
          <w:sz w:val="20"/>
          <w:szCs w:val="20"/>
          <w:color w:val="auto"/>
        </w:rPr>
      </w:pPr>
    </w:p>
    <w:p>
      <w:pPr>
        <w:sectPr>
          <w:pgSz w:w="11900" w:h="16838" w:orient="portrait"/>
          <w:cols w:equalWidth="0" w:num="1">
            <w:col w:w="11200"/>
          </w:cols>
          <w:pgMar w:left="320" w:top="927" w:right="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spacing w:after="0" w:line="207"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the banking sector, housing prices, the real estate market, the job market, consumer confidence, the financial condition of our borrowers and consumer spending habits, which may affect, among other things, the levels of NPAs, charge-offs and provision expense;</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policies associated with economic conditions, examination conclusions or regulatory developments;</w:t>
      </w:r>
    </w:p>
    <w:p>
      <w:pPr>
        <w:ind w:left="340" w:right="20" w:hanging="332"/>
        <w:spacing w:after="0" w:line="23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pandemics or public health conditions on the economic and business environments in which we operate, including the impact of actions taken by governmental authorities to address these situations;</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market, operational, liquidity and interest rate risks associated with our business;</w:t>
      </w:r>
    </w:p>
    <w:p>
      <w:pPr>
        <w:jc w:val="both"/>
        <w:ind w:left="340" w:hanging="332"/>
        <w:spacing w:after="0" w:line="23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or unanticipated changes in the interest rate environment, including interest rate changes made by the Federal Reserve, replacement or reform of other interest rate benchmarks, as well as cash flow reassessments may reduce net interest margin and/or the volumes and values of loans made or held as well as the value of other financial assets;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 the national or local economies in which we operate;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expansion into new geographic or product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our ability to identify and complete future mergers or acquisitions as well as our ability to successfully expand and integrate those businesses and operations that we acquire;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customers, third-party service providers or employees;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9" w:lineRule="exact"/>
        <w:rPr>
          <w:rFonts w:ascii="Times New Roman" w:cs="Times New Roman" w:eastAsia="Times New Roman" w:hAnsi="Times New Roman"/>
          <w:sz w:val="18"/>
          <w:szCs w:val="18"/>
          <w:color w:val="auto"/>
        </w:rPr>
      </w:pPr>
    </w:p>
    <w:p>
      <w:pPr>
        <w:ind w:left="340" w:hanging="332"/>
        <w:spacing w:after="0" w:line="24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make substantial expenditures to keep pace with regulatory initiatives and the rapid technological changes in the financial services market;</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access to capital, particularly if there were to be increased capital requirements or enhanced regulatory supervision;</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accounting changes that may adversely affect us;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ACL resulting from the CECL methodology, either alone or as that may be affected by conditions affecting our business;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us to conclude that there was impairment of any asset, including intangible assets, such as goodwill;</w:t>
      </w:r>
    </w:p>
    <w:p>
      <w:pPr>
        <w:spacing w:after="0" w:line="9" w:lineRule="exact"/>
        <w:rPr>
          <w:rFonts w:ascii="Times New Roman" w:cs="Times New Roman" w:eastAsia="Times New Roman" w:hAnsi="Times New Roman"/>
          <w:sz w:val="18"/>
          <w:szCs w:val="18"/>
          <w:color w:val="auto"/>
        </w:rPr>
      </w:pPr>
    </w:p>
    <w:p>
      <w:pPr>
        <w:ind w:left="340" w:hanging="332"/>
        <w:spacing w:after="0" w:line="24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declare and pay dividends and other distributions from the Bank to the Holding Company, which could affect Holding Company liquidity, including its ability to pay dividends to shareholders or take other capital actions;</w:t>
      </w:r>
    </w:p>
    <w:p>
      <w:pPr>
        <w:spacing w:after="0" w:line="1" w:lineRule="exact"/>
        <w:rPr>
          <w:rFonts w:ascii="Times New Roman" w:cs="Times New Roman" w:eastAsia="Times New Roman" w:hAnsi="Times New Roman"/>
          <w:sz w:val="18"/>
          <w:szCs w:val="18"/>
          <w:color w:val="auto"/>
        </w:rPr>
      </w:pPr>
    </w:p>
    <w:p>
      <w:pPr>
        <w:ind w:left="340" w:right="540" w:hanging="332"/>
        <w:spacing w:after="0" w:line="23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events beyond our control that may have a destabilizing effect on financial markets and the economy, such as inflation or recession, terrorist activities, wars and other foreign conflicts, climate change, natural disasters, disruptions in our customers’ supply chains, disruptions in transportation, essential utility outages or trade disputes and related tariffs; and</w:t>
      </w: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2023 10-K (including the “Risk Factor” section of that report), Quarterly Reports on Form 10-Q, and Current Reports on Form 8-K filed with the SEC and available at the SEC’s website at http://www.sec.gov. We do not intend to and, except as required by law, hereby disclaim any obligation to update or revise any forward-looking statement contained in this Report, which speaks only as of the date of its filing with the SEC, whether as a result of new information, future events, or otherwise. The financial statements and information contained herein have not been reviewed, or confirmed for accuracy or relevance, by the FDIC or any other regulator.</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 w:name="page5"/>
    <w:bookmarkEnd w:id="4"/>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Sheets </w:t>
      </w:r>
      <w:r>
        <w:rPr>
          <w:rFonts w:ascii="Times New Roman" w:cs="Times New Roman" w:eastAsia="Times New Roman" w:hAnsi="Times New Roman"/>
          <w:sz w:val="18"/>
          <w:szCs w:val="18"/>
          <w:i w:val="1"/>
          <w:iCs w:val="1"/>
          <w:color w:val="auto"/>
        </w:rPr>
        <w:t>(Unaudited)</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9"/>
        </w:trPr>
        <w:tc>
          <w:tcPr>
            <w:tcW w:w="8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200,781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537,395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803,094</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1,003,875</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4,023,455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3,331,084</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held-to-maturity (fair value $2,060,729 and $2,095,620, respectively)</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2,401,877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2,490,848</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Loans held for sale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33,008</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and leases held for investment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17,964,099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18,318,755</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Allowance for credit losses - loans and leases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(205,290)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(208,071)</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Loans and leases, net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17,758,809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18,110,684</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378,421</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345,371</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 net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975,117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990,087</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(including $104,796 and $111,879 at fair value, respectively)</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681,636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613,873</w:t>
            </w:r>
          </w:p>
        </w:tc>
        <w:tc>
          <w:tcPr>
            <w:tcW w:w="0" w:type="dxa"/>
            <w:vAlign w:val="bottom"/>
          </w:tcPr>
          <w:p>
            <w:pPr>
              <w:spacing w:after="0"/>
              <w:rPr>
                <w:sz w:val="1"/>
                <w:szCs w:val="1"/>
                <w:color w:val="auto"/>
              </w:rPr>
            </w:pPr>
          </w:p>
        </w:tc>
      </w:tr>
      <w:tr>
        <w:trPr>
          <w:trHeight w:val="212"/>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27,373,132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27,297,251</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6,222,518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6,534,307</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17,030,584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16,776,304</w:t>
            </w:r>
          </w:p>
        </w:tc>
        <w:tc>
          <w:tcPr>
            <w:tcW w:w="0" w:type="dxa"/>
            <w:vAlign w:val="bottom"/>
          </w:tcPr>
          <w:p>
            <w:pPr>
              <w:spacing w:after="0"/>
              <w:rPr>
                <w:sz w:val="1"/>
                <w:szCs w:val="1"/>
                <w:color w:val="auto"/>
              </w:rPr>
            </w:pPr>
          </w:p>
        </w:tc>
      </w:tr>
      <w:tr>
        <w:trPr>
          <w:trHeight w:val="207"/>
        </w:trPr>
        <w:tc>
          <w:tcPr>
            <w:tcW w:w="84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deposits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23,253,102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23,310,611</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324,823</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Accrued expenses and other liabilities (including $79,048 and $97,649 at fair value, respectively)</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396,987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400,292</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23,966,452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24,035,726</w:t>
            </w:r>
          </w:p>
        </w:tc>
        <w:tc>
          <w:tcPr>
            <w:tcW w:w="0" w:type="dxa"/>
            <w:vAlign w:val="bottom"/>
          </w:tcPr>
          <w:p>
            <w:pPr>
              <w:spacing w:after="0"/>
              <w:rPr>
                <w:sz w:val="1"/>
                <w:szCs w:val="1"/>
                <w:color w:val="auto"/>
              </w:rPr>
            </w:pPr>
          </w:p>
        </w:tc>
      </w:tr>
      <w:tr>
        <w:trPr>
          <w:trHeight w:val="19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44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Preferred stock, $1 par value: 10,000,000 shares authorized; 3,662 shares Series I issued and</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88,266</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outstanding; $25,000 per share liquidation preference</w:t>
            </w: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4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$1 par value: 200,000,000 shares authorized,</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119,283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119,010</w:t>
            </w:r>
          </w:p>
        </w:tc>
        <w:tc>
          <w:tcPr>
            <w:tcW w:w="0" w:type="dxa"/>
            <w:vAlign w:val="bottom"/>
          </w:tcPr>
          <w:p>
            <w:pPr>
              <w:spacing w:after="0"/>
              <w:rPr>
                <w:sz w:val="1"/>
                <w:szCs w:val="1"/>
                <w:color w:val="auto"/>
              </w:rPr>
            </w:pPr>
          </w:p>
        </w:tc>
      </w:tr>
      <w:tr>
        <w:trPr>
          <w:trHeight w:val="213"/>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119,282,762 and 119,010,319 shares issued and outstanding, respectively</w:t>
            </w: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issuable: 588,296 and 620,108 shares, respectively</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13,110</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2,707,266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2,699,112</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668,965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581,219</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(189,761)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(239,192)</w:t>
            </w:r>
          </w:p>
        </w:tc>
        <w:tc>
          <w:tcPr>
            <w:tcW w:w="0" w:type="dxa"/>
            <w:vAlign w:val="bottom"/>
          </w:tcPr>
          <w:p>
            <w:pPr>
              <w:spacing w:after="0"/>
              <w:rPr>
                <w:sz w:val="1"/>
                <w:szCs w:val="1"/>
                <w:color w:val="auto"/>
              </w:rPr>
            </w:pPr>
          </w:p>
        </w:tc>
      </w:tr>
      <w:tr>
        <w:trPr>
          <w:trHeight w:val="210"/>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3,406,680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3,261,525</w:t>
            </w:r>
          </w:p>
        </w:tc>
        <w:tc>
          <w:tcPr>
            <w:tcW w:w="0" w:type="dxa"/>
            <w:vAlign w:val="bottom"/>
          </w:tcPr>
          <w:p>
            <w:pPr>
              <w:spacing w:after="0"/>
              <w:rPr>
                <w:sz w:val="1"/>
                <w:szCs w:val="1"/>
                <w:color w:val="auto"/>
              </w:rPr>
            </w:pPr>
          </w:p>
        </w:tc>
      </w:tr>
      <w:tr>
        <w:trPr>
          <w:trHeight w:val="212"/>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27,373,132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27,297,251</w:t>
            </w:r>
          </w:p>
        </w:tc>
        <w:tc>
          <w:tcPr>
            <w:tcW w:w="0" w:type="dxa"/>
            <w:vAlign w:val="bottom"/>
          </w:tcPr>
          <w:p>
            <w:pPr>
              <w:spacing w:after="0"/>
              <w:rPr>
                <w:sz w:val="1"/>
                <w:szCs w:val="1"/>
                <w:color w:val="auto"/>
              </w:rPr>
            </w:pPr>
          </w:p>
        </w:tc>
      </w:tr>
      <w:tr>
        <w:trPr>
          <w:trHeight w:val="21"/>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4" w:right="27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Income </w:t>
      </w:r>
      <w:r>
        <w:rPr>
          <w:rFonts w:ascii="Times New Roman" w:cs="Times New Roman" w:eastAsia="Times New Roman" w:hAnsi="Times New Roman"/>
          <w:sz w:val="16"/>
          <w:szCs w:val="16"/>
          <w:i w:val="1"/>
          <w:iCs w:val="1"/>
          <w:color w:val="auto"/>
        </w:rPr>
        <w:t>(Unaudited)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80" w:type="dxa"/>
            <w:vAlign w:val="bottom"/>
          </w:tcPr>
          <w:p>
            <w:pPr>
              <w:spacing w:after="0"/>
              <w:rPr>
                <w:sz w:val="15"/>
                <w:szCs w:val="15"/>
                <w:color w:val="auto"/>
              </w:rPr>
            </w:pPr>
          </w:p>
        </w:tc>
        <w:tc>
          <w:tcPr>
            <w:tcW w:w="2320" w:type="dxa"/>
            <w:vAlign w:val="bottom"/>
            <w:gridSpan w:val="4"/>
          </w:tcPr>
          <w:p>
            <w:pPr>
              <w:jc w:val="right"/>
              <w:ind w:right="568"/>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10"/>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02"/>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28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388"/>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388"/>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0"/>
        </w:trPr>
        <w:tc>
          <w:tcPr>
            <w:tcW w:w="5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revenue:</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including fees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291,574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867,152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760,696</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Investment securities, including tax exempt of $1,713, $1,722, $5,133 and $5,563, respectively</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52,997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149,496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125,775</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 in banks and short-term investments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16,131</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11,938</w:t>
            </w:r>
          </w:p>
        </w:tc>
      </w:tr>
      <w:tr>
        <w:trPr>
          <w:trHeight w:val="189"/>
        </w:trPr>
        <w:tc>
          <w:tcPr>
            <w:tcW w:w="59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Total interest revenue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349,086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323,147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1,032,779</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898,409</w:t>
            </w:r>
          </w:p>
        </w:tc>
      </w:tr>
      <w:tr>
        <w:trPr>
          <w:trHeight w:val="148"/>
        </w:trPr>
        <w:tc>
          <w:tcPr>
            <w:tcW w:w="5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9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136,149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404,395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263,811</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3,186</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5,761</w:t>
            </w:r>
          </w:p>
        </w:tc>
      </w:tr>
      <w:tr>
        <w:trPr>
          <w:trHeight w:val="196"/>
        </w:trPr>
        <w:tc>
          <w:tcPr>
            <w:tcW w:w="5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3,724</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11,339</w:t>
            </w:r>
          </w:p>
        </w:tc>
      </w:tr>
      <w:tr>
        <w:trPr>
          <w:trHeight w:val="203"/>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interest expense</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139,900</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120,591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415,744</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284,097</w:t>
            </w:r>
          </w:p>
        </w:tc>
      </w:tr>
      <w:tr>
        <w:trPr>
          <w:trHeight w:val="189"/>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 interest revenue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209,186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617,035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614,312</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74,804</w:t>
            </w:r>
          </w:p>
        </w:tc>
      </w:tr>
      <w:tr>
        <w:trPr>
          <w:trHeight w:val="189"/>
        </w:trPr>
        <w:tc>
          <w:tcPr>
            <w:tcW w:w="5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Net interest revenue after provision for credit losses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194,758</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172,288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577,473</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539,508</w:t>
            </w:r>
          </w:p>
        </w:tc>
      </w:tr>
      <w:tr>
        <w:trPr>
          <w:trHeight w:val="148"/>
        </w:trPr>
        <w:tc>
          <w:tcPr>
            <w:tcW w:w="5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9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charges and fees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28,791</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Mortgage loan gains and other related fees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17,264</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Wealth management fees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17,775</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(losses) gains from sales of other loans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6,909</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Lending and loan servicing fees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9,979</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losses, net</w:t>
            </w:r>
          </w:p>
        </w:tc>
        <w:tc>
          <w:tcPr>
            <w:tcW w:w="2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19,499</w:t>
            </w:r>
          </w:p>
        </w:tc>
      </w:tr>
      <w:tr>
        <w:trPr>
          <w:trHeight w:val="190"/>
        </w:trPr>
        <w:tc>
          <w:tcPr>
            <w:tcW w:w="5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31,977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84,234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98,573</w:t>
            </w:r>
          </w:p>
        </w:tc>
      </w:tr>
      <w:tr>
        <w:trPr>
          <w:trHeight w:val="196"/>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202,849</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204,265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661,707</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638,081</w:t>
            </w: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3"/>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83,533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254,336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236,121</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Communications and equipment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31,654</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31,024</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Advertising and public relations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6,914</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Postage, printing and supplies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7,305</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19,670</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Lending and loan servicing expense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7,546</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Outside services - electronic banking</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8,646</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FDIC assessments and other regulatory charges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12,457</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11,120</w:t>
            </w: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21,444</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22,785</w:t>
            </w:r>
          </w:p>
        </w:tc>
      </w:tr>
      <w:tr>
        <w:trPr>
          <w:trHeight w:val="190"/>
        </w:trPr>
        <w:tc>
          <w:tcPr>
            <w:tcW w:w="5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143,065</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144,474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435,111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416,686</w:t>
            </w:r>
          </w:p>
        </w:tc>
      </w:tr>
      <w:tr>
        <w:trPr>
          <w:trHeight w:val="203"/>
        </w:trPr>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59,791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226,596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221,395</w:t>
            </w:r>
          </w:p>
        </w:tc>
      </w:tr>
      <w:tr>
        <w:trPr>
          <w:trHeight w:val="196"/>
        </w:trPr>
        <w:tc>
          <w:tcPr>
            <w:tcW w:w="5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12,437</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47,941</w:t>
            </w:r>
          </w:p>
        </w:tc>
      </w:tr>
      <w:tr>
        <w:trPr>
          <w:trHeight w:val="228"/>
        </w:trPr>
        <w:tc>
          <w:tcPr>
            <w:tcW w:w="5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47,866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176,593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173,454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28"/>
        </w:trPr>
        <w:tc>
          <w:tcPr>
            <w:tcW w:w="59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45,502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170,886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168,245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03"/>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5"/>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2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95"/>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0"/>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119,818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119,736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116,925</w:t>
            </w:r>
          </w:p>
        </w:tc>
      </w:tr>
      <w:tr>
        <w:trPr>
          <w:trHeight w:val="188"/>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119,952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119,827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117,084</w:t>
            </w:r>
          </w:p>
        </w:tc>
      </w:tr>
    </w:tbl>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Comprehensive Income </w:t>
      </w: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7"/>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Before-tax</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9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Net of Tax</w:t>
            </w: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40" w:type="dxa"/>
            <w:vAlign w:val="bottom"/>
          </w:tcPr>
          <w:p>
            <w:pPr>
              <w:spacing w:after="0"/>
              <w:rPr>
                <w:sz w:val="13"/>
                <w:szCs w:val="13"/>
                <w:color w:val="auto"/>
              </w:rPr>
            </w:pPr>
          </w:p>
        </w:tc>
        <w:tc>
          <w:tcPr>
            <w:tcW w:w="7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0" w:type="dxa"/>
            <w:vAlign w:val="bottom"/>
          </w:tcPr>
          <w:p>
            <w:pPr>
              <w:spacing w:after="0"/>
              <w:rPr>
                <w:sz w:val="1"/>
                <w:szCs w:val="1"/>
                <w:color w:val="auto"/>
              </w:rPr>
            </w:pPr>
          </w:p>
        </w:tc>
      </w:tr>
      <w:tr>
        <w:trPr>
          <w:trHeight w:val="162"/>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20" w:type="dxa"/>
            <w:vAlign w:val="bottom"/>
            <w:gridSpan w:val="3"/>
            <w:vMerge w:val="continue"/>
          </w:tcPr>
          <w:p>
            <w:pPr>
              <w:spacing w:after="0"/>
              <w:rPr>
                <w:sz w:val="14"/>
                <w:szCs w:val="14"/>
                <w:color w:val="auto"/>
              </w:rPr>
            </w:pPr>
          </w:p>
        </w:tc>
        <w:tc>
          <w:tcPr>
            <w:tcW w:w="9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920" w:type="dxa"/>
            <w:vAlign w:val="bottom"/>
            <w:gridSpan w:val="3"/>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9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2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20" w:type="dxa"/>
            <w:vAlign w:val="bottom"/>
          </w:tcPr>
          <w:p>
            <w:pPr>
              <w:spacing w:after="0"/>
              <w:rPr>
                <w:sz w:val="18"/>
                <w:szCs w:val="18"/>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98"/>
        </w:trPr>
        <w:tc>
          <w:tcPr>
            <w:tcW w:w="5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226,596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176,593</w:t>
            </w:r>
          </w:p>
        </w:tc>
        <w:tc>
          <w:tcPr>
            <w:tcW w:w="0" w:type="dxa"/>
            <w:vAlign w:val="bottom"/>
          </w:tcPr>
          <w:p>
            <w:pPr>
              <w:spacing w:after="0"/>
              <w:rPr>
                <w:sz w:val="1"/>
                <w:szCs w:val="1"/>
                <w:color w:val="auto"/>
              </w:rPr>
            </w:pPr>
          </w:p>
        </w:tc>
      </w:tr>
      <w:tr>
        <w:trPr>
          <w:trHeight w:val="20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Unrealized gains on available-for-sale securities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61,534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46,802</w:t>
            </w:r>
          </w:p>
        </w:tc>
        <w:tc>
          <w:tcPr>
            <w:tcW w:w="0" w:type="dxa"/>
            <w:vAlign w:val="bottom"/>
          </w:tcPr>
          <w:p>
            <w:pPr>
              <w:spacing w:after="0"/>
              <w:rPr>
                <w:sz w:val="1"/>
                <w:szCs w:val="1"/>
                <w:color w:val="auto"/>
              </w:rPr>
            </w:pPr>
          </w:p>
        </w:tc>
      </w:tr>
      <w:tr>
        <w:trPr>
          <w:trHeight w:val="148"/>
        </w:trPr>
        <w:tc>
          <w:tcPr>
            <w:tcW w:w="58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5"/>
                <w:szCs w:val="15"/>
                <w:color w:val="auto"/>
              </w:rPr>
              <w:t>Amortization of unrealized losses on held-to-maturity securities transferred from</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available-for-sale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5,049</w:t>
            </w:r>
          </w:p>
        </w:tc>
        <w:tc>
          <w:tcPr>
            <w:tcW w:w="0" w:type="dxa"/>
            <w:vAlign w:val="bottom"/>
          </w:tcPr>
          <w:p>
            <w:pPr>
              <w:spacing w:after="0"/>
              <w:rPr>
                <w:sz w:val="1"/>
                <w:szCs w:val="1"/>
                <w:color w:val="auto"/>
              </w:rPr>
            </w:pPr>
          </w:p>
        </w:tc>
      </w:tr>
      <w:tr>
        <w:trPr>
          <w:trHeight w:val="207"/>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Derivative instruments designated as cash flow hedges: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Unrealized holding gains (losses) on derivatives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Gains on derivative instruments realized in net income</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(3,224)</w:t>
            </w:r>
          </w:p>
        </w:tc>
        <w:tc>
          <w:tcPr>
            <w:tcW w:w="0" w:type="dxa"/>
            <w:vAlign w:val="bottom"/>
          </w:tcPr>
          <w:p>
            <w:pPr>
              <w:spacing w:after="0"/>
              <w:rPr>
                <w:sz w:val="1"/>
                <w:szCs w:val="1"/>
                <w:color w:val="auto"/>
              </w:rPr>
            </w:pPr>
          </w:p>
        </w:tc>
      </w:tr>
      <w:tr>
        <w:trPr>
          <w:trHeight w:val="194"/>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Net cash flow hedge activity</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(2,520)</w:t>
            </w: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defined benefit pension plan net periodic pension cost components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94"/>
        </w:trPr>
        <w:tc>
          <w:tcPr>
            <w:tcW w:w="58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5"/>
                <w:szCs w:val="15"/>
                <w:color w:val="auto"/>
              </w:rPr>
              <w:t>Total other comprehensive income</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58,036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(13,260)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44,776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65,013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(15,582)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49,431</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gridSpan w:val="2"/>
            <w:shd w:val="clear" w:color="auto" w:fill="CCEEFF"/>
          </w:tcPr>
          <w:p>
            <w:pPr>
              <w:ind w:left="360"/>
              <w:spacing w:after="0" w:line="172" w:lineRule="exact"/>
              <w:rPr>
                <w:sz w:val="20"/>
                <w:szCs w:val="20"/>
                <w:color w:val="auto"/>
              </w:rPr>
            </w:pPr>
            <w:r>
              <w:rPr>
                <w:rFonts w:ascii="Times New Roman" w:cs="Times New Roman" w:eastAsia="Times New Roman" w:hAnsi="Times New Roman"/>
                <w:sz w:val="15"/>
                <w:szCs w:val="15"/>
                <w:color w:val="auto"/>
              </w:rPr>
              <w:t>Comprehensive income</w:t>
            </w: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117,820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(25,697)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92,123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291,609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(65,585)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226,024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7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221,395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173,454</w:t>
            </w:r>
          </w:p>
        </w:tc>
        <w:tc>
          <w:tcPr>
            <w:tcW w:w="0" w:type="dxa"/>
            <w:vAlign w:val="bottom"/>
          </w:tcPr>
          <w:p>
            <w:pPr>
              <w:spacing w:after="0"/>
              <w:rPr>
                <w:sz w:val="1"/>
                <w:szCs w:val="1"/>
                <w:color w:val="auto"/>
              </w:rPr>
            </w:pPr>
          </w:p>
        </w:tc>
      </w:tr>
      <w:tr>
        <w:trPr>
          <w:trHeight w:val="20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Unrealized (losses) gains on available-for-sale securities: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Unrealized holding (losses) gains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(11,285)</w:t>
            </w: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Reclassification adjustment for losses included in net income</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1,270</w:t>
            </w:r>
          </w:p>
        </w:tc>
        <w:tc>
          <w:tcPr>
            <w:tcW w:w="0" w:type="dxa"/>
            <w:vAlign w:val="bottom"/>
          </w:tcPr>
          <w:p>
            <w:pPr>
              <w:spacing w:after="0"/>
              <w:rPr>
                <w:sz w:val="1"/>
                <w:szCs w:val="1"/>
                <w:color w:val="auto"/>
              </w:rPr>
            </w:pPr>
          </w:p>
        </w:tc>
      </w:tr>
      <w:tr>
        <w:trPr>
          <w:trHeight w:val="194"/>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Net unrealized (losses) gains</w:t>
            </w: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(38,209)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8,900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(29,309)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(13,039)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3,024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(10,015)</w:t>
            </w:r>
          </w:p>
        </w:tc>
        <w:tc>
          <w:tcPr>
            <w:tcW w:w="0" w:type="dxa"/>
            <w:vAlign w:val="bottom"/>
          </w:tcPr>
          <w:p>
            <w:pPr>
              <w:spacing w:after="0"/>
              <w:rPr>
                <w:sz w:val="1"/>
                <w:szCs w:val="1"/>
                <w:color w:val="auto"/>
              </w:rPr>
            </w:pPr>
          </w:p>
        </w:tc>
      </w:tr>
      <w:tr>
        <w:trPr>
          <w:trHeight w:val="151"/>
        </w:trPr>
        <w:tc>
          <w:tcPr>
            <w:tcW w:w="5820" w:type="dxa"/>
            <w:vAlign w:val="bottom"/>
            <w:gridSpan w:val="2"/>
            <w:shd w:val="clear" w:color="auto" w:fill="CCEEFF"/>
          </w:tcPr>
          <w:p>
            <w:pPr>
              <w:ind w:left="140"/>
              <w:spacing w:after="0" w:line="151" w:lineRule="exact"/>
              <w:rPr>
                <w:sz w:val="20"/>
                <w:szCs w:val="20"/>
                <w:color w:val="auto"/>
              </w:rPr>
            </w:pPr>
            <w:r>
              <w:rPr>
                <w:rFonts w:ascii="Times New Roman" w:cs="Times New Roman" w:eastAsia="Times New Roman" w:hAnsi="Times New Roman"/>
                <w:sz w:val="15"/>
                <w:szCs w:val="15"/>
                <w:color w:val="auto"/>
              </w:rPr>
              <w:t>Amortization of unrealized losses on held-to-maturity securities transferred from</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available-for-sale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6,047</w:t>
            </w:r>
          </w:p>
        </w:tc>
        <w:tc>
          <w:tcPr>
            <w:tcW w:w="0" w:type="dxa"/>
            <w:vAlign w:val="bottom"/>
          </w:tcPr>
          <w:p>
            <w:pPr>
              <w:spacing w:after="0"/>
              <w:rPr>
                <w:sz w:val="1"/>
                <w:szCs w:val="1"/>
                <w:color w:val="auto"/>
              </w:rPr>
            </w:pPr>
          </w:p>
        </w:tc>
      </w:tr>
      <w:tr>
        <w:trPr>
          <w:trHeight w:val="200"/>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Derivative instruments designated as cash flow hedges: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Unrealized holding gains on derivatives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2,377</w:t>
            </w:r>
          </w:p>
        </w:tc>
        <w:tc>
          <w:tcPr>
            <w:tcW w:w="0" w:type="dxa"/>
            <w:vAlign w:val="bottom"/>
          </w:tcPr>
          <w:p>
            <w:pPr>
              <w:spacing w:after="0"/>
              <w:rPr>
                <w:sz w:val="1"/>
                <w:szCs w:val="1"/>
                <w:color w:val="auto"/>
              </w:rPr>
            </w:pPr>
          </w:p>
        </w:tc>
      </w:tr>
      <w:tr>
        <w:trPr>
          <w:trHeight w:val="200"/>
        </w:trPr>
        <w:tc>
          <w:tcPr>
            <w:tcW w:w="58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5"/>
                <w:szCs w:val="15"/>
                <w:color w:val="auto"/>
              </w:rPr>
              <w:t>Gains on derivative instruments realized in net income</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(1,562)</w:t>
            </w:r>
          </w:p>
        </w:tc>
        <w:tc>
          <w:tcPr>
            <w:tcW w:w="0" w:type="dxa"/>
            <w:vAlign w:val="bottom"/>
          </w:tcPr>
          <w:p>
            <w:pPr>
              <w:spacing w:after="0"/>
              <w:rPr>
                <w:sz w:val="1"/>
                <w:szCs w:val="1"/>
                <w:color w:val="auto"/>
              </w:rPr>
            </w:pPr>
          </w:p>
        </w:tc>
      </w:tr>
      <w:tr>
        <w:trPr>
          <w:trHeight w:val="198"/>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cash flow hedge activity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w:t>
            </w:r>
          </w:p>
        </w:tc>
        <w:tc>
          <w:tcPr>
            <w:tcW w:w="0" w:type="dxa"/>
            <w:vAlign w:val="bottom"/>
          </w:tcPr>
          <w:p>
            <w:pPr>
              <w:spacing w:after="0"/>
              <w:rPr>
                <w:sz w:val="1"/>
                <w:szCs w:val="1"/>
                <w:color w:val="auto"/>
              </w:rPr>
            </w:pPr>
          </w:p>
        </w:tc>
      </w:tr>
      <w:tr>
        <w:trPr>
          <w:trHeight w:val="200"/>
        </w:trPr>
        <w:tc>
          <w:tcPr>
            <w:tcW w:w="5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Amortization of defined benefit pension plan net periodic pension cost components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0" w:type="dxa"/>
            <w:vAlign w:val="bottom"/>
          </w:tcPr>
          <w:p>
            <w:pPr>
              <w:spacing w:after="0"/>
              <w:rPr>
                <w:sz w:val="1"/>
                <w:szCs w:val="1"/>
                <w:color w:val="auto"/>
              </w:rPr>
            </w:pPr>
          </w:p>
        </w:tc>
      </w:tr>
      <w:tr>
        <w:trPr>
          <w:trHeight w:val="19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other comprehensive (loss) income</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(34,621)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(26,598)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(3,017)</w:t>
            </w:r>
          </w:p>
        </w:tc>
        <w:tc>
          <w:tcPr>
            <w:tcW w:w="0" w:type="dxa"/>
            <w:vAlign w:val="bottom"/>
          </w:tcPr>
          <w:p>
            <w:pPr>
              <w:spacing w:after="0"/>
              <w:rPr>
                <w:sz w:val="1"/>
                <w:szCs w:val="1"/>
                <w:color w:val="auto"/>
              </w:rPr>
            </w:pPr>
          </w:p>
        </w:tc>
      </w:tr>
      <w:tr>
        <w:trPr>
          <w:trHeight w:val="198"/>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25,170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(3,902)</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21,268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217,597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(47,160)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170,437</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 of Changes in Shareholders’ Equity </w:t>
      </w: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Issuable</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4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115,265,912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96,165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115,266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2,610,523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577,316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(305,907)</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3,105,591</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47,866</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(26,598)</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acquisitions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3,508,604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87,679</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 ($0.23 per share)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(27,733)</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preferred stock</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(5,882)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118,975,652</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90,283</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118,976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2,697,671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596,617</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(332,505)</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3,183,824</w:t>
            </w:r>
          </w:p>
        </w:tc>
        <w:tc>
          <w:tcPr>
            <w:tcW w:w="0" w:type="dxa"/>
            <w:vAlign w:val="bottom"/>
          </w:tcPr>
          <w:p>
            <w:pPr>
              <w:spacing w:after="0"/>
              <w:rPr>
                <w:sz w:val="1"/>
                <w:szCs w:val="1"/>
                <w:color w:val="auto"/>
              </w:rPr>
            </w:pPr>
          </w:p>
        </w:tc>
      </w:tr>
      <w:tr>
        <w:trPr>
          <w:trHeight w:val="21"/>
        </w:trPr>
        <w:tc>
          <w:tcPr>
            <w:tcW w:w="3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119,174,803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2,705,345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652,239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(234,537)</w:t>
            </w:r>
          </w:p>
        </w:tc>
        <w:tc>
          <w:tcPr>
            <w:tcW w:w="1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3,342,633</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47,347</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44,776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44,776</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 ($0.24 per share)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(29,048)</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2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119,282,762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2,707,266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668,965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(189,761)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3,406,680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106,222,758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96,422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2,306,366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(329,488)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2,700,674</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173,454</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acquisitions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12,279,135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381,861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394,140</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preferred stock</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(6,139)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($0.69 per share)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(81,411)</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10,248</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118,975,652</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90,283</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118,976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2,697,671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596,617</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(332,505)</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3,183,824</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119,010,319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119,010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2,699,112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581,219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(239,192)</w:t>
            </w:r>
          </w:p>
        </w:tc>
        <w:tc>
          <w:tcPr>
            <w:tcW w:w="1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3,261,525</w:t>
            </w: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176,593</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49,431</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 ($0.70 per share)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(84,128)</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8,012</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53,043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2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119,282,762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88,266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2,707,266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668,965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(189,761)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3,406,680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74" w:right="35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Cash Flows </w:t>
      </w:r>
      <w:r>
        <w:rPr>
          <w:rFonts w:ascii="Times New Roman" w:cs="Times New Roman" w:eastAsia="Times New Roman" w:hAnsi="Times New Roman"/>
          <w:sz w:val="16"/>
          <w:szCs w:val="16"/>
          <w:i w:val="1"/>
          <w:i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202"/>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80" w:type="dxa"/>
            <w:vAlign w:val="bottom"/>
          </w:tcPr>
          <w:p>
            <w:pPr>
              <w:spacing w:after="0"/>
              <w:rPr>
                <w:sz w:val="17"/>
                <w:szCs w:val="17"/>
                <w:color w:val="auto"/>
              </w:rPr>
            </w:pPr>
          </w:p>
        </w:tc>
        <w:tc>
          <w:tcPr>
            <w:tcW w:w="118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6"/>
        </w:trPr>
        <w:tc>
          <w:tcPr>
            <w:tcW w:w="8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176,593</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173,454</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Depreciation, amortization and accretion, net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31,547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34,027</w:t>
            </w:r>
          </w:p>
        </w:tc>
      </w:tr>
      <w:tr>
        <w:trPr>
          <w:trHeight w:val="205"/>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39,562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74,804</w:t>
            </w:r>
          </w:p>
        </w:tc>
      </w:tr>
      <w:tr>
        <w:trPr>
          <w:trHeight w:val="200"/>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Stock based compensation</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7,093</w:t>
            </w:r>
          </w:p>
        </w:tc>
      </w:tr>
      <w:tr>
        <w:trPr>
          <w:trHeight w:val="205"/>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income tax expense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14,645</w:t>
            </w:r>
          </w:p>
        </w:tc>
      </w:tr>
      <w:tr>
        <w:trPr>
          <w:trHeight w:val="200"/>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Securities losses, net</w:t>
            </w:r>
          </w:p>
        </w:tc>
        <w:tc>
          <w:tcPr>
            <w:tcW w:w="1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1,644</w:t>
            </w:r>
          </w:p>
        </w:tc>
      </w:tr>
      <w:tr>
        <w:trPr>
          <w:trHeight w:val="205"/>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losses (gains) from sales of other loans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22,867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(6,909)</w:t>
            </w:r>
          </w:p>
        </w:tc>
      </w:tr>
      <w:tr>
        <w:trPr>
          <w:trHeight w:val="200"/>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FinTrust goodwill write-down</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Other assets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(16,935)</w:t>
            </w:r>
          </w:p>
        </w:tc>
      </w:tr>
      <w:tr>
        <w:trPr>
          <w:trHeight w:val="205"/>
        </w:trPr>
        <w:tc>
          <w:tcPr>
            <w:tcW w:w="8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(46,946)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11,796</w:t>
            </w:r>
          </w:p>
        </w:tc>
      </w:tr>
      <w:tr>
        <w:trPr>
          <w:trHeight w:val="200"/>
        </w:trPr>
        <w:tc>
          <w:tcPr>
            <w:tcW w:w="83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5"/>
                <w:szCs w:val="15"/>
                <w:color w:val="auto"/>
              </w:rPr>
              <w:t>Loans held for sale</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(16,792)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(21,423)</w:t>
            </w:r>
          </w:p>
        </w:tc>
      </w:tr>
      <w:tr>
        <w:trPr>
          <w:trHeight w:val="196"/>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201,642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272,196</w:t>
            </w:r>
          </w:p>
        </w:tc>
      </w:tr>
      <w:tr>
        <w:trPr>
          <w:trHeight w:val="18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Debt securities held-to-maturity:</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maturities and calls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93,491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100,396</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Debt securities available-for-sale: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sales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595,234</w:t>
            </w:r>
          </w:p>
        </w:tc>
      </w:tr>
      <w:tr>
        <w:trPr>
          <w:trHeight w:val="200"/>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Proceeds from maturities and calls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475,742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421,924</w:t>
            </w:r>
          </w:p>
        </w:tc>
      </w:tr>
      <w:tr>
        <w:trPr>
          <w:trHeight w:val="205"/>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(1,069,559)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(295,054)</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decrease (increase) in loans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316,837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(875,223)</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Payments for other investments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(102,032)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(134,439)</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Proceeds from other investments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124,056</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sales of premises and equipment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2,529</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Purchases of premises and equipment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(41,505)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(59,157)</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cash received in acquisition</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207,566</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cash paid for branch disposal</w:t>
            </w:r>
          </w:p>
        </w:tc>
        <w:tc>
          <w:tcPr>
            <w:tcW w:w="1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(93,613)</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investing inflows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12,911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3,413</w:t>
            </w:r>
          </w:p>
        </w:tc>
      </w:tr>
      <w:tr>
        <w:trPr>
          <w:trHeight w:val="194"/>
        </w:trPr>
        <w:tc>
          <w:tcPr>
            <w:tcW w:w="8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(310,420)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(2,368)</w:t>
            </w:r>
          </w:p>
        </w:tc>
      </w:tr>
      <w:tr>
        <w:trPr>
          <w:trHeight w:val="185"/>
        </w:trPr>
        <w:tc>
          <w:tcPr>
            <w:tcW w:w="8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2"/>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(decrease) increase in deposits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(58,291)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886,440</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decrease in short-term borrowings</w:t>
            </w:r>
          </w:p>
        </w:tc>
        <w:tc>
          <w:tcPr>
            <w:tcW w:w="1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(310,267)</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Repayment of long-term debt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Proceeds from FHLB advances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2,225,000</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Repayment of FHLB advances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(2,870,000)</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Cash dividends on common stock</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(83,269)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(77,352)</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dividends on preferred stock</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(5,062)</w:t>
            </w:r>
          </w:p>
        </w:tc>
      </w:tr>
      <w:tr>
        <w:trPr>
          <w:trHeight w:val="200"/>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Other financing inflows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5,405</w:t>
            </w:r>
          </w:p>
        </w:tc>
      </w:tr>
      <w:tr>
        <w:trPr>
          <w:trHeight w:val="205"/>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financing outflows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(11,340)</w:t>
            </w:r>
          </w:p>
        </w:tc>
      </w:tr>
      <w:tr>
        <w:trPr>
          <w:trHeight w:val="194"/>
        </w:trPr>
        <w:tc>
          <w:tcPr>
            <w:tcW w:w="8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financing activities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(155,058)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(157,176)</w:t>
            </w:r>
          </w:p>
        </w:tc>
      </w:tr>
      <w:tr>
        <w:trPr>
          <w:trHeight w:val="185"/>
        </w:trPr>
        <w:tc>
          <w:tcPr>
            <w:tcW w:w="8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2"/>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Net change in cash and cash equivalents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(263,836)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112,652</w:t>
            </w:r>
          </w:p>
        </w:tc>
      </w:tr>
      <w:tr>
        <w:trPr>
          <w:trHeight w:val="203"/>
        </w:trPr>
        <w:tc>
          <w:tcPr>
            <w:tcW w:w="8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2"/>
        </w:trPr>
        <w:tc>
          <w:tcPr>
            <w:tcW w:w="83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Cash and cash equivalents, beginning of period</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1,003,875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646,853</w:t>
            </w:r>
          </w:p>
        </w:tc>
      </w:tr>
      <w:tr>
        <w:trPr>
          <w:trHeight w:val="183"/>
        </w:trPr>
        <w:tc>
          <w:tcPr>
            <w:tcW w:w="8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3"/>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end of period</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740,039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759,505</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2023 10-K.</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2023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United officially moved its Holding Company headquarters from Blairsville, Georgia to Greenville, South Carolina.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in June 2024, the Bank changed its primary federal regulator from the FDIC to the Federal Reserve.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August 6, 2024, United transferred the listing of its securities from NASDAQ to the New York Stock Exchange. The common shares are now listed under the trading symbol UCB and the preferred Series I depositary shares are now listed under the trading symbol UCB PRI.</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Revision of Previously Issued Financial Statements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the second quarter of 2024, management corrected an immaterial error related to the loan vintage disclosure reported in previously issued financial statements for the period presented in the 2023 10-K. The revised December 31, 2023 loan vintage disclosure was included in United’s second quarter Form 10-Q and is included in this Form 10-Q as well. The error relates to the incorrect determination of the vintage year for a population of term loans and gross charge-offs. The correction of this error resulted in the reclassification of certain term loans and gross charge-offs to older vintage categories than originally reported. The correction of this error did not result in any reclassification between risk categories presented. The revision did not change the total amount of loans or gross charge-offs reported and did not affect the Company's net income, cash flows or equity.</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evaluated the aggregate effects of this error to our previously issued financial statements in accordance with SEC Staff Accounting Bulletins No. 99 and No. 108 and, based upon quantitative and qualitative factors, determined that the error was not material to the previously issued financial statements and disclosures included in our 2023 10-K.</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Recently Adopted Accounting Standards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2023, the FASB issued ASU No. 2023-02, </w:t>
      </w:r>
      <w:r>
        <w:rPr>
          <w:rFonts w:ascii="Times New Roman" w:cs="Times New Roman" w:eastAsia="Times New Roman" w:hAnsi="Times New Roman"/>
          <w:sz w:val="18"/>
          <w:szCs w:val="18"/>
          <w:i w:val="1"/>
          <w:iCs w:val="1"/>
          <w:color w:val="auto"/>
        </w:rPr>
        <w:t>Investments - Equity Method and Joint Ventures (Topic 323): Accounting for Investments in Tax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Structures Using the Proportional Amortization Method</w:t>
      </w:r>
      <w:r>
        <w:rPr>
          <w:rFonts w:ascii="Times New Roman" w:cs="Times New Roman" w:eastAsia="Times New Roman" w:hAnsi="Times New Roman"/>
          <w:sz w:val="18"/>
          <w:szCs w:val="18"/>
          <w:color w:val="auto"/>
        </w:rPr>
        <w:t>. The update broadens the application of PAM and related disclosures to tax equity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LIHTC, providing certain conditions are met. The election to apply PAM must be made on a tax-credit-program by tax-credit-program basis rather than at the reporting entity level or to individual investments. United adopted this update using a modified retrospective transition method as of January 1, 2024, with no impact to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Supplemental Cash Flow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supplemental schedule of significant non-cash investing and financing activities for the nine months ended September 30, 2024 and 2023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transactions: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fund other investments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16,410</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Unsettled securities purchases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w:t>
            </w:r>
          </w:p>
        </w:tc>
      </w:tr>
      <w:tr>
        <w:trPr>
          <w:trHeight w:val="21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Assets acquired</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2,922,243</w:t>
            </w: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Liabilities assumed</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2,527,654</w:t>
            </w: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assets acquired</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394,589</w:t>
            </w: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issued and options converted</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394,140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First Miami</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2023, United acquired all of the outstanding common stock of First Miami in a stock transaction. Information related to the fair value of assets and liabilities acquired is included in the 2023 10-K. During the first quarter of 2024, within the one-year measurement period related to the acquisition of First Miami, United received additional information regarding the lack of realizability of certain tax credits. As a result, the provisional fair value assigned to acquired other assets was adjusted to $18.8 million, other liabilities was adjusted to $16.9 million and goodwill was adjusted to $24.5 million, which represents a decrease of $2.06 million, a decrease of $726,000 and an increase of $1.34 million,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 forma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 2023 and July 1, 2023, United acquired all of the outstanding common stock of Progress and First Miami, respectively, in stock transactions. The following table discloses certain pro forma information as if Progress and First Miami had been acquired on January 1, 2022. These results combine the historical results of the acquired entities with United’s consolidated statement of income. Adjustments were made for the estimated impact of certain fair value adjustments and other acquisition-related activity; however pro forma financial results presented are not necessarily indicative of what would have occurred had the acquisitions taken place in earlier years.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Merger-related costs related to the First Miami acquisition for the three and nine months ended September 30, 2023 of $6.53 million and $6.91 million, respectively, have been excluded from the pro forma information for those periods presented below. Merger-related costs related to the Progress acquisition for the three and nine months ended September 30, 2023 of $182,000 and $9.96 million, respectively, have been excluded from the pro forma information for those periods presented below. The actual results and pro forma information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244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200" w:type="dxa"/>
            <w:vAlign w:val="bottom"/>
          </w:tcPr>
          <w:p>
            <w:pPr>
              <w:spacing w:after="0"/>
              <w:rPr>
                <w:sz w:val="18"/>
                <w:szCs w:val="18"/>
                <w:color w:val="auto"/>
              </w:rPr>
            </w:pPr>
          </w:p>
        </w:tc>
        <w:tc>
          <w:tcPr>
            <w:tcW w:w="244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211"/>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0" w:type="dxa"/>
            <w:vAlign w:val="bottom"/>
          </w:tcPr>
          <w:p>
            <w:pPr>
              <w:spacing w:after="0"/>
              <w:rPr>
                <w:sz w:val="1"/>
                <w:szCs w:val="1"/>
                <w:color w:val="auto"/>
              </w:rPr>
            </w:pPr>
          </w:p>
        </w:tc>
      </w:tr>
      <w:tr>
        <w:trPr>
          <w:trHeight w:val="211"/>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Progress results included in statement of income since acquisition date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41,555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12,667</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Actual First Miami results included in statement of income since acquisition date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0" w:type="dxa"/>
            <w:vAlign w:val="bottom"/>
          </w:tcPr>
          <w:p>
            <w:pPr>
              <w:spacing w:after="0"/>
              <w:rPr>
                <w:sz w:val="1"/>
                <w:szCs w:val="1"/>
                <w:color w:val="auto"/>
              </w:rPr>
            </w:pPr>
          </w:p>
        </w:tc>
      </w:tr>
      <w:tr>
        <w:trPr>
          <w:trHeight w:val="165"/>
        </w:trPr>
        <w:tc>
          <w:tcPr>
            <w:tcW w:w="5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Supplemental consolidated pro forma as if Progress and First Miami had been acquired</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207,523</w:t>
            </w:r>
          </w:p>
        </w:tc>
        <w:tc>
          <w:tcPr>
            <w:tcW w:w="1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55,538</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667,155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197,929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2022</w:t>
            </w:r>
          </w:p>
        </w:tc>
        <w:tc>
          <w:tcPr>
            <w:tcW w:w="2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Investment Securities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unrealized gains and losses and fair value of HTM debt securities as of the dates indicated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6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86,279</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245,634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1,306,953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1,131,471</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669,966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566,014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12,857</w:t>
            </w:r>
          </w:p>
        </w:tc>
        <w:tc>
          <w:tcPr>
            <w:tcW w:w="0" w:type="dxa"/>
            <w:vAlign w:val="bottom"/>
          </w:tcPr>
          <w:p>
            <w:pPr>
              <w:spacing w:after="0"/>
              <w:rPr>
                <w:sz w:val="1"/>
                <w:szCs w:val="1"/>
                <w:color w:val="auto"/>
              </w:rPr>
            </w:pPr>
          </w:p>
        </w:tc>
      </w:tr>
      <w:tr>
        <w:trPr>
          <w:trHeight w:val="212"/>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2,401,877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341,264</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2,060,729</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17,950</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83,363</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242,439</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1,383,294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1,176,974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680,933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562,394</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2,490,848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2,095,620</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unrealized gains and losses, and fair value of AFS debt securities as of the dates indicated are presented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8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540,851</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7,469</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535,986</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351,807</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163,604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1,523,253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1,428,334</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303,030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870,922</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15,761</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195,520</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158,491</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4,197,296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4,023,455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398,021</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10,711</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387,349</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267,500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164,049</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1,190,352</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317,246</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656,004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618,060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201,222</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161,712</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3,579,955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3,331,084</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carrying value of pledged securities totaled $2.64 billion and $4.12 billion, respectively. At September 30, 2024 securities were pledged primarily to secure public deposits. At December 31, 2023 securities were pledged to secure public deposits and provide contingent liquidity through the Bank Term Funding Program at the FRB, a</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that was discontinued in the first quarter of 2024.</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and gross unrealized losses of HTM debt securities as of the dates indicated based on the length of time that individual securities have been in a continuous unrealized loss position.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0" w:type="dxa"/>
            <w:vAlign w:val="bottom"/>
            <w:gridSpan w:val="11"/>
          </w:tcPr>
          <w:p>
            <w:pPr>
              <w:ind w:left="680"/>
              <w:spacing w:after="0"/>
              <w:rPr>
                <w:sz w:val="20"/>
                <w:szCs w:val="20"/>
                <w:color w:val="auto"/>
              </w:rPr>
            </w:pPr>
            <w:r>
              <w:rPr>
                <w:rFonts w:ascii="Times New Roman" w:cs="Times New Roman" w:eastAsia="Times New Roman" w:hAnsi="Times New Roman"/>
                <w:sz w:val="16"/>
                <w:szCs w:val="16"/>
                <w:b w:val="1"/>
                <w:bCs w:val="1"/>
                <w:color w:val="auto"/>
              </w:rPr>
              <w:t>Length of Time in Unrealized Loss Position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1,123,874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1,129,972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175,510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103,952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0" w:type="dxa"/>
            <w:vAlign w:val="bottom"/>
          </w:tcPr>
          <w:p>
            <w:pPr>
              <w:spacing w:after="0"/>
              <w:rPr>
                <w:sz w:val="1"/>
                <w:szCs w:val="1"/>
                <w:color w:val="auto"/>
              </w:rPr>
            </w:pPr>
          </w:p>
        </w:tc>
      </w:tr>
      <w:tr>
        <w:trPr>
          <w:trHeight w:val="212"/>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2,030,768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339,630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2,043,057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341,264</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1,175,263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1,175,574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206,344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118,539</w:t>
            </w:r>
          </w:p>
        </w:tc>
        <w:tc>
          <w:tcPr>
            <w:tcW w:w="0" w:type="dxa"/>
            <w:vAlign w:val="bottom"/>
          </w:tcPr>
          <w:p>
            <w:pPr>
              <w:spacing w:after="0"/>
              <w:rPr>
                <w:sz w:val="1"/>
                <w:szCs w:val="1"/>
                <w:color w:val="auto"/>
              </w:rPr>
            </w:pPr>
          </w:p>
        </w:tc>
      </w:tr>
      <w:tr>
        <w:trPr>
          <w:trHeight w:val="213"/>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37"/>
        </w:trPr>
        <w:tc>
          <w:tcPr>
            <w:tcW w:w="4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2,062,485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2,072,315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395,423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and gross unrealized losses of AFS debt securities as of the dates indicated based on the length of time that individual securities have been in a continuous unrealized loss position.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0" w:type="dxa"/>
            <w:vAlign w:val="bottom"/>
            <w:gridSpan w:val="11"/>
          </w:tcPr>
          <w:p>
            <w:pPr>
              <w:ind w:left="680"/>
              <w:spacing w:after="0"/>
              <w:rPr>
                <w:sz w:val="20"/>
                <w:szCs w:val="20"/>
                <w:color w:val="auto"/>
              </w:rPr>
            </w:pPr>
            <w:r>
              <w:rPr>
                <w:rFonts w:ascii="Times New Roman" w:cs="Times New Roman" w:eastAsia="Times New Roman" w:hAnsi="Times New Roman"/>
                <w:sz w:val="16"/>
                <w:szCs w:val="16"/>
                <w:b w:val="1"/>
                <w:bCs w:val="1"/>
                <w:color w:val="auto"/>
              </w:rPr>
              <w:t>Length of Time in Unrealized Loss Position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106,903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106,903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11,325</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1,025,209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1,151,615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96,633</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414,294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29,648</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11,280</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87,893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118,151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2,446,203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2,692,297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186,442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100,369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103,535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203,904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1,108,290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1,158,304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125,012</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440,442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17,127</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149,857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161,712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2,587,704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2,893,970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250,621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there were 594 AFS debt securities and 302 HTM debt securities that were in an unrealized loss position. United does not intend to sell nor does it believe it will be required to sell securities in an unrealized loss position prior to the recovery of their amortized cost basis. Unrealized losses at September 30, 2024 were primarily attributable to changes in interest rates.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2024 and December 31, 2023, estimated credit losses and, thus, the related ACL on HTM debt securities were de minimis due to the high credit quality of the portfolio, which included securities issued or guaranteed by U.S. Government agencies, GSEs, high credit quality municipalities and supranational entities. As a result, no ACL was recorded on the HTM portfolio at September 30, 2024 or December 31, 2023. In addition, based on the assessments performed at September 30, 2024 and December 31, 2023, there was no ACL required related to the AFS portfolio.</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accrued interest receivable on HTM and AFS debt securities, which was excluded from the estimate of credit losses,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4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Accrued Interest Receivable</w:t>
            </w:r>
          </w:p>
        </w:tc>
      </w:tr>
      <w:tr>
        <w:trPr>
          <w:trHeight w:val="214"/>
        </w:trPr>
        <w:tc>
          <w:tcPr>
            <w:tcW w:w="4820" w:type="dxa"/>
            <w:vAlign w:val="bottom"/>
          </w:tcPr>
          <w:p>
            <w:pPr>
              <w:ind w:left="26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80" w:type="dxa"/>
            <w:vAlign w:val="bottom"/>
          </w:tcPr>
          <w:p>
            <w:pPr>
              <w:spacing w:after="0"/>
              <w:rPr>
                <w:sz w:val="18"/>
                <w:szCs w:val="18"/>
                <w:color w:val="auto"/>
              </w:rPr>
            </w:pPr>
          </w:p>
        </w:tc>
      </w:tr>
      <w:tr>
        <w:trPr>
          <w:trHeight w:val="211"/>
        </w:trPr>
        <w:tc>
          <w:tcPr>
            <w:tcW w:w="482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6"/>
                <w:szCs w:val="16"/>
                <w:color w:val="auto"/>
              </w:rPr>
              <w:t>HTM</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w:t>
            </w:r>
          </w:p>
        </w:tc>
        <w:tc>
          <w:tcPr>
            <w:tcW w:w="2680" w:type="dxa"/>
            <w:vAlign w:val="bottom"/>
            <w:tcBorders>
              <w:top w:val="single" w:sz="8" w:color="CCEEFF"/>
            </w:tcBorders>
            <w:shd w:val="clear" w:color="auto" w:fill="CCEEFF"/>
          </w:tcPr>
          <w:p>
            <w:pPr>
              <w:spacing w:after="0"/>
              <w:rPr>
                <w:sz w:val="18"/>
                <w:szCs w:val="18"/>
                <w:color w:val="auto"/>
              </w:rPr>
            </w:pPr>
          </w:p>
        </w:tc>
      </w:tr>
      <w:tr>
        <w:trPr>
          <w:trHeight w:val="210"/>
        </w:trPr>
        <w:tc>
          <w:tcPr>
            <w:tcW w:w="48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AFS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12,568</w:t>
            </w:r>
          </w:p>
        </w:tc>
        <w:tc>
          <w:tcPr>
            <w:tcW w:w="2680" w:type="dxa"/>
            <w:vAlign w:val="bottom"/>
          </w:tcPr>
          <w:p>
            <w:pPr>
              <w:spacing w:after="0"/>
              <w:rPr>
                <w:sz w:val="18"/>
                <w:szCs w:val="18"/>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AFS and HTM debt securities at September 30, 2024, by contractual maturity, are presented in the following table.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AFS</w:t>
            </w: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HTM</w:t>
            </w:r>
          </w:p>
        </w:tc>
        <w:tc>
          <w:tcPr>
            <w:tcW w:w="1360" w:type="dxa"/>
            <w:vAlign w:val="bottom"/>
            <w:tcBorders>
              <w:bottom w:val="single" w:sz="8" w:color="auto"/>
            </w:tcBorders>
          </w:tcPr>
          <w:p>
            <w:pPr>
              <w:spacing w:after="0"/>
              <w:rPr>
                <w:sz w:val="18"/>
                <w:szCs w:val="18"/>
                <w:color w:val="auto"/>
              </w:rPr>
            </w:pP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Pr>
          <w:p>
            <w:pPr>
              <w:spacing w:after="0"/>
              <w:rPr>
                <w:sz w:val="18"/>
                <w:szCs w:val="18"/>
                <w:color w:val="auto"/>
              </w:rPr>
            </w:pPr>
          </w:p>
        </w:tc>
        <w:tc>
          <w:tcPr>
            <w:tcW w:w="13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227,430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227,725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258,826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3,710</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 to 5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18,474</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26,498</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537,737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520,086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47,589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44,972</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 to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66,216</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45,561</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12,857</w:t>
            </w:r>
          </w:p>
        </w:tc>
      </w:tr>
      <w:tr>
        <w:trPr>
          <w:trHeight w:val="210"/>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290,951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142,536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124,634</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More than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20,063</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169,865</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200,652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192,278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231,132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189,928</w:t>
            </w: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not due at a single maturity date:</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1,840,750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1,731,364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1,306,953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1,131,471</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908,978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886,683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669,966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566,014</w:t>
            </w:r>
          </w:p>
        </w:tc>
      </w:tr>
      <w:tr>
        <w:trPr>
          <w:trHeight w:val="210"/>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2,909,130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2,776,538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1,976,919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1,697,485</w:t>
            </w:r>
          </w:p>
        </w:tc>
      </w:tr>
      <w:tr>
        <w:trPr>
          <w:trHeight w:val="219"/>
        </w:trPr>
        <w:tc>
          <w:tcPr>
            <w:tcW w:w="4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4,197,296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4,023,455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2,401,877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2,060,729</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issuers and borrowers may have the right to call or prepay obligations.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Realized gains and losses are derived using the specific identification method for determining the cost of securities sold. The following table summarizes AFS securities sales activity for the three and nine months ended September 30, 2024 and 2023</w:t>
      </w:r>
      <w:r>
        <w:rPr>
          <w:rFonts w:ascii="Times New Roman" w:cs="Times New Roman" w:eastAsia="Times New Roman" w:hAnsi="Times New Roman"/>
          <w:sz w:val="18"/>
          <w:szCs w:val="18"/>
          <w:i w:val="1"/>
          <w:i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700" w:type="dxa"/>
            <w:vAlign w:val="bottom"/>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8"/>
                <w:szCs w:val="18"/>
                <w:color w:val="auto"/>
              </w:rPr>
            </w:pPr>
          </w:p>
        </w:tc>
      </w:tr>
      <w:tr>
        <w:trPr>
          <w:trHeight w:val="211"/>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214,573</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595,234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realized gains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realized losses</w:t>
            </w:r>
          </w:p>
        </w:tc>
        <w:tc>
          <w:tcPr>
            <w:tcW w:w="2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w:t>
            </w:r>
          </w:p>
        </w:tc>
      </w:tr>
      <w:tr>
        <w:trPr>
          <w:trHeight w:val="237"/>
        </w:trPr>
        <w:tc>
          <w:tcPr>
            <w:tcW w:w="54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losses, net</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attributable to sales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Investments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table below reflects the carrying value of certain equity investments, which are included in other assets on the consolidated balance sheet, as of the dates indicated.</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480" w:type="dxa"/>
            <w:vAlign w:val="bottom"/>
          </w:tcPr>
          <w:p>
            <w:pPr>
              <w:ind w:left="14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5480" w:type="dxa"/>
            <w:vAlign w:val="bottom"/>
            <w:tcBorders>
              <w:top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FHLB Stock</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18,051</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18,104</w:t>
            </w:r>
          </w:p>
        </w:tc>
        <w:tc>
          <w:tcPr>
            <w:tcW w:w="1460" w:type="dxa"/>
            <w:vAlign w:val="bottom"/>
            <w:tcBorders>
              <w:top w:val="single" w:sz="8" w:color="CCEEFF"/>
            </w:tcBorders>
            <w:shd w:val="clear" w:color="auto" w:fill="CCEEFF"/>
          </w:tcPr>
          <w:p>
            <w:pPr>
              <w:spacing w:after="0"/>
              <w:rPr>
                <w:sz w:val="18"/>
                <w:szCs w:val="18"/>
                <w:color w:val="auto"/>
              </w:rPr>
            </w:pPr>
          </w:p>
        </w:tc>
      </w:tr>
      <w:tr>
        <w:trPr>
          <w:trHeight w:val="213"/>
        </w:trPr>
        <w:tc>
          <w:tcPr>
            <w:tcW w:w="54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FRB Stock</w:t>
            </w:r>
          </w:p>
        </w:tc>
        <w:tc>
          <w:tcPr>
            <w:tcW w:w="140" w:type="dxa"/>
            <w:vAlign w:val="bottom"/>
          </w:tcPr>
          <w:p>
            <w:pPr>
              <w:spacing w:after="0"/>
              <w:rPr>
                <w:sz w:val="18"/>
                <w:szCs w:val="18"/>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88,008</w:t>
            </w:r>
          </w:p>
        </w:tc>
        <w:tc>
          <w:tcPr>
            <w:tcW w:w="240" w:type="dxa"/>
            <w:vAlign w:val="bottom"/>
          </w:tcPr>
          <w:p>
            <w:pPr>
              <w:spacing w:after="0"/>
              <w:rPr>
                <w:sz w:val="18"/>
                <w:szCs w:val="18"/>
                <w:color w:val="auto"/>
              </w:rPr>
            </w:pPr>
          </w:p>
        </w:tc>
        <w:tc>
          <w:tcPr>
            <w:tcW w:w="3020" w:type="dxa"/>
            <w:vAlign w:val="bottom"/>
            <w:gridSpan w:val="2"/>
          </w:tcPr>
          <w:p>
            <w:pPr>
              <w:jc w:val="right"/>
              <w:ind w:right="154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4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Equity securities with readily determinable fair values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7,894</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7,395</w:t>
            </w:r>
          </w:p>
        </w:tc>
        <w:tc>
          <w:tcPr>
            <w:tcW w:w="1460" w:type="dxa"/>
            <w:vAlign w:val="bottom"/>
            <w:shd w:val="clear" w:color="auto" w:fill="CCEEFF"/>
          </w:tcPr>
          <w:p>
            <w:pPr>
              <w:spacing w:after="0"/>
              <w:rPr>
                <w:sz w:val="19"/>
                <w:szCs w:val="19"/>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Loans and Leases and Allowance for Credit Losses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Major classifications of the loan and lease portfolio (collectively referred to as the “loan portfolio” or “loans”) are summarized as of the dates indicated as follows.</w:t>
      </w:r>
    </w:p>
    <w:p>
      <w:pPr>
        <w:spacing w:after="0" w:line="83"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8"/>
                <w:szCs w:val="18"/>
                <w:color w:val="auto"/>
              </w:rPr>
            </w:pPr>
          </w:p>
        </w:tc>
        <w:tc>
          <w:tcPr>
            <w:tcW w:w="2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6220" w:type="dxa"/>
            <w:vAlign w:val="bottom"/>
            <w:tcBorders>
              <w:top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Owner occupied CRE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3,323,398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3,264,051</w:t>
            </w:r>
          </w:p>
        </w:tc>
        <w:tc>
          <w:tcPr>
            <w:tcW w:w="1160" w:type="dxa"/>
            <w:vAlign w:val="bottom"/>
            <w:tcBorders>
              <w:top w:val="single" w:sz="8" w:color="CCEEFF"/>
            </w:tcBorders>
            <w:shd w:val="clear" w:color="auto" w:fill="CCEEFF"/>
          </w:tcPr>
          <w:p>
            <w:pPr>
              <w:spacing w:after="0"/>
              <w:rPr>
                <w:sz w:val="18"/>
                <w:szCs w:val="18"/>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Income producing CRE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4,258,586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4,263,952</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2,312,657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2,411,045</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Commercial construction</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1,784,959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1,859,538</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Equipment financing</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1,603,472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1,541,120</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commercial</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13,283,072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13,339,706</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Residential mortgage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3,198,928</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Home equity</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1,014,544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958,987</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301,650</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Manufactured housing</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336,474</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181,117</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loans excluding fair value hedge basis adjustment</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17,939,922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18,316,862</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Fair value hedge basis adjustment</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loans</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17,964,099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18,318,755</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Less ACL - loans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(208,071)</w:t>
            </w:r>
          </w:p>
        </w:tc>
        <w:tc>
          <w:tcPr>
            <w:tcW w:w="1160" w:type="dxa"/>
            <w:vAlign w:val="bottom"/>
            <w:shd w:val="clear" w:color="auto" w:fill="CCEEFF"/>
          </w:tcPr>
          <w:p>
            <w:pPr>
              <w:spacing w:after="0"/>
              <w:rPr>
                <w:sz w:val="19"/>
                <w:szCs w:val="19"/>
                <w:color w:val="auto"/>
              </w:rPr>
            </w:pPr>
          </w:p>
        </w:tc>
      </w:tr>
      <w:tr>
        <w:trPr>
          <w:trHeight w:val="210"/>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Loans,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17,758,809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18,110,684</w:t>
            </w:r>
          </w:p>
        </w:tc>
        <w:tc>
          <w:tcPr>
            <w:tcW w:w="116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Accrued interest receivable related to loans totaled $59.5 million and $67.0 million on September 30, 2024 and December 31, 2023, respectively, and was reported in other assets on the consolidated balance sheets. Accrued interest receivable was excluded from the estimate of credit losses.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the loan portfolio included certain loans specifically pledged to the Federal Reserve as well as loans covered by a blanket lien on qualifying loan types with the FHLB to secure contingent funding sources.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of certain loans held for investment that were sold in the periods indicated. The net gain or loss on these loan sales were included in noninterest income on the consolidated statements of income. During the third quarter of 2024, United sold substantially all of its portfolio of manufactured housing loans and recognized a loss of $27.2 million.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Pr>
          <w:p>
            <w:pPr>
              <w:spacing w:after="0"/>
              <w:rPr>
                <w:sz w:val="18"/>
                <w:szCs w:val="18"/>
                <w:color w:val="auto"/>
              </w:rPr>
            </w:pPr>
          </w:p>
        </w:tc>
        <w:tc>
          <w:tcPr>
            <w:tcW w:w="320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302,870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70,223</w:t>
            </w: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57,836</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76,945</w:t>
            </w:r>
          </w:p>
        </w:tc>
      </w:tr>
      <w:tr>
        <w:trPr>
          <w:trHeight w:val="212"/>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335,377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64,052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399,790</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147,168</w:t>
            </w:r>
          </w:p>
        </w:tc>
      </w:tr>
      <w:tr>
        <w:trPr>
          <w:trHeight w:val="21"/>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equipment financing receivables included leases of $84.2 million and $68.9 million, respectively. The components of the net investment in leases, which included both sales-type and direct financing, are presented below.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5760" w:type="dxa"/>
            <w:vAlign w:val="bottom"/>
            <w:tcBorders>
              <w:top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Minimum future lease payments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75,198</w:t>
            </w:r>
          </w:p>
        </w:tc>
        <w:tc>
          <w:tcPr>
            <w:tcW w:w="1620" w:type="dxa"/>
            <w:vAlign w:val="bottom"/>
            <w:tcBorders>
              <w:top w:val="single" w:sz="8" w:color="CCEEFF"/>
            </w:tcBorders>
            <w:shd w:val="clear" w:color="auto" w:fill="CCEEFF"/>
          </w:tcPr>
          <w:p>
            <w:pPr>
              <w:spacing w:after="0"/>
              <w:rPr>
                <w:sz w:val="18"/>
                <w:szCs w:val="18"/>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Estimated residual value of leased equipment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Initial direct costs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Security deposits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620" w:type="dxa"/>
            <w:vAlign w:val="bottom"/>
          </w:tcPr>
          <w:p>
            <w:pPr>
              <w:spacing w:after="0"/>
              <w:rPr>
                <w:sz w:val="18"/>
                <w:szCs w:val="18"/>
                <w:color w:val="auto"/>
              </w:rPr>
            </w:pPr>
          </w:p>
        </w:tc>
      </w:tr>
      <w:tr>
        <w:trPr>
          <w:trHeight w:val="216"/>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Unearned income</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1620" w:type="dxa"/>
            <w:vAlign w:val="bottom"/>
            <w:shd w:val="clear" w:color="auto" w:fill="CCEEFF"/>
          </w:tcPr>
          <w:p>
            <w:pPr>
              <w:spacing w:after="0"/>
              <w:rPr>
                <w:sz w:val="18"/>
                <w:szCs w:val="18"/>
                <w:color w:val="auto"/>
              </w:rPr>
            </w:pPr>
          </w:p>
        </w:tc>
      </w:tr>
      <w:tr>
        <w:trPr>
          <w:trHeight w:val="212"/>
        </w:trPr>
        <w:tc>
          <w:tcPr>
            <w:tcW w:w="576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Net investment in leases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68,921</w:t>
            </w:r>
          </w:p>
        </w:tc>
        <w:tc>
          <w:tcPr>
            <w:tcW w:w="1620" w:type="dxa"/>
            <w:vAlign w:val="bottom"/>
          </w:tcPr>
          <w:p>
            <w:pPr>
              <w:spacing w:after="0"/>
              <w:rPr>
                <w:sz w:val="18"/>
                <w:szCs w:val="18"/>
                <w:color w:val="auto"/>
              </w:rPr>
            </w:pPr>
          </w:p>
        </w:tc>
      </w:tr>
      <w:tr>
        <w:trPr>
          <w:trHeight w:val="21"/>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future lease payments expected to be received from equipment financing lease contracts as of September 30, 2024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Remainder of 2024</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7,964</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30,164</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24,080</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2027</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17,836</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2028</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9,897</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Borders>
              <w:bottom w:val="single" w:sz="8" w:color="CCEEFF"/>
            </w:tcBorders>
          </w:tcPr>
          <w:p>
            <w:pPr>
              <w:ind w:left="2700"/>
              <w:spacing w:after="0"/>
              <w:rPr>
                <w:sz w:val="20"/>
                <w:szCs w:val="20"/>
                <w:color w:val="auto"/>
              </w:rPr>
            </w:pPr>
            <w:r>
              <w:rPr>
                <w:rFonts w:ascii="Times New Roman" w:cs="Times New Roman" w:eastAsia="Times New Roman" w:hAnsi="Times New Roman"/>
                <w:sz w:val="16"/>
                <w:szCs w:val="16"/>
                <w:color w:val="auto"/>
              </w:rPr>
              <w:t>Thereafter</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2680" w:type="dxa"/>
            <w:vAlign w:val="bottom"/>
            <w:tcBorders>
              <w:bottom w:val="single" w:sz="8" w:color="CCEEFF"/>
            </w:tcBorders>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290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92,445</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Nonaccrual and Past Due Loans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aging of the amortized cost basis in loans by aging category and accrual status as of the dates indicated. Past due status is based on contractual terms of the loan. The accrual of interest is generally discontinued when a loan becomes 90 days past due.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Current Loans</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2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212"/>
        </w:trPr>
        <w:tc>
          <w:tcPr>
            <w:tcW w:w="426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3,310,503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3,323,398</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4,223,657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4,258,586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2,312,657</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1,776,776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1,784,959</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1,603,472</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13,179,896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14,298</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84,340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13,283,072</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3,263,509</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1,014,544</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188,820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187,799</w:t>
            </w:r>
          </w:p>
        </w:tc>
        <w:tc>
          <w:tcPr>
            <w:tcW w:w="0" w:type="dxa"/>
            <w:vAlign w:val="bottom"/>
          </w:tcPr>
          <w:p>
            <w:pPr>
              <w:spacing w:after="0"/>
              <w:rPr>
                <w:sz w:val="1"/>
                <w:szCs w:val="1"/>
                <w:color w:val="auto"/>
              </w:rPr>
            </w:pPr>
          </w:p>
        </w:tc>
      </w:tr>
      <w:tr>
        <w:trPr>
          <w:trHeight w:val="209"/>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17,794,281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24,987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112,380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17,939,922</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3,258,015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3,264,051</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4,230,140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4,263,952</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2,388,076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2,411,045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1,857,660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1,859,538</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1,522,962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1,541,120</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13,256,853</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20,650</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57,072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13,339,706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3,198,928</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950,841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958,987</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301,650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336,474</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181,117</w:t>
            </w:r>
          </w:p>
        </w:tc>
        <w:tc>
          <w:tcPr>
            <w:tcW w:w="0" w:type="dxa"/>
            <w:vAlign w:val="bottom"/>
          </w:tcPr>
          <w:p>
            <w:pPr>
              <w:spacing w:after="0"/>
              <w:rPr>
                <w:sz w:val="1"/>
                <w:szCs w:val="1"/>
                <w:color w:val="auto"/>
              </w:rPr>
            </w:pPr>
          </w:p>
        </w:tc>
      </w:tr>
      <w:tr>
        <w:trPr>
          <w:trHeight w:val="210"/>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18,171,292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43,941</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91,687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18,316,862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At September 30, 2024 and December 31, 2023, United had $75.4 million and $48.5 million, respectively, in loans for which repayment is expected to be provided substantially through the operation or sale of the collateral. Estimated credit losses for these loans are based on the net realizable value of the collateral relative to the amortized cost of the loan. The majority of these loans are income producing CRE and commercial and industrial loans.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nonaccrual loans held for investment by loan class for the periods indicated.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92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3"/>
                <w:szCs w:val="13"/>
                <w:color w:val="auto"/>
              </w:rPr>
            </w:pPr>
          </w:p>
        </w:tc>
        <w:tc>
          <w:tcPr>
            <w:tcW w:w="9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5,861</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30,128</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13,467</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8,505</w:t>
            </w:r>
          </w:p>
        </w:tc>
        <w:tc>
          <w:tcPr>
            <w:tcW w:w="0" w:type="dxa"/>
            <w:vAlign w:val="bottom"/>
          </w:tcPr>
          <w:p>
            <w:pPr>
              <w:spacing w:after="0"/>
              <w:rPr>
                <w:sz w:val="1"/>
                <w:szCs w:val="1"/>
                <w:color w:val="auto"/>
              </w:rPr>
            </w:pPr>
          </w:p>
        </w:tc>
      </w:tr>
      <w:tr>
        <w:trPr>
          <w:trHeight w:val="207"/>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63,525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57,072</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15,861</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9"/>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67,627</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44,753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112,380</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30,747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60,940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91,687</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Ratings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categorizes commercial loans into risk categories based on relevant information about the ability of borrowers to service their debt such as: current financial information, historical payment experience,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Pass. </w:t>
      </w:r>
      <w:r>
        <w:rPr>
          <w:rFonts w:ascii="Times New Roman" w:cs="Times New Roman" w:eastAsia="Times New Roman" w:hAnsi="Times New Roman"/>
          <w:sz w:val="18"/>
          <w:szCs w:val="18"/>
          <w:color w:val="auto"/>
        </w:rPr>
        <w:t>Loans in this category are considered to have a low probability of default and do not meet the criteria of the risk categories below.</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 Mention. </w:t>
      </w:r>
      <w:r>
        <w:rPr>
          <w:rFonts w:ascii="Times New Roman" w:cs="Times New Roman" w:eastAsia="Times New Roman" w:hAnsi="Times New Roman"/>
          <w:sz w:val="18"/>
          <w:szCs w:val="18"/>
          <w:color w:val="auto"/>
        </w:rPr>
        <w:t>Loans in this category are presently protected from apparent loss; however, weaknesses exist that could cause future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Substandard. </w:t>
      </w:r>
      <w:r>
        <w:rPr>
          <w:rFonts w:ascii="Times New Roman" w:cs="Times New Roman" w:eastAsia="Times New Roman" w:hAnsi="Times New Roman"/>
          <w:sz w:val="18"/>
          <w:szCs w:val="18"/>
          <w:color w:val="auto"/>
        </w:rPr>
        <w:t>These loans are inadequately protected by the current net worth and paying capacity of the obligor or by the collateral pledged. Specific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Doubtful. </w:t>
      </w:r>
      <w:r>
        <w:rPr>
          <w:rFonts w:ascii="Times New Roman" w:cs="Times New Roman" w:eastAsia="Times New Roman" w:hAnsi="Times New Roman"/>
          <w:sz w:val="18"/>
          <w:szCs w:val="18"/>
          <w:color w:val="auto"/>
        </w:rPr>
        <w:t>Specific weaknesses characterized as Substandard that are severe enough to make collection in full highly questionable and improbable. There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reliable secondary source of full repayment.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Loans categorized as Loss have the same characteristics as Doubtful; however, probability of loss is certain. Loans classified as Loss are charged off.</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Consumer Purpose Loans. </w:t>
      </w:r>
      <w:r>
        <w:rPr>
          <w:rFonts w:ascii="Times New Roman" w:cs="Times New Roman" w:eastAsia="Times New Roman" w:hAnsi="Times New Roman"/>
          <w:sz w:val="18"/>
          <w:szCs w:val="18"/>
          <w:color w:val="auto"/>
        </w:rPr>
        <w:t>United applies a pass / fail grading system to all consumer purpose loans. Under this system, loans that are on nonaccrual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status, become past due 90 days, or are in bankruptcy and 30 or more days past due are classified as “fail” and all other loans are classified as “pass”. For reporting purposes,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risk category of term loans and gross charge-offs by vintage year, which is the year of origination or most recent renewal, as of the date indicated. See Note 1 for description of revisions to December 31, 2023 table.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6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Term Loans by Origination Year</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0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3"/>
            <w:vMerge w:val="restart"/>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w w:val="98"/>
              </w:rPr>
              <w:t>converted to</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94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00" w:type="dxa"/>
            <w:vAlign w:val="bottom"/>
            <w:vMerge w:val="restart"/>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 occupied CRE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316,117</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559,036</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621,603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581,389</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521,698</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462,600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110,319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20,397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3,193,159</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52,248</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36,405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7,860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7,632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18,371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77,991</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owner occupied CRE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319,747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576,084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667,296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597,274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535,796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489,567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20,831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3,323,398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producing CRE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246,550</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491,692</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926,155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917,339</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679,893</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667,486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43,843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3,988,091</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68,108</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47,610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42,175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35,052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60,605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202,387</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income producing CRE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305,852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536,028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968,673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920,706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724,134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744,168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43,892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15,133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4,258,586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3,128</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4,819</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313,051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481,163</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315,902</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218,440</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132,365</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206,307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503,750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8,159</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2,179,137</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57,612</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14,975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9,853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15,191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7,515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6,091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75,908</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3"/>
                <w:szCs w:val="13"/>
                <w:color w:val="auto"/>
              </w:rPr>
              <w:t>Total commercial &amp; industrial</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322,532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501,539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328,586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236,469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139,672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214,999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552,835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16,025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2,312,657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2,502</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5,645</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1,737</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1,951</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14,069</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construction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349,313</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404,059</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570,301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216,231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43,844</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75,227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52,181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1,712,777</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56,631</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15,551</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Total commercial construction</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356,064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408,923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617,274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222,800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47,902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75,537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54,838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1,784,959</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Equipment financing</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515,687</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493,674</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368,082</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147,323</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44,781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19,661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1,589,208</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4,134</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10,130</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equipment financing</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516,011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495,635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373,449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151,331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20,996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1,603,472</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3,780</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9,931</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5,288</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20,175</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mortgage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90,331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323,056</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1,035,953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1,013,091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409,582</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361,855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3,042</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3,236,916</w:t>
            </w:r>
          </w:p>
        </w:tc>
        <w:tc>
          <w:tcPr>
            <w:tcW w:w="0" w:type="dxa"/>
            <w:vAlign w:val="bottom"/>
          </w:tcPr>
          <w:p>
            <w:pPr>
              <w:spacing w:after="0"/>
              <w:rPr>
                <w:sz w:val="1"/>
                <w:szCs w:val="1"/>
                <w:color w:val="auto"/>
              </w:rPr>
            </w:pPr>
          </w:p>
        </w:tc>
      </w:tr>
      <w:tr>
        <w:trPr>
          <w:trHeight w:val="190"/>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26,593</w:t>
            </w:r>
          </w:p>
        </w:tc>
        <w:tc>
          <w:tcPr>
            <w:tcW w:w="0" w:type="dxa"/>
            <w:vAlign w:val="bottom"/>
          </w:tcPr>
          <w:p>
            <w:pPr>
              <w:spacing w:after="0"/>
              <w:rPr>
                <w:sz w:val="1"/>
                <w:szCs w:val="1"/>
                <w:color w:val="auto"/>
              </w:rPr>
            </w:pPr>
          </w:p>
        </w:tc>
      </w:tr>
      <w:tr>
        <w:trPr>
          <w:trHeight w:val="189"/>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mortgage</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92,472</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326,320</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1,042,774</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1,015,064</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411,620</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371,985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3,268</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3,263,509</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0" w:type="dxa"/>
            <w:vAlign w:val="bottom"/>
          </w:tcPr>
          <w:p>
            <w:pPr>
              <w:spacing w:after="0"/>
              <w:rPr>
                <w:sz w:val="1"/>
                <w:szCs w:val="1"/>
                <w:color w:val="auto"/>
              </w:rPr>
            </w:pPr>
          </w:p>
        </w:tc>
      </w:tr>
      <w:tr>
        <w:trPr>
          <w:trHeight w:val="18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Home equity</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981,013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1,009,873</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4,671</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home equity</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981,013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33,531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1,014,544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construction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51,011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80,832</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37,426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9,393</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4,698</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188,613</w:t>
            </w:r>
          </w:p>
        </w:tc>
        <w:tc>
          <w:tcPr>
            <w:tcW w:w="0" w:type="dxa"/>
            <w:vAlign w:val="bottom"/>
          </w:tcPr>
          <w:p>
            <w:pPr>
              <w:spacing w:after="0"/>
              <w:rPr>
                <w:sz w:val="1"/>
                <w:szCs w:val="1"/>
                <w:color w:val="auto"/>
              </w:rPr>
            </w:pPr>
          </w:p>
        </w:tc>
      </w:tr>
      <w:tr>
        <w:trPr>
          <w:trHeight w:val="191"/>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0" w:type="dxa"/>
            <w:vAlign w:val="bottom"/>
          </w:tcPr>
          <w:p>
            <w:pPr>
              <w:spacing w:after="0"/>
              <w:rPr>
                <w:sz w:val="1"/>
                <w:szCs w:val="1"/>
                <w:color w:val="auto"/>
              </w:rPr>
            </w:pPr>
          </w:p>
        </w:tc>
      </w:tr>
      <w:tr>
        <w:trPr>
          <w:trHeight w:val="189"/>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construction</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51,011</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80,832</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37,530</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9,393</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4,703</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188,820</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0" w:type="dxa"/>
            <w:vAlign w:val="bottom"/>
          </w:tcPr>
          <w:p>
            <w:pPr>
              <w:spacing w:after="0"/>
              <w:rPr>
                <w:sz w:val="1"/>
                <w:szCs w:val="1"/>
                <w:color w:val="auto"/>
              </w:rPr>
            </w:pPr>
          </w:p>
        </w:tc>
      </w:tr>
      <w:tr>
        <w:trPr>
          <w:trHeight w:val="18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Manufactured housing</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1,814</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manufactured housing</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3,518</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2,512</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14,475</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70,500</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51,741</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24,315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23,031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187,614</w:t>
            </w:r>
          </w:p>
        </w:tc>
        <w:tc>
          <w:tcPr>
            <w:tcW w:w="0" w:type="dxa"/>
            <w:vAlign w:val="bottom"/>
          </w:tcPr>
          <w:p>
            <w:pPr>
              <w:spacing w:after="0"/>
              <w:rPr>
                <w:sz w:val="1"/>
                <w:szCs w:val="1"/>
                <w:color w:val="auto"/>
              </w:rPr>
            </w:pPr>
          </w:p>
        </w:tc>
      </w:tr>
      <w:tr>
        <w:trPr>
          <w:trHeight w:val="191"/>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0" w:type="dxa"/>
            <w:vAlign w:val="bottom"/>
          </w:tcPr>
          <w:p>
            <w:pPr>
              <w:spacing w:after="0"/>
              <w:rPr>
                <w:sz w:val="1"/>
                <w:szCs w:val="1"/>
                <w:color w:val="auto"/>
              </w:rPr>
            </w:pPr>
          </w:p>
        </w:tc>
      </w:tr>
      <w:tr>
        <w:trPr>
          <w:trHeight w:val="189"/>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70,500</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51,812</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24,359</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8,827</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8,109</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23,031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187,799</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Revolvers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3"/>
            <w:vMerge w:val="restart"/>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converted to</w:t>
            </w: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 (revised)</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w w:val="98"/>
              </w:rPr>
              <w:t>Revolvers</w:t>
            </w:r>
          </w:p>
        </w:tc>
        <w:tc>
          <w:tcPr>
            <w:tcW w:w="100" w:type="dxa"/>
            <w:vAlign w:val="bottom"/>
            <w:vMerge w:val="restart"/>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 occupied CRE</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592,932</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654,845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618,811</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577,916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224,684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364,579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117,212</w:t>
            </w:r>
          </w:p>
        </w:tc>
        <w:tc>
          <w:tcPr>
            <w:tcW w:w="10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18,671</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3,169,650</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33,991</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8,037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15,975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8,437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1,421</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60,410</w:t>
            </w:r>
          </w:p>
        </w:tc>
        <w:tc>
          <w:tcPr>
            <w:tcW w:w="0" w:type="dxa"/>
            <w:vAlign w:val="bottom"/>
          </w:tcPr>
          <w:p>
            <w:pPr>
              <w:spacing w:after="0"/>
              <w:rPr>
                <w:sz w:val="1"/>
                <w:szCs w:val="1"/>
                <w:color w:val="auto"/>
              </w:rPr>
            </w:pPr>
          </w:p>
        </w:tc>
      </w:tr>
      <w:tr>
        <w:trPr>
          <w:trHeight w:val="214"/>
        </w:trPr>
        <w:tc>
          <w:tcPr>
            <w:tcW w:w="2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owner occupied CRE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597,506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670,650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639,052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594,379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242,342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379,776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118,733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21,613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3,264,051</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producing CRE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464,979</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904,015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863,308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795,143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362,139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526,968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50,659</w:t>
            </w:r>
          </w:p>
        </w:tc>
        <w:tc>
          <w:tcPr>
            <w:tcW w:w="10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13,247</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3,980,458</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132,622</w:t>
            </w:r>
          </w:p>
        </w:tc>
        <w:tc>
          <w:tcPr>
            <w:tcW w:w="0" w:type="dxa"/>
            <w:vAlign w:val="bottom"/>
          </w:tcPr>
          <w:p>
            <w:pPr>
              <w:spacing w:after="0"/>
              <w:rPr>
                <w:sz w:val="1"/>
                <w:szCs w:val="1"/>
                <w:color w:val="auto"/>
              </w:rPr>
            </w:pPr>
          </w:p>
        </w:tc>
      </w:tr>
      <w:tr>
        <w:trPr>
          <w:trHeight w:val="183"/>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150,872</w:t>
            </w:r>
          </w:p>
        </w:tc>
        <w:tc>
          <w:tcPr>
            <w:tcW w:w="0" w:type="dxa"/>
            <w:vAlign w:val="bottom"/>
          </w:tcPr>
          <w:p>
            <w:pPr>
              <w:spacing w:after="0"/>
              <w:rPr>
                <w:sz w:val="1"/>
                <w:szCs w:val="1"/>
                <w:color w:val="auto"/>
              </w:rPr>
            </w:pPr>
          </w:p>
        </w:tc>
      </w:tr>
      <w:tr>
        <w:trPr>
          <w:trHeight w:val="214"/>
        </w:trPr>
        <w:tc>
          <w:tcPr>
            <w:tcW w:w="28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income producing CRE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504,135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946,049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888,640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826,796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425,493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608,879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4,263,952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2,534</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7,858</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573,391</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431,962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280,372</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136,975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86,300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169,570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581,871</w:t>
            </w:r>
          </w:p>
        </w:tc>
        <w:tc>
          <w:tcPr>
            <w:tcW w:w="10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13,332</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2,273,773</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35,755</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5,272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23,562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11,432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46,282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101,517</w:t>
            </w:r>
          </w:p>
        </w:tc>
        <w:tc>
          <w:tcPr>
            <w:tcW w:w="0" w:type="dxa"/>
            <w:vAlign w:val="bottom"/>
          </w:tcPr>
          <w:p>
            <w:pPr>
              <w:spacing w:after="0"/>
              <w:rPr>
                <w:sz w:val="1"/>
                <w:szCs w:val="1"/>
                <w:color w:val="auto"/>
              </w:rPr>
            </w:pPr>
          </w:p>
        </w:tc>
      </w:tr>
      <w:tr>
        <w:trPr>
          <w:trHeight w:val="214"/>
        </w:trPr>
        <w:tc>
          <w:tcPr>
            <w:tcW w:w="2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&amp; industrial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581,571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441,433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305,576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153,837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97,227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173,466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643,014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2,411,045</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5,430</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13,271</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2,477</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1,825</w:t>
            </w:r>
          </w:p>
        </w:tc>
        <w:tc>
          <w:tcPr>
            <w:tcW w:w="120" w:type="dxa"/>
            <w:vAlign w:val="bottom"/>
          </w:tcPr>
          <w:p>
            <w:pPr>
              <w:spacing w:after="0"/>
              <w:rPr>
                <w:sz w:val="13"/>
                <w:szCs w:val="13"/>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25,538</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construction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525,988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647,516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396,958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111,045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66,635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28,902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62,370</w:t>
            </w:r>
          </w:p>
        </w:tc>
        <w:tc>
          <w:tcPr>
            <w:tcW w:w="10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1,840,380</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83"/>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19,000</w:t>
            </w:r>
          </w:p>
        </w:tc>
        <w:tc>
          <w:tcPr>
            <w:tcW w:w="0" w:type="dxa"/>
            <w:vAlign w:val="bottom"/>
          </w:tcPr>
          <w:p>
            <w:pPr>
              <w:spacing w:after="0"/>
              <w:rPr>
                <w:sz w:val="1"/>
                <w:szCs w:val="1"/>
                <w:color w:val="auto"/>
              </w:rPr>
            </w:pPr>
          </w:p>
        </w:tc>
      </w:tr>
      <w:tr>
        <w:trPr>
          <w:trHeight w:val="214"/>
        </w:trPr>
        <w:tc>
          <w:tcPr>
            <w:tcW w:w="28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construction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527,097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649,924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406,982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1,859,538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Equipment financing</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673,201</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496,336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233,422</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83,507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41,053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1,531,241</w:t>
            </w:r>
          </w:p>
        </w:tc>
        <w:tc>
          <w:tcPr>
            <w:tcW w:w="0" w:type="dxa"/>
            <w:vAlign w:val="bottom"/>
          </w:tcPr>
          <w:p>
            <w:pPr>
              <w:spacing w:after="0"/>
              <w:rPr>
                <w:sz w:val="1"/>
                <w:szCs w:val="1"/>
                <w:color w:val="auto"/>
              </w:rPr>
            </w:pPr>
          </w:p>
        </w:tc>
      </w:tr>
      <w:tr>
        <w:trPr>
          <w:trHeight w:val="190"/>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9,879</w:t>
            </w:r>
          </w:p>
        </w:tc>
        <w:tc>
          <w:tcPr>
            <w:tcW w:w="0" w:type="dxa"/>
            <w:vAlign w:val="bottom"/>
          </w:tcPr>
          <w:p>
            <w:pPr>
              <w:spacing w:after="0"/>
              <w:rPr>
                <w:sz w:val="1"/>
                <w:szCs w:val="1"/>
                <w:color w:val="auto"/>
              </w:rPr>
            </w:pPr>
          </w:p>
        </w:tc>
      </w:tr>
      <w:tr>
        <w:trPr>
          <w:trHeight w:val="189"/>
        </w:trPr>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equipment financing</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674,672</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500,477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235,909</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84,467</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41,870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1,541,120</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24,206</w:t>
            </w:r>
          </w:p>
        </w:tc>
        <w:tc>
          <w:tcPr>
            <w:tcW w:w="0" w:type="dxa"/>
            <w:vAlign w:val="bottom"/>
          </w:tcPr>
          <w:p>
            <w:pPr>
              <w:spacing w:after="0"/>
              <w:rPr>
                <w:sz w:val="1"/>
                <w:szCs w:val="1"/>
                <w:color w:val="auto"/>
              </w:rPr>
            </w:pPr>
          </w:p>
        </w:tc>
      </w:tr>
      <w:tr>
        <w:trPr>
          <w:trHeight w:val="181"/>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mortgage</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319,604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975,957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1,032,182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440,287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130,378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280,357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3,182,186</w:t>
            </w:r>
          </w:p>
        </w:tc>
        <w:tc>
          <w:tcPr>
            <w:tcW w:w="0" w:type="dxa"/>
            <w:vAlign w:val="bottom"/>
          </w:tcPr>
          <w:p>
            <w:pPr>
              <w:spacing w:after="0"/>
              <w:rPr>
                <w:sz w:val="1"/>
                <w:szCs w:val="1"/>
                <w:color w:val="auto"/>
              </w:rPr>
            </w:pPr>
          </w:p>
        </w:tc>
      </w:tr>
      <w:tr>
        <w:trPr>
          <w:trHeight w:val="183"/>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16,742</w:t>
            </w:r>
          </w:p>
        </w:tc>
        <w:tc>
          <w:tcPr>
            <w:tcW w:w="0" w:type="dxa"/>
            <w:vAlign w:val="bottom"/>
          </w:tcPr>
          <w:p>
            <w:pPr>
              <w:spacing w:after="0"/>
              <w:rPr>
                <w:sz w:val="1"/>
                <w:szCs w:val="1"/>
                <w:color w:val="auto"/>
              </w:rPr>
            </w:pPr>
          </w:p>
        </w:tc>
      </w:tr>
      <w:tr>
        <w:trPr>
          <w:trHeight w:val="214"/>
        </w:trPr>
        <w:tc>
          <w:tcPr>
            <w:tcW w:w="28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residential mortgage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321,084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978,537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1,034,362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441,176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287,731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3,198,928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Home equity</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926,596</w:t>
            </w:r>
          </w:p>
        </w:tc>
        <w:tc>
          <w:tcPr>
            <w:tcW w:w="10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28,412</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955,008</w:t>
            </w:r>
          </w:p>
        </w:tc>
        <w:tc>
          <w:tcPr>
            <w:tcW w:w="0" w:type="dxa"/>
            <w:vAlign w:val="bottom"/>
          </w:tcPr>
          <w:p>
            <w:pPr>
              <w:spacing w:after="0"/>
              <w:rPr>
                <w:sz w:val="1"/>
                <w:szCs w:val="1"/>
                <w:color w:val="auto"/>
              </w:rPr>
            </w:pPr>
          </w:p>
        </w:tc>
      </w:tr>
      <w:tr>
        <w:trPr>
          <w:trHeight w:val="191"/>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3,979</w:t>
            </w:r>
          </w:p>
        </w:tc>
        <w:tc>
          <w:tcPr>
            <w:tcW w:w="0" w:type="dxa"/>
            <w:vAlign w:val="bottom"/>
          </w:tcPr>
          <w:p>
            <w:pPr>
              <w:spacing w:after="0"/>
              <w:rPr>
                <w:sz w:val="1"/>
                <w:szCs w:val="1"/>
                <w:color w:val="auto"/>
              </w:rPr>
            </w:pPr>
          </w:p>
        </w:tc>
      </w:tr>
      <w:tr>
        <w:trPr>
          <w:trHeight w:val="189"/>
        </w:trPr>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home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926,596</w:t>
            </w:r>
          </w:p>
        </w:tc>
        <w:tc>
          <w:tcPr>
            <w:tcW w:w="10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32,391</w:t>
            </w:r>
          </w:p>
        </w:tc>
        <w:tc>
          <w:tcPr>
            <w:tcW w:w="120" w:type="dxa"/>
            <w:vAlign w:val="bottom"/>
          </w:tcPr>
          <w:p>
            <w:pPr>
              <w:spacing w:after="0"/>
              <w:rPr>
                <w:sz w:val="16"/>
                <w:szCs w:val="16"/>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958,987</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81"/>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construction</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300,590</w:t>
            </w:r>
          </w:p>
        </w:tc>
        <w:tc>
          <w:tcPr>
            <w:tcW w:w="0" w:type="dxa"/>
            <w:vAlign w:val="bottom"/>
          </w:tcPr>
          <w:p>
            <w:pPr>
              <w:spacing w:after="0"/>
              <w:rPr>
                <w:sz w:val="1"/>
                <w:szCs w:val="1"/>
                <w:color w:val="auto"/>
              </w:rPr>
            </w:pPr>
          </w:p>
        </w:tc>
      </w:tr>
      <w:tr>
        <w:trPr>
          <w:trHeight w:val="182"/>
        </w:trPr>
        <w:tc>
          <w:tcPr>
            <w:tcW w:w="2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residential construction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93,007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42,386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301,650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Manufactured housing</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45,065</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69,424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48,814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43,735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31,321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80,284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318,643</w:t>
            </w:r>
          </w:p>
        </w:tc>
        <w:tc>
          <w:tcPr>
            <w:tcW w:w="0" w:type="dxa"/>
            <w:vAlign w:val="bottom"/>
          </w:tcPr>
          <w:p>
            <w:pPr>
              <w:spacing w:after="0"/>
              <w:rPr>
                <w:sz w:val="1"/>
                <w:szCs w:val="1"/>
                <w:color w:val="auto"/>
              </w:rPr>
            </w:pPr>
          </w:p>
        </w:tc>
      </w:tr>
      <w:tr>
        <w:trPr>
          <w:trHeight w:val="190"/>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17,831</w:t>
            </w:r>
          </w:p>
        </w:tc>
        <w:tc>
          <w:tcPr>
            <w:tcW w:w="0" w:type="dxa"/>
            <w:vAlign w:val="bottom"/>
          </w:tcPr>
          <w:p>
            <w:pPr>
              <w:spacing w:after="0"/>
              <w:rPr>
                <w:sz w:val="1"/>
                <w:szCs w:val="1"/>
                <w:color w:val="auto"/>
              </w:rPr>
            </w:pPr>
          </w:p>
        </w:tc>
      </w:tr>
      <w:tr>
        <w:trPr>
          <w:trHeight w:val="189"/>
        </w:trPr>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manufactured housing</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46,143</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74,071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52,384</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46,755</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32,603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84,518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336,474</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3,914</w:t>
            </w:r>
          </w:p>
        </w:tc>
        <w:tc>
          <w:tcPr>
            <w:tcW w:w="0" w:type="dxa"/>
            <w:vAlign w:val="bottom"/>
          </w:tcPr>
          <w:p>
            <w:pPr>
              <w:spacing w:after="0"/>
              <w:rPr>
                <w:sz w:val="1"/>
                <w:szCs w:val="1"/>
                <w:color w:val="auto"/>
              </w:rPr>
            </w:pPr>
          </w:p>
        </w:tc>
      </w:tr>
      <w:tr>
        <w:trPr>
          <w:trHeight w:val="181"/>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26,239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180,884</w:t>
            </w:r>
          </w:p>
        </w:tc>
        <w:tc>
          <w:tcPr>
            <w:tcW w:w="0" w:type="dxa"/>
            <w:vAlign w:val="bottom"/>
          </w:tcPr>
          <w:p>
            <w:pPr>
              <w:spacing w:after="0"/>
              <w:rPr>
                <w:sz w:val="1"/>
                <w:szCs w:val="1"/>
                <w:color w:val="auto"/>
              </w:rPr>
            </w:pPr>
          </w:p>
        </w:tc>
      </w:tr>
      <w:tr>
        <w:trPr>
          <w:trHeight w:val="183"/>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0" w:type="dxa"/>
            <w:vAlign w:val="bottom"/>
          </w:tcPr>
          <w:p>
            <w:pPr>
              <w:spacing w:after="0"/>
              <w:rPr>
                <w:sz w:val="1"/>
                <w:szCs w:val="1"/>
                <w:color w:val="auto"/>
              </w:rPr>
            </w:pPr>
          </w:p>
        </w:tc>
      </w:tr>
      <w:tr>
        <w:trPr>
          <w:trHeight w:val="214"/>
        </w:trPr>
        <w:tc>
          <w:tcPr>
            <w:tcW w:w="28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181,117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8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3,245</w:t>
            </w:r>
          </w:p>
        </w:tc>
        <w:tc>
          <w:tcPr>
            <w:tcW w:w="10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241</w:t>
            </w:r>
          </w:p>
        </w:tc>
        <w:tc>
          <w:tcPr>
            <w:tcW w:w="100" w:type="dxa"/>
            <w:vAlign w:val="bottom"/>
          </w:tcPr>
          <w:p>
            <w:pPr>
              <w:spacing w:after="0"/>
              <w:rPr>
                <w:sz w:val="12"/>
                <w:szCs w:val="12"/>
                <w:color w:val="auto"/>
              </w:rPr>
            </w:pPr>
          </w:p>
        </w:tc>
        <w:tc>
          <w:tcPr>
            <w:tcW w:w="1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233</w:t>
            </w:r>
          </w:p>
        </w:tc>
        <w:tc>
          <w:tcPr>
            <w:tcW w:w="10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2"/>
                <w:szCs w:val="12"/>
                <w:color w:val="auto"/>
              </w:rPr>
            </w:pPr>
          </w:p>
        </w:tc>
        <w:tc>
          <w:tcPr>
            <w:tcW w:w="1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1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204</w:t>
            </w:r>
          </w:p>
        </w:tc>
        <w:tc>
          <w:tcPr>
            <w:tcW w:w="120" w:type="dxa"/>
            <w:vAlign w:val="bottom"/>
          </w:tcPr>
          <w:p>
            <w:pPr>
              <w:spacing w:after="0"/>
              <w:rPr>
                <w:sz w:val="12"/>
                <w:szCs w:val="12"/>
                <w:color w:val="auto"/>
              </w:rPr>
            </w:pPr>
          </w:p>
        </w:tc>
        <w:tc>
          <w:tcPr>
            <w:tcW w:w="200" w:type="dxa"/>
            <w:vAlign w:val="bottom"/>
          </w:tcPr>
          <w:p>
            <w:pPr>
              <w:jc w:val="right"/>
              <w:ind w:right="5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3,982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60"/>
          </w:cols>
          <w:pgMar w:left="660" w:top="117"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17" w:right="67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Modifications to Borrowers Experiencing Financial Difficulty</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period-end amortized cost and additional information regarding loans modified under the terms of a FDM during the nine months ended September 30, 2024 and 2023 are presented in the following tables</w:t>
      </w:r>
      <w:r>
        <w:rPr>
          <w:rFonts w:ascii="Times New Roman" w:cs="Times New Roman" w:eastAsia="Times New Roman" w:hAnsi="Times New Roman"/>
          <w:sz w:val="18"/>
          <w:szCs w:val="18"/>
          <w:i w:val="1"/>
          <w:iCs w:val="1"/>
          <w:color w:val="auto"/>
        </w:rPr>
        <w:t>.</w:t>
      </w: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21590</wp:posOffset>
            </wp:positionV>
            <wp:extent cx="55118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1800"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New FDMs</w:t>
            </w: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6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3"/>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8"/>
              </w:rPr>
              <w:t>% of Total Class of</w:t>
            </w:r>
          </w:p>
        </w:tc>
        <w:tc>
          <w:tcPr>
            <w:tcW w:w="100" w:type="dxa"/>
            <w:vAlign w:val="bottom"/>
          </w:tcPr>
          <w:p>
            <w:pPr>
              <w:spacing w:after="0"/>
              <w:rPr>
                <w:sz w:val="14"/>
                <w:szCs w:val="14"/>
                <w:color w:val="auto"/>
              </w:rPr>
            </w:pPr>
          </w:p>
        </w:tc>
        <w:tc>
          <w:tcPr>
            <w:tcW w:w="2940" w:type="dxa"/>
            <w:vAlign w:val="bottom"/>
            <w:gridSpan w:val="4"/>
          </w:tcPr>
          <w:p>
            <w:pPr>
              <w:ind w:left="220"/>
              <w:spacing w:after="0" w:line="161" w:lineRule="exact"/>
              <w:rPr>
                <w:sz w:val="20"/>
                <w:szCs w:val="20"/>
                <w:color w:val="auto"/>
              </w:rPr>
            </w:pPr>
            <w:r>
              <w:rPr>
                <w:rFonts w:ascii="Times New Roman" w:cs="Times New Roman" w:eastAsia="Times New Roman" w:hAnsi="Times New Roman"/>
                <w:sz w:val="16"/>
                <w:szCs w:val="16"/>
                <w:b w:val="1"/>
                <w:bCs w:val="1"/>
                <w:color w:val="auto"/>
              </w:rPr>
              <w:t>Defaults within 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3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9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months of modification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Owner occupied CRE</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w:t>
            </w:r>
          </w:p>
        </w:tc>
        <w:tc>
          <w:tcPr>
            <w:tcW w:w="1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36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Income producing CRE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21,471</w:t>
            </w:r>
          </w:p>
        </w:tc>
        <w:tc>
          <w:tcPr>
            <w:tcW w:w="192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gridSpan w:val="3"/>
          </w:tcPr>
          <w:p>
            <w:pPr>
              <w:jc w:val="right"/>
              <w:ind w:right="13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 w:type="dxa"/>
            <w:vAlign w:val="bottom"/>
            <w:shd w:val="clear" w:color="auto" w:fill="CCEEFF"/>
          </w:tcPr>
          <w:p>
            <w:pPr>
              <w:spacing w:after="0"/>
              <w:rPr>
                <w:sz w:val="19"/>
                <w:szCs w:val="19"/>
                <w:color w:val="auto"/>
              </w:rPr>
            </w:pPr>
          </w:p>
        </w:tc>
        <w:tc>
          <w:tcPr>
            <w:tcW w:w="36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23,063</w:t>
            </w:r>
          </w:p>
        </w:tc>
        <w:tc>
          <w:tcPr>
            <w:tcW w:w="19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36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Equipment financing</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192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 w:type="dxa"/>
            <w:vAlign w:val="bottom"/>
            <w:shd w:val="clear" w:color="auto" w:fill="CCEEFF"/>
          </w:tcPr>
          <w:p>
            <w:pPr>
              <w:spacing w:after="0"/>
              <w:rPr>
                <w:sz w:val="19"/>
                <w:szCs w:val="19"/>
                <w:color w:val="auto"/>
              </w:rPr>
            </w:pPr>
          </w:p>
        </w:tc>
        <w:tc>
          <w:tcPr>
            <w:tcW w:w="36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Residential mortgage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9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36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Manufactured housing</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92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gridSpan w:val="3"/>
          </w:tcPr>
          <w:p>
            <w:pPr>
              <w:jc w:val="right"/>
              <w:ind w:right="13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 w:type="dxa"/>
            <w:vAlign w:val="bottom"/>
            <w:shd w:val="clear" w:color="auto" w:fill="CCEEFF"/>
          </w:tcPr>
          <w:p>
            <w:pPr>
              <w:spacing w:after="0"/>
              <w:rPr>
                <w:sz w:val="19"/>
                <w:szCs w:val="19"/>
                <w:color w:val="auto"/>
              </w:rPr>
            </w:pPr>
          </w:p>
        </w:tc>
        <w:tc>
          <w:tcPr>
            <w:tcW w:w="36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Consumer</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9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56,021</w:t>
            </w:r>
          </w:p>
        </w:tc>
        <w:tc>
          <w:tcPr>
            <w:tcW w:w="192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8"/>
        </w:trPr>
        <w:tc>
          <w:tcPr>
            <w:tcW w:w="66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5"/>
                <w:szCs w:val="15"/>
                <w:b w:val="1"/>
                <w:bCs w:val="1"/>
                <w:color w:val="auto"/>
              </w:rPr>
              <w:t>Nine Months Ended September 30, 2024</w:t>
            </w:r>
          </w:p>
        </w:tc>
        <w:tc>
          <w:tcPr>
            <w:tcW w:w="1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60" w:type="dxa"/>
            <w:vAlign w:val="bottom"/>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New FDMs</w:t>
            </w:r>
          </w:p>
        </w:tc>
        <w:tc>
          <w:tcPr>
            <w:tcW w:w="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1940" w:type="dxa"/>
            <w:vAlign w:val="bottom"/>
            <w:gridSpan w:val="5"/>
          </w:tcPr>
          <w:p>
            <w:pPr>
              <w:jc w:val="right"/>
              <w:ind w:right="639"/>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140" w:type="dxa"/>
            <w:vAlign w:val="bottom"/>
          </w:tcPr>
          <w:p>
            <w:pPr>
              <w:spacing w:after="0"/>
              <w:rPr>
                <w:sz w:val="17"/>
                <w:szCs w:val="17"/>
                <w:color w:val="auto"/>
              </w:rPr>
            </w:pPr>
          </w:p>
        </w:tc>
        <w:tc>
          <w:tcPr>
            <w:tcW w:w="3080" w:type="dxa"/>
            <w:vAlign w:val="bottom"/>
            <w:gridSpan w:val="3"/>
          </w:tcPr>
          <w:p>
            <w:pPr>
              <w:jc w:val="center"/>
              <w:ind w:left="523"/>
              <w:spacing w:after="0"/>
              <w:rPr>
                <w:sz w:val="20"/>
                <w:szCs w:val="20"/>
                <w:color w:val="auto"/>
              </w:rPr>
            </w:pPr>
            <w:r>
              <w:rPr>
                <w:rFonts w:ascii="Times New Roman" w:cs="Times New Roman" w:eastAsia="Times New Roman" w:hAnsi="Times New Roman"/>
                <w:sz w:val="15"/>
                <w:szCs w:val="15"/>
                <w:b w:val="1"/>
                <w:bCs w:val="1"/>
                <w:color w:val="auto"/>
              </w:rPr>
              <w:t>Weighted Average Modification</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60" w:type="dxa"/>
            <w:vAlign w:val="bottom"/>
            <w:tcBorders>
              <w:top w:val="single" w:sz="8" w:color="CCEEFF"/>
            </w:tcBorders>
            <w:shd w:val="clear" w:color="auto" w:fill="CCEEFF"/>
          </w:tcPr>
          <w:p>
            <w:pPr>
              <w:spacing w:after="0"/>
              <w:rPr>
                <w:sz w:val="15"/>
                <w:szCs w:val="15"/>
                <w:color w:val="auto"/>
              </w:rPr>
            </w:pPr>
          </w:p>
        </w:tc>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Extension</w:t>
            </w:r>
          </w:p>
        </w:tc>
        <w:tc>
          <w:tcPr>
            <w:tcW w:w="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60" w:type="dxa"/>
            <w:vAlign w:val="bottom"/>
          </w:tcPr>
          <w:p>
            <w:pPr>
              <w:spacing w:after="0"/>
              <w:rPr>
                <w:sz w:val="17"/>
                <w:szCs w:val="17"/>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Owner occupied CRE</w:t>
            </w:r>
          </w:p>
        </w:tc>
        <w:tc>
          <w:tcPr>
            <w:tcW w:w="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3"/>
          </w:tcPr>
          <w:p>
            <w:pPr>
              <w:jc w:val="center"/>
              <w:ind w:left="523"/>
              <w:spacing w:after="0"/>
              <w:rPr>
                <w:sz w:val="20"/>
                <w:szCs w:val="20"/>
                <w:color w:val="auto"/>
              </w:rPr>
            </w:pPr>
            <w:r>
              <w:rPr>
                <w:rFonts w:ascii="Times New Roman" w:cs="Times New Roman" w:eastAsia="Times New Roman" w:hAnsi="Times New Roman"/>
                <w:sz w:val="15"/>
                <w:szCs w:val="15"/>
                <w:color w:val="auto"/>
              </w:rPr>
              <w:t>6 months</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Commercial &amp; industrial</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19,445</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80" w:type="dxa"/>
            <w:vAlign w:val="bottom"/>
            <w:gridSpan w:val="3"/>
            <w:shd w:val="clear" w:color="auto" w:fill="CCEEFF"/>
          </w:tcPr>
          <w:p>
            <w:pPr>
              <w:jc w:val="center"/>
              <w:ind w:left="523"/>
              <w:spacing w:after="0"/>
              <w:rPr>
                <w:sz w:val="20"/>
                <w:szCs w:val="20"/>
                <w:color w:val="auto"/>
              </w:rPr>
            </w:pPr>
            <w:r>
              <w:rPr>
                <w:rFonts w:ascii="Times New Roman" w:cs="Times New Roman" w:eastAsia="Times New Roman" w:hAnsi="Times New Roman"/>
                <w:sz w:val="15"/>
                <w:szCs w:val="15"/>
                <w:color w:val="auto"/>
              </w:rPr>
              <w:t>1.1 years</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0" w:type="dxa"/>
            <w:vAlign w:val="bottom"/>
          </w:tcPr>
          <w:p>
            <w:pPr>
              <w:spacing w:after="0"/>
              <w:rPr>
                <w:sz w:val="17"/>
                <w:szCs w:val="17"/>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Residential mortgage</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3"/>
          </w:tcPr>
          <w:p>
            <w:pPr>
              <w:jc w:val="center"/>
              <w:ind w:left="523"/>
              <w:spacing w:after="0"/>
              <w:rPr>
                <w:sz w:val="20"/>
                <w:szCs w:val="20"/>
                <w:color w:val="auto"/>
              </w:rPr>
            </w:pPr>
            <w:r>
              <w:rPr>
                <w:rFonts w:ascii="Times New Roman" w:cs="Times New Roman" w:eastAsia="Times New Roman" w:hAnsi="Times New Roman"/>
                <w:sz w:val="15"/>
                <w:szCs w:val="15"/>
                <w:color w:val="auto"/>
              </w:rPr>
              <w:t>10.2 years</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Consumer</w:t>
            </w:r>
          </w:p>
        </w:tc>
        <w:tc>
          <w:tcPr>
            <w:tcW w:w="2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80" w:type="dxa"/>
            <w:vAlign w:val="bottom"/>
            <w:gridSpan w:val="3"/>
            <w:shd w:val="clear" w:color="auto" w:fill="CCEEFF"/>
          </w:tcPr>
          <w:p>
            <w:pPr>
              <w:jc w:val="center"/>
              <w:ind w:left="523"/>
              <w:spacing w:after="0"/>
              <w:rPr>
                <w:sz w:val="20"/>
                <w:szCs w:val="20"/>
                <w:color w:val="auto"/>
              </w:rPr>
            </w:pPr>
            <w:r>
              <w:rPr>
                <w:rFonts w:ascii="Times New Roman" w:cs="Times New Roman" w:eastAsia="Times New Roman" w:hAnsi="Times New Roman"/>
                <w:sz w:val="15"/>
                <w:szCs w:val="15"/>
                <w:color w:val="auto"/>
              </w:rPr>
              <w:t>2.1 years</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6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19,978</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Payment Delay</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640" w:type="dxa"/>
            <w:vAlign w:val="bottom"/>
          </w:tcPr>
          <w:p>
            <w:pPr>
              <w:ind w:left="240"/>
              <w:spacing w:after="0" w:line="203" w:lineRule="exact"/>
              <w:rPr>
                <w:sz w:val="20"/>
                <w:szCs w:val="20"/>
                <w:color w:val="auto"/>
              </w:rPr>
            </w:pPr>
            <w:r>
              <w:rPr>
                <w:rFonts w:ascii="Times New Roman" w:cs="Times New Roman" w:eastAsia="Times New Roman" w:hAnsi="Times New Roman"/>
                <w:sz w:val="15"/>
                <w:szCs w:val="15"/>
                <w:color w:val="auto"/>
              </w:rPr>
              <w:t xml:space="preserve">Owner occupied CRE </w:t>
            </w:r>
            <w:r>
              <w:rPr>
                <w:rFonts w:ascii="Times New Roman" w:cs="Times New Roman" w:eastAsia="Times New Roman" w:hAnsi="Times New Roman"/>
                <w:sz w:val="19"/>
                <w:szCs w:val="19"/>
                <w:color w:val="auto"/>
                <w:vertAlign w:val="superscript"/>
              </w:rPr>
              <w:t>(1)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3"/>
          </w:tcPr>
          <w:p>
            <w:pPr>
              <w:jc w:val="center"/>
              <w:ind w:left="523"/>
              <w:spacing w:after="0"/>
              <w:rPr>
                <w:sz w:val="20"/>
                <w:szCs w:val="20"/>
                <w:color w:val="auto"/>
              </w:rPr>
            </w:pPr>
            <w:r>
              <w:rPr>
                <w:rFonts w:ascii="Times New Roman" w:cs="Times New Roman" w:eastAsia="Times New Roman" w:hAnsi="Times New Roman"/>
                <w:sz w:val="15"/>
                <w:szCs w:val="15"/>
                <w:color w:val="auto"/>
              </w:rPr>
              <w:t>5 months</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5"/>
                <w:szCs w:val="15"/>
                <w:color w:val="auto"/>
              </w:rPr>
              <w:t xml:space="preserve">Income producing CRE </w:t>
            </w:r>
            <w:r>
              <w:rPr>
                <w:rFonts w:ascii="Times New Roman" w:cs="Times New Roman" w:eastAsia="Times New Roman" w:hAnsi="Times New Roman"/>
                <w:sz w:val="19"/>
                <w:szCs w:val="19"/>
                <w:color w:val="auto"/>
                <w:vertAlign w:val="superscript"/>
              </w:rPr>
              <w:t>(2)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12,976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80" w:type="dxa"/>
            <w:vAlign w:val="bottom"/>
            <w:gridSpan w:val="3"/>
            <w:shd w:val="clear" w:color="auto" w:fill="CCEEFF"/>
          </w:tcPr>
          <w:p>
            <w:pPr>
              <w:jc w:val="center"/>
              <w:ind w:left="523"/>
              <w:spacing w:after="0"/>
              <w:rPr>
                <w:sz w:val="20"/>
                <w:szCs w:val="20"/>
                <w:color w:val="auto"/>
              </w:rPr>
            </w:pPr>
            <w:r>
              <w:rPr>
                <w:rFonts w:ascii="Times New Roman" w:cs="Times New Roman" w:eastAsia="Times New Roman" w:hAnsi="Times New Roman"/>
                <w:sz w:val="15"/>
                <w:szCs w:val="15"/>
                <w:color w:val="auto"/>
              </w:rPr>
              <w:t>1.5 years</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640" w:type="dxa"/>
            <w:vAlign w:val="bottom"/>
          </w:tcPr>
          <w:p>
            <w:pPr>
              <w:ind w:left="240"/>
              <w:spacing w:after="0" w:line="203" w:lineRule="exact"/>
              <w:rPr>
                <w:sz w:val="20"/>
                <w:szCs w:val="20"/>
                <w:color w:val="auto"/>
              </w:rPr>
            </w:pPr>
            <w:r>
              <w:rPr>
                <w:rFonts w:ascii="Times New Roman" w:cs="Times New Roman" w:eastAsia="Times New Roman" w:hAnsi="Times New Roman"/>
                <w:sz w:val="15"/>
                <w:szCs w:val="15"/>
                <w:color w:val="auto"/>
              </w:rPr>
              <w:t xml:space="preserve">Commercial &amp; industrial </w:t>
            </w:r>
            <w:r>
              <w:rPr>
                <w:rFonts w:ascii="Times New Roman" w:cs="Times New Roman" w:eastAsia="Times New Roman" w:hAnsi="Times New Roman"/>
                <w:sz w:val="19"/>
                <w:szCs w:val="19"/>
                <w:color w:val="auto"/>
                <w:vertAlign w:val="superscript"/>
              </w:rPr>
              <w:t>(1)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3"/>
          </w:tcPr>
          <w:p>
            <w:pPr>
              <w:jc w:val="center"/>
              <w:ind w:left="523"/>
              <w:spacing w:after="0"/>
              <w:rPr>
                <w:sz w:val="20"/>
                <w:szCs w:val="20"/>
                <w:color w:val="auto"/>
              </w:rPr>
            </w:pPr>
            <w:r>
              <w:rPr>
                <w:rFonts w:ascii="Times New Roman" w:cs="Times New Roman" w:eastAsia="Times New Roman" w:hAnsi="Times New Roman"/>
                <w:sz w:val="15"/>
                <w:szCs w:val="15"/>
                <w:color w:val="auto"/>
              </w:rPr>
              <w:t>7 months</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Residential mortgage</w:t>
            </w:r>
          </w:p>
        </w:tc>
        <w:tc>
          <w:tcPr>
            <w:tcW w:w="2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80" w:type="dxa"/>
            <w:vAlign w:val="bottom"/>
            <w:gridSpan w:val="3"/>
            <w:shd w:val="clear" w:color="auto" w:fill="CCEEFF"/>
          </w:tcPr>
          <w:p>
            <w:pPr>
              <w:jc w:val="center"/>
              <w:ind w:left="523"/>
              <w:spacing w:after="0"/>
              <w:rPr>
                <w:sz w:val="20"/>
                <w:szCs w:val="20"/>
                <w:color w:val="auto"/>
              </w:rPr>
            </w:pPr>
            <w:r>
              <w:rPr>
                <w:rFonts w:ascii="Times New Roman" w:cs="Times New Roman" w:eastAsia="Times New Roman" w:hAnsi="Times New Roman"/>
                <w:sz w:val="15"/>
                <w:szCs w:val="15"/>
                <w:color w:val="auto"/>
              </w:rPr>
              <w:t>6 months</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6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14,911</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Rate Reduction</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0" w:type="dxa"/>
            <w:vAlign w:val="bottom"/>
          </w:tcPr>
          <w:p>
            <w:pPr>
              <w:spacing w:after="0"/>
              <w:rPr>
                <w:sz w:val="17"/>
                <w:szCs w:val="17"/>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Commercial &amp; industrial</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3"/>
          </w:tcPr>
          <w:p>
            <w:pPr>
              <w:jc w:val="center"/>
              <w:ind w:left="523"/>
              <w:spacing w:after="0"/>
              <w:rPr>
                <w:sz w:val="20"/>
                <w:szCs w:val="20"/>
                <w:color w:val="auto"/>
              </w:rPr>
            </w:pPr>
            <w:r>
              <w:rPr>
                <w:rFonts w:ascii="Times New Roman" w:cs="Times New Roman" w:eastAsia="Times New Roman" w:hAnsi="Times New Roman"/>
                <w:sz w:val="15"/>
                <w:szCs w:val="15"/>
                <w:color w:val="auto"/>
              </w:rPr>
              <w:t>50 basis points</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Payment Delay and Extension</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0" w:type="dxa"/>
            <w:vAlign w:val="bottom"/>
          </w:tcPr>
          <w:p>
            <w:pPr>
              <w:spacing w:after="0"/>
              <w:rPr>
                <w:sz w:val="17"/>
                <w:szCs w:val="17"/>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Commercial &amp; industrial</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gridSpan w:val="6"/>
          </w:tcPr>
          <w:p>
            <w:pPr>
              <w:jc w:val="center"/>
              <w:ind w:right="1140"/>
              <w:spacing w:after="0"/>
              <w:rPr>
                <w:sz w:val="20"/>
                <w:szCs w:val="20"/>
                <w:color w:val="auto"/>
              </w:rPr>
            </w:pPr>
            <w:r>
              <w:rPr>
                <w:rFonts w:ascii="Times New Roman" w:cs="Times New Roman" w:eastAsia="Times New Roman" w:hAnsi="Times New Roman"/>
                <w:sz w:val="15"/>
                <w:szCs w:val="15"/>
                <w:color w:val="auto"/>
              </w:rPr>
              <w:t>Payment delay: 4 months; Extension: 2.8 years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Equipment financing</w:t>
            </w:r>
          </w:p>
        </w:tc>
        <w:tc>
          <w:tcPr>
            <w:tcW w:w="2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4,891</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80" w:type="dxa"/>
            <w:vAlign w:val="bottom"/>
            <w:gridSpan w:val="3"/>
            <w:shd w:val="clear" w:color="auto" w:fill="CCEEFF"/>
          </w:tcPr>
          <w:p>
            <w:pPr>
              <w:jc w:val="center"/>
              <w:ind w:left="523"/>
              <w:spacing w:after="0"/>
              <w:rPr>
                <w:sz w:val="20"/>
                <w:szCs w:val="20"/>
                <w:color w:val="auto"/>
              </w:rPr>
            </w:pPr>
            <w:r>
              <w:rPr>
                <w:rFonts w:ascii="Times New Roman" w:cs="Times New Roman" w:eastAsia="Times New Roman" w:hAnsi="Times New Roman"/>
                <w:sz w:val="15"/>
                <w:szCs w:val="15"/>
                <w:color w:val="auto"/>
              </w:rPr>
              <w:t>Extension and payment delay: 8 months</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6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5,294</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Rate Reduction and Extension</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0" w:type="dxa"/>
            <w:vAlign w:val="bottom"/>
          </w:tcPr>
          <w:p>
            <w:pPr>
              <w:spacing w:after="0"/>
              <w:rPr>
                <w:sz w:val="17"/>
                <w:szCs w:val="17"/>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Income producing CRE</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8,495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gridSpan w:val="6"/>
          </w:tcPr>
          <w:p>
            <w:pPr>
              <w:jc w:val="center"/>
              <w:ind w:right="1140"/>
              <w:spacing w:after="0"/>
              <w:rPr>
                <w:sz w:val="20"/>
                <w:szCs w:val="20"/>
                <w:color w:val="auto"/>
              </w:rPr>
            </w:pPr>
            <w:r>
              <w:rPr>
                <w:rFonts w:ascii="Times New Roman" w:cs="Times New Roman" w:eastAsia="Times New Roman" w:hAnsi="Times New Roman"/>
                <w:sz w:val="15"/>
                <w:szCs w:val="15"/>
                <w:color w:val="auto"/>
              </w:rPr>
              <w:t>Rate reduction: 304 basis points; Extension: 4.8 years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Residential mortgage</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2,391</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20" w:type="dxa"/>
            <w:vAlign w:val="bottom"/>
            <w:gridSpan w:val="6"/>
            <w:shd w:val="clear" w:color="auto" w:fill="CCEEFF"/>
          </w:tcPr>
          <w:p>
            <w:pPr>
              <w:jc w:val="center"/>
              <w:ind w:right="1140"/>
              <w:spacing w:after="0"/>
              <w:rPr>
                <w:sz w:val="20"/>
                <w:szCs w:val="20"/>
                <w:color w:val="auto"/>
              </w:rPr>
            </w:pPr>
            <w:r>
              <w:rPr>
                <w:rFonts w:ascii="Times New Roman" w:cs="Times New Roman" w:eastAsia="Times New Roman" w:hAnsi="Times New Roman"/>
                <w:sz w:val="15"/>
                <w:szCs w:val="15"/>
                <w:color w:val="auto"/>
              </w:rPr>
              <w:t>Rate reduction: 448 basis points; Extension: 3.6 years</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Manufactured housing</w:t>
            </w: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820" w:type="dxa"/>
            <w:vAlign w:val="bottom"/>
            <w:tcBorders>
              <w:bottom w:val="single" w:sz="8" w:color="CCEEFF"/>
            </w:tcBorders>
            <w:gridSpan w:val="6"/>
          </w:tcPr>
          <w:p>
            <w:pPr>
              <w:jc w:val="center"/>
              <w:ind w:right="1140"/>
              <w:spacing w:after="0"/>
              <w:rPr>
                <w:sz w:val="20"/>
                <w:szCs w:val="20"/>
                <w:color w:val="auto"/>
              </w:rPr>
            </w:pPr>
            <w:r>
              <w:rPr>
                <w:rFonts w:ascii="Times New Roman" w:cs="Times New Roman" w:eastAsia="Times New Roman" w:hAnsi="Times New Roman"/>
                <w:sz w:val="15"/>
                <w:szCs w:val="15"/>
                <w:color w:val="auto"/>
              </w:rPr>
              <w:t>Rate reduction: 538 basis points; Extension: 3.6 years</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11,191</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Rate Reduction and Payment Delay</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Owner occupied CRE</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1,438</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20" w:type="dxa"/>
            <w:vAlign w:val="bottom"/>
            <w:gridSpan w:val="6"/>
            <w:shd w:val="clear" w:color="auto" w:fill="CCEEFF"/>
          </w:tcPr>
          <w:p>
            <w:pPr>
              <w:jc w:val="center"/>
              <w:ind w:right="1140"/>
              <w:spacing w:after="0"/>
              <w:rPr>
                <w:sz w:val="20"/>
                <w:szCs w:val="20"/>
                <w:color w:val="auto"/>
              </w:rPr>
            </w:pPr>
            <w:r>
              <w:rPr>
                <w:rFonts w:ascii="Times New Roman" w:cs="Times New Roman" w:eastAsia="Times New Roman" w:hAnsi="Times New Roman"/>
                <w:sz w:val="15"/>
                <w:szCs w:val="15"/>
                <w:color w:val="auto"/>
              </w:rPr>
              <w:t>Rate reduction: 75 basis points; Payment delay: 6 months</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Commercial &amp; industrial</w:t>
            </w: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820" w:type="dxa"/>
            <w:vAlign w:val="bottom"/>
            <w:tcBorders>
              <w:bottom w:val="single" w:sz="8" w:color="CCEEFF"/>
            </w:tcBorders>
            <w:gridSpan w:val="6"/>
          </w:tcPr>
          <w:p>
            <w:pPr>
              <w:jc w:val="center"/>
              <w:ind w:right="1140"/>
              <w:spacing w:after="0"/>
              <w:rPr>
                <w:sz w:val="20"/>
                <w:szCs w:val="20"/>
                <w:color w:val="auto"/>
              </w:rPr>
            </w:pPr>
            <w:r>
              <w:rPr>
                <w:rFonts w:ascii="Times New Roman" w:cs="Times New Roman" w:eastAsia="Times New Roman" w:hAnsi="Times New Roman"/>
                <w:sz w:val="15"/>
                <w:szCs w:val="15"/>
                <w:color w:val="auto"/>
              </w:rPr>
              <w:t>Rate reduction: 150 basis points; Payment delay: 6 months</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1,544</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Rate Reduction, Payment Delay &amp; Extension</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6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20" w:type="dxa"/>
            <w:vAlign w:val="bottom"/>
            <w:gridSpan w:val="6"/>
            <w:shd w:val="clear" w:color="auto" w:fill="CCEEFF"/>
          </w:tcPr>
          <w:p>
            <w:pPr>
              <w:jc w:val="center"/>
              <w:ind w:right="1140"/>
              <w:spacing w:after="0" w:line="159" w:lineRule="exact"/>
              <w:rPr>
                <w:sz w:val="20"/>
                <w:szCs w:val="20"/>
                <w:color w:val="auto"/>
              </w:rPr>
            </w:pPr>
            <w:r>
              <w:rPr>
                <w:rFonts w:ascii="Times New Roman" w:cs="Times New Roman" w:eastAsia="Times New Roman" w:hAnsi="Times New Roman"/>
                <w:sz w:val="15"/>
                <w:szCs w:val="15"/>
                <w:color w:val="auto"/>
              </w:rPr>
              <w:t>Rate reduction: 75 basis points; Payment delay: 6 months;</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Owner occupied CRE</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80" w:type="dxa"/>
            <w:vAlign w:val="bottom"/>
            <w:gridSpan w:val="3"/>
            <w:shd w:val="clear" w:color="auto" w:fill="CCEEFF"/>
          </w:tcPr>
          <w:p>
            <w:pPr>
              <w:jc w:val="center"/>
              <w:ind w:left="523"/>
              <w:spacing w:after="0"/>
              <w:rPr>
                <w:sz w:val="20"/>
                <w:szCs w:val="20"/>
                <w:color w:val="auto"/>
              </w:rPr>
            </w:pPr>
            <w:r>
              <w:rPr>
                <w:rFonts w:ascii="Times New Roman" w:cs="Times New Roman" w:eastAsia="Times New Roman" w:hAnsi="Times New Roman"/>
                <w:sz w:val="15"/>
                <w:szCs w:val="15"/>
                <w:color w:val="auto"/>
              </w:rPr>
              <w:t>Extension: 3 years</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20" w:type="dxa"/>
            <w:vAlign w:val="bottom"/>
            <w:gridSpan w:val="6"/>
          </w:tcPr>
          <w:p>
            <w:pPr>
              <w:jc w:val="center"/>
              <w:ind w:right="1140"/>
              <w:spacing w:after="0" w:line="159" w:lineRule="exact"/>
              <w:rPr>
                <w:sz w:val="20"/>
                <w:szCs w:val="20"/>
                <w:color w:val="auto"/>
              </w:rPr>
            </w:pPr>
            <w:r>
              <w:rPr>
                <w:rFonts w:ascii="Times New Roman" w:cs="Times New Roman" w:eastAsia="Times New Roman" w:hAnsi="Times New Roman"/>
                <w:sz w:val="15"/>
                <w:szCs w:val="15"/>
                <w:color w:val="auto"/>
              </w:rPr>
              <w:t>Rate reduction: 273 basis points; Payment delay: 6 months;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6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Commercial &amp; industrial</w:t>
            </w: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2,456</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80" w:type="dxa"/>
            <w:vAlign w:val="bottom"/>
            <w:tcBorders>
              <w:bottom w:val="single" w:sz="8" w:color="CCEEFF"/>
            </w:tcBorders>
            <w:gridSpan w:val="3"/>
          </w:tcPr>
          <w:p>
            <w:pPr>
              <w:jc w:val="center"/>
              <w:ind w:left="523"/>
              <w:spacing w:after="0"/>
              <w:rPr>
                <w:sz w:val="20"/>
                <w:szCs w:val="20"/>
                <w:color w:val="auto"/>
              </w:rPr>
            </w:pPr>
            <w:r>
              <w:rPr>
                <w:rFonts w:ascii="Times New Roman" w:cs="Times New Roman" w:eastAsia="Times New Roman" w:hAnsi="Times New Roman"/>
                <w:sz w:val="15"/>
                <w:szCs w:val="15"/>
                <w:color w:val="auto"/>
              </w:rPr>
              <w:t>Extension: 4.6 years</w:t>
            </w:r>
          </w:p>
        </w:tc>
        <w:tc>
          <w:tcPr>
            <w:tcW w:w="4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2,615</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6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6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56,021</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Payment delay FDMs in bankruptcy are excluded from the weighted average payment delay calculation.</w:t>
      </w:r>
    </w:p>
    <w:p>
      <w:pPr>
        <w:spacing w:after="0" w:line="65" w:lineRule="exact"/>
        <w:rPr>
          <w:rFonts w:ascii="Times New Roman" w:cs="Times New Roman" w:eastAsia="Times New Roman" w:hAnsi="Times New Roman"/>
          <w:sz w:val="21"/>
          <w:szCs w:val="21"/>
          <w:color w:val="auto"/>
          <w:vertAlign w:val="superscript"/>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Payment delays in this category reflect principal payment delays, while interest payments continue in accordance with loan terms.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5"/>
          </w:tcPr>
          <w:p>
            <w:pPr>
              <w:ind w:left="860"/>
              <w:spacing w:after="0"/>
              <w:rPr>
                <w:sz w:val="20"/>
                <w:szCs w:val="20"/>
                <w:color w:val="auto"/>
              </w:rPr>
            </w:pPr>
            <w:r>
              <w:rPr>
                <w:rFonts w:ascii="Times New Roman" w:cs="Times New Roman" w:eastAsia="Times New Roman" w:hAnsi="Times New Roman"/>
                <w:sz w:val="16"/>
                <w:szCs w:val="16"/>
                <w:b w:val="1"/>
                <w:bCs w:val="1"/>
                <w:color w:val="auto"/>
              </w:rPr>
              <w:t>New FDMs</w:t>
            </w: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Amortized Cost by Type of Modification</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100" w:type="dxa"/>
            <w:vAlign w:val="bottom"/>
          </w:tcPr>
          <w:p>
            <w:pPr>
              <w:spacing w:after="0"/>
              <w:rPr>
                <w:sz w:val="13"/>
                <w:szCs w:val="13"/>
                <w:color w:val="auto"/>
              </w:rPr>
            </w:pPr>
          </w:p>
        </w:tc>
        <w:tc>
          <w:tcPr>
            <w:tcW w:w="110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Rate</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 Total Class of</w:t>
            </w:r>
          </w:p>
        </w:tc>
        <w:tc>
          <w:tcPr>
            <w:tcW w:w="138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Defaults within 12</w:t>
            </w:r>
          </w:p>
        </w:tc>
        <w:tc>
          <w:tcPr>
            <w:tcW w:w="0" w:type="dxa"/>
            <w:vAlign w:val="bottom"/>
          </w:tcPr>
          <w:p>
            <w:pPr>
              <w:spacing w:after="0"/>
              <w:rPr>
                <w:sz w:val="1"/>
                <w:szCs w:val="1"/>
                <w:color w:val="auto"/>
              </w:rPr>
            </w:pPr>
          </w:p>
        </w:tc>
      </w:tr>
      <w:tr>
        <w:trPr>
          <w:trHeight w:val="162"/>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12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Reduction &amp;</w:t>
            </w:r>
          </w:p>
        </w:tc>
        <w:tc>
          <w:tcPr>
            <w:tcW w:w="22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months of</w:t>
            </w:r>
          </w:p>
        </w:tc>
        <w:tc>
          <w:tcPr>
            <w:tcW w:w="0" w:type="dxa"/>
            <w:vAlign w:val="bottom"/>
          </w:tcPr>
          <w:p>
            <w:pPr>
              <w:spacing w:after="0"/>
              <w:rPr>
                <w:sz w:val="1"/>
                <w:szCs w:val="1"/>
                <w:color w:val="auto"/>
              </w:rPr>
            </w:pPr>
          </w:p>
        </w:tc>
      </w:tr>
      <w:tr>
        <w:trPr>
          <w:trHeight w:val="214"/>
        </w:trPr>
        <w:tc>
          <w:tcPr>
            <w:tcW w:w="2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&amp; Extension</w:t>
            </w: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80" w:type="dxa"/>
            <w:vAlign w:val="bottom"/>
          </w:tcPr>
          <w:p>
            <w:pPr>
              <w:spacing w:after="0"/>
              <w:rPr>
                <w:sz w:val="18"/>
                <w:szCs w:val="18"/>
                <w:color w:val="auto"/>
              </w:rPr>
            </w:pPr>
          </w:p>
        </w:tc>
        <w:tc>
          <w:tcPr>
            <w:tcW w:w="12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modification</w:t>
            </w:r>
          </w:p>
        </w:tc>
        <w:tc>
          <w:tcPr>
            <w:tcW w:w="0" w:type="dxa"/>
            <w:vAlign w:val="bottom"/>
          </w:tcPr>
          <w:p>
            <w:pPr>
              <w:spacing w:after="0"/>
              <w:rPr>
                <w:sz w:val="1"/>
                <w:szCs w:val="1"/>
                <w:color w:val="auto"/>
              </w:rPr>
            </w:pPr>
          </w:p>
        </w:tc>
      </w:tr>
      <w:tr>
        <w:trPr>
          <w:trHeight w:val="211"/>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73,508</w:t>
            </w:r>
          </w:p>
        </w:tc>
        <w:tc>
          <w:tcPr>
            <w:tcW w:w="16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19,365</w:t>
            </w:r>
          </w:p>
        </w:tc>
        <w:tc>
          <w:tcPr>
            <w:tcW w:w="16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17,651</w:t>
            </w:r>
          </w:p>
        </w:tc>
        <w:tc>
          <w:tcPr>
            <w:tcW w:w="16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6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113,238</w:t>
            </w:r>
          </w:p>
        </w:tc>
        <w:tc>
          <w:tcPr>
            <w:tcW w:w="1640" w:type="dxa"/>
            <w:vAlign w:val="bottom"/>
            <w:tcBorders>
              <w:top w:val="single" w:sz="8" w:color="CCEEFF"/>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paragraphs further describe the terms of FDMs executed during the nine months ended September 30, 2023:</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Equipment financing FDMs typically consist of extensions and/or payment delays in which the borrower receives one or more three-month extensions and/or payment delays beyond the original maturity date. For the remainder of extension FDMs occurring during the first nine months of 2023, the weighted average extension granted was approximately 13 months.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and industrial payment delay FDMs include $2.86 million of loans in bankruptcy status. Excluding bankruptcy status loans, the remainder of FDMs in this category had a weighted average payment delay of approximately three months.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2023, income producing CRE FDMs categorized as rate reduction and extensions resulted in a decrease in weighted average interest rate of 158 basis points and extended the weighted average maturity by two years. Residential mortgage and manufactured housing FDMs resulted in a decrease in the weighted average interest rate on these FDMs of 562 basis points and extended the weighted average maturity by 17.5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Allowance for Credit Losses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ACL for loans represents management’s estimate of life of loan credit losses in the portfolio as of the end of the period. The ACL related to unfunded commitments is included in other liabilities in the consolidated balance sheet.</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both September 30, 2024 and December 31, 2023, United used a one-year reasonable and supportable forecast period. Expected credit losses were estimated using a regression model for each segment based on historical data from peer banks combined with a third party vendor’s baseline economic forecast to predict the change in credit losses. These estimates were then combined with a starting value that was based on United’s recent charge-off experience to produce an expected default rate, with the results subject to a floor. Beginning in the second quarter of 2024, United adjusted the model assumption regarding the look-back period used to determine the starting value for the expected default rate, which decreased the need for model overlays and, collectively, had no material impact on the ACL.</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case of commercial &amp; industrial loans, at September 30, 2024, the expected default rate was adjusted downward by a model overlay based on expectations of future performance.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2024, the third party vendor’s baseline economic forecast had improved slightly relative to the forecast at December 31, 2023. At September 30, 2024, United applied qualitative adjustments to the model output for the residential mortgage, owner occupied CRE, commercial and industrial, manufactured housing and equipment finance portfolios. In addition, a qualitative adjustment was made for loans in certain western North Carolina areas affected by Hurricane Helene.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periods beyond the reasonable and supportable forecast period of one year, United reverted to historical credit loss information on a straight line basis over two years. For most collateral types, United reverted to through-the-cycle average default rates using peer data from 2000 to 2017. For loans secured by residential mortgages and manufactured housing, the peer data was adjusted for changes in lending practices designed to mitigate the magnitude of losses observed during the 2008 mortgage crisis.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balance and activity in the ACL by portfolio segment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Three Months Ended September 30,</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Beginning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Charge-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(Release)</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Initial ACL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Charge-</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(Release)</w:t>
            </w:r>
          </w:p>
        </w:tc>
        <w:tc>
          <w:tcPr>
            <w:tcW w:w="100" w:type="dxa"/>
            <w:vAlign w:val="bottom"/>
          </w:tcPr>
          <w:p>
            <w:pPr>
              <w:spacing w:after="0"/>
              <w:rPr>
                <w:sz w:val="12"/>
                <w:szCs w:val="12"/>
                <w:color w:val="auto"/>
              </w:rPr>
            </w:pPr>
          </w:p>
        </w:tc>
        <w:tc>
          <w:tcPr>
            <w:tcW w:w="64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116"/>
        </w:trPr>
        <w:tc>
          <w:tcPr>
            <w:tcW w:w="2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8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 PCD loans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8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Offs</w:t>
            </w:r>
          </w:p>
        </w:tc>
        <w:tc>
          <w:tcPr>
            <w:tcW w:w="860" w:type="dxa"/>
            <w:vAlign w:val="bottom"/>
            <w:gridSpan w:val="3"/>
            <w:vMerge w:val="continue"/>
          </w:tcPr>
          <w:p>
            <w:pPr>
              <w:spacing w:after="0"/>
              <w:rPr>
                <w:sz w:val="18"/>
                <w:szCs w:val="18"/>
                <w:color w:val="auto"/>
              </w:rPr>
            </w:pP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center"/>
              <w:ind w:right="123"/>
              <w:spacing w:after="0"/>
              <w:rPr>
                <w:sz w:val="20"/>
                <w:szCs w:val="20"/>
                <w:color w:val="auto"/>
              </w:rPr>
            </w:pPr>
            <w:r>
              <w:rPr>
                <w:rFonts w:ascii="Times New Roman" w:cs="Times New Roman" w:eastAsia="Times New Roman" w:hAnsi="Times New Roman"/>
                <w:sz w:val="10"/>
                <w:szCs w:val="10"/>
                <w:b w:val="1"/>
                <w:bCs w:val="1"/>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Offs</w:t>
            </w:r>
          </w:p>
        </w:tc>
        <w:tc>
          <w:tcPr>
            <w:tcW w:w="860" w:type="dxa"/>
            <w:vAlign w:val="bottom"/>
            <w:gridSpan w:val="3"/>
            <w:vMerge w:val="continue"/>
          </w:tcPr>
          <w:p>
            <w:pPr>
              <w:spacing w:after="0"/>
              <w:rPr>
                <w:sz w:val="18"/>
                <w:szCs w:val="18"/>
                <w:color w:val="auto"/>
              </w:rPr>
            </w:pP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00" w:type="dxa"/>
            <w:vAlign w:val="bottom"/>
          </w:tcPr>
          <w:p>
            <w:pPr>
              <w:spacing w:after="0"/>
              <w:rPr>
                <w:sz w:val="18"/>
                <w:szCs w:val="18"/>
                <w:color w:val="auto"/>
              </w:rPr>
            </w:pPr>
          </w:p>
        </w:tc>
        <w:tc>
          <w:tcPr>
            <w:tcW w:w="64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0" w:type="dxa"/>
            <w:vAlign w:val="bottom"/>
          </w:tcPr>
          <w:p>
            <w:pPr>
              <w:spacing w:after="0"/>
              <w:rPr>
                <w:sz w:val="1"/>
                <w:szCs w:val="1"/>
                <w:color w:val="auto"/>
              </w:rPr>
            </w:pPr>
          </w:p>
        </w:tc>
      </w:tr>
      <w:tr>
        <w:trPr>
          <w:trHeight w:val="209"/>
        </w:trPr>
        <w:tc>
          <w:tcPr>
            <w:tcW w:w="2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21,787</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21,235</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21,788</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23,984</w:t>
            </w:r>
          </w:p>
        </w:tc>
        <w:tc>
          <w:tcPr>
            <w:tcW w:w="0" w:type="dxa"/>
            <w:vAlign w:val="bottom"/>
          </w:tcPr>
          <w:p>
            <w:pPr>
              <w:spacing w:after="0"/>
              <w:rPr>
                <w:sz w:val="1"/>
                <w:szCs w:val="1"/>
                <w:color w:val="auto"/>
              </w:rPr>
            </w:pPr>
          </w:p>
        </w:tc>
      </w:tr>
      <w:tr>
        <w:trPr>
          <w:trHeight w:val="211"/>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42,894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39,476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38,775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45,588</w:t>
            </w:r>
          </w:p>
        </w:tc>
        <w:tc>
          <w:tcPr>
            <w:tcW w:w="0" w:type="dxa"/>
            <w:vAlign w:val="bottom"/>
          </w:tcPr>
          <w:p>
            <w:pPr>
              <w:spacing w:after="0"/>
              <w:rPr>
                <w:sz w:val="1"/>
                <w:szCs w:val="1"/>
                <w:color w:val="auto"/>
              </w:rPr>
            </w:pPr>
          </w:p>
        </w:tc>
      </w:tr>
      <w:tr>
        <w:trPr>
          <w:trHeight w:val="221"/>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(19,702)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31,217</w:t>
            </w:r>
          </w:p>
        </w:tc>
        <w:tc>
          <w:tcPr>
            <w:tcW w:w="0" w:type="dxa"/>
            <w:vAlign w:val="bottom"/>
          </w:tcPr>
          <w:p>
            <w:pPr>
              <w:spacing w:after="0"/>
              <w:rPr>
                <w:sz w:val="1"/>
                <w:szCs w:val="1"/>
                <w:color w:val="auto"/>
              </w:rPr>
            </w:pPr>
          </w:p>
        </w:tc>
      </w:tr>
      <w:tr>
        <w:trPr>
          <w:trHeight w:val="211"/>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20,639</w:t>
            </w:r>
          </w:p>
        </w:tc>
        <w:tc>
          <w:tcPr>
            <w:tcW w:w="0" w:type="dxa"/>
            <w:vAlign w:val="bottom"/>
          </w:tcPr>
          <w:p>
            <w:pPr>
              <w:spacing w:after="0"/>
              <w:rPr>
                <w:sz w:val="1"/>
                <w:szCs w:val="1"/>
                <w:color w:val="auto"/>
              </w:rPr>
            </w:pPr>
          </w:p>
        </w:tc>
      </w:tr>
      <w:tr>
        <w:trPr>
          <w:trHeight w:val="221"/>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45,866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30,362</w:t>
            </w:r>
          </w:p>
        </w:tc>
        <w:tc>
          <w:tcPr>
            <w:tcW w:w="0" w:type="dxa"/>
            <w:vAlign w:val="bottom"/>
          </w:tcPr>
          <w:p>
            <w:pPr>
              <w:spacing w:after="0"/>
              <w:rPr>
                <w:sz w:val="1"/>
                <w:szCs w:val="1"/>
                <w:color w:val="auto"/>
              </w:rPr>
            </w:pPr>
          </w:p>
        </w:tc>
      </w:tr>
      <w:tr>
        <w:trPr>
          <w:trHeight w:val="211"/>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26,884</w:t>
            </w:r>
          </w:p>
        </w:tc>
        <w:tc>
          <w:tcPr>
            <w:tcW w:w="0" w:type="dxa"/>
            <w:vAlign w:val="bottom"/>
          </w:tcPr>
          <w:p>
            <w:pPr>
              <w:spacing w:after="0"/>
              <w:rPr>
                <w:sz w:val="1"/>
                <w:szCs w:val="1"/>
                <w:color w:val="auto"/>
              </w:rPr>
            </w:pPr>
          </w:p>
        </w:tc>
      </w:tr>
      <w:tr>
        <w:trPr>
          <w:trHeight w:val="221"/>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9,799</w:t>
            </w:r>
          </w:p>
        </w:tc>
        <w:tc>
          <w:tcPr>
            <w:tcW w:w="0" w:type="dxa"/>
            <w:vAlign w:val="bottom"/>
          </w:tcPr>
          <w:p>
            <w:pPr>
              <w:spacing w:after="0"/>
              <w:rPr>
                <w:sz w:val="1"/>
                <w:szCs w:val="1"/>
                <w:color w:val="auto"/>
              </w:rPr>
            </w:pPr>
          </w:p>
        </w:tc>
      </w:tr>
      <w:tr>
        <w:trPr>
          <w:trHeight w:val="211"/>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0" w:type="dxa"/>
            <w:vAlign w:val="bottom"/>
          </w:tcPr>
          <w:p>
            <w:pPr>
              <w:spacing w:after="0"/>
              <w:rPr>
                <w:sz w:val="1"/>
                <w:szCs w:val="1"/>
                <w:color w:val="auto"/>
              </w:rPr>
            </w:pPr>
          </w:p>
        </w:tc>
      </w:tr>
      <w:tr>
        <w:trPr>
          <w:trHeight w:val="221"/>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(11,635)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0" w:type="dxa"/>
            <w:vAlign w:val="bottom"/>
          </w:tcPr>
          <w:p>
            <w:pPr>
              <w:spacing w:after="0"/>
              <w:rPr>
                <w:sz w:val="1"/>
                <w:szCs w:val="1"/>
                <w:color w:val="auto"/>
              </w:rPr>
            </w:pPr>
          </w:p>
        </w:tc>
      </w:tr>
      <w:tr>
        <w:trPr>
          <w:trHeight w:val="211"/>
        </w:trPr>
        <w:tc>
          <w:tcPr>
            <w:tcW w:w="2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0" w:type="dxa"/>
            <w:vAlign w:val="bottom"/>
          </w:tcPr>
          <w:p>
            <w:pPr>
              <w:spacing w:after="0"/>
              <w:rPr>
                <w:sz w:val="1"/>
                <w:szCs w:val="1"/>
                <w:color w:val="auto"/>
              </w:rPr>
            </w:pPr>
          </w:p>
        </w:tc>
      </w:tr>
      <w:tr>
        <w:trPr>
          <w:trHeight w:val="214"/>
        </w:trPr>
        <w:tc>
          <w:tcPr>
            <w:tcW w:w="2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ACL - loans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213,022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(26,974)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205,290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190,705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(33,163)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201,557</w:t>
            </w: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8" w:lineRule="exact"/>
              <w:rPr>
                <w:sz w:val="20"/>
                <w:szCs w:val="20"/>
                <w:color w:val="auto"/>
              </w:rPr>
            </w:pPr>
            <w:r>
              <w:rPr>
                <w:rFonts w:ascii="Times New Roman" w:cs="Times New Roman" w:eastAsia="Times New Roman" w:hAnsi="Times New Roman"/>
                <w:sz w:val="16"/>
                <w:szCs w:val="16"/>
                <w:color w:val="auto"/>
              </w:rPr>
              <w:t>ACL - unfunded</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10,227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21,572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18,067</w:t>
            </w:r>
          </w:p>
        </w:tc>
        <w:tc>
          <w:tcPr>
            <w:tcW w:w="0" w:type="dxa"/>
            <w:vAlign w:val="bottom"/>
          </w:tcPr>
          <w:p>
            <w:pPr>
              <w:spacing w:after="0"/>
              <w:rPr>
                <w:sz w:val="1"/>
                <w:szCs w:val="1"/>
                <w:color w:val="auto"/>
              </w:rPr>
            </w:pPr>
          </w:p>
        </w:tc>
      </w:tr>
      <w:tr>
        <w:trPr>
          <w:trHeight w:val="21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commitments</w:t>
            </w: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1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$ 224,740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(26,974)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215,517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$ 212,277</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(33,163)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219,624</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Charge-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(Release)</w:t>
            </w:r>
          </w:p>
        </w:tc>
        <w:tc>
          <w:tcPr>
            <w:tcW w:w="10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60" w:type="dxa"/>
            <w:vAlign w:val="bottom"/>
          </w:tcPr>
          <w:p>
            <w:pPr>
              <w:spacing w:after="0"/>
              <w:rPr>
                <w:sz w:val="12"/>
                <w:szCs w:val="12"/>
                <w:color w:val="auto"/>
              </w:rPr>
            </w:pPr>
          </w:p>
        </w:tc>
        <w:tc>
          <w:tcPr>
            <w:tcW w:w="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Initial ACL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Charge-</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(Release)</w:t>
            </w:r>
          </w:p>
        </w:tc>
        <w:tc>
          <w:tcPr>
            <w:tcW w:w="100" w:type="dxa"/>
            <w:vAlign w:val="bottom"/>
          </w:tcPr>
          <w:p>
            <w:pPr>
              <w:spacing w:after="0"/>
              <w:rPr>
                <w:sz w:val="12"/>
                <w:szCs w:val="12"/>
                <w:color w:val="auto"/>
              </w:rPr>
            </w:pPr>
          </w:p>
        </w:tc>
        <w:tc>
          <w:tcPr>
            <w:tcW w:w="640" w:type="dxa"/>
            <w:vAlign w:val="bottom"/>
            <w:vMerge w:val="restart"/>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6"/>
              </w:rPr>
              <w:t>Ending</w:t>
            </w:r>
          </w:p>
        </w:tc>
        <w:tc>
          <w:tcPr>
            <w:tcW w:w="0" w:type="dxa"/>
            <w:vAlign w:val="bottom"/>
          </w:tcPr>
          <w:p>
            <w:pPr>
              <w:spacing w:after="0"/>
              <w:rPr>
                <w:sz w:val="1"/>
                <w:szCs w:val="1"/>
                <w:color w:val="auto"/>
              </w:rPr>
            </w:pPr>
          </w:p>
        </w:tc>
      </w:tr>
      <w:tr>
        <w:trPr>
          <w:trHeight w:val="115"/>
        </w:trPr>
        <w:tc>
          <w:tcPr>
            <w:tcW w:w="2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8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gridSpan w:val="3"/>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 PCD loans</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8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3"/>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Balance</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rPr>
              <w:t>Offs</w:t>
            </w:r>
          </w:p>
        </w:tc>
        <w:tc>
          <w:tcPr>
            <w:tcW w:w="860" w:type="dxa"/>
            <w:vAlign w:val="bottom"/>
            <w:gridSpan w:val="3"/>
            <w:vMerge w:val="continue"/>
          </w:tcPr>
          <w:p>
            <w:pPr>
              <w:spacing w:after="0"/>
              <w:rPr>
                <w:sz w:val="8"/>
                <w:szCs w:val="8"/>
                <w:color w:val="auto"/>
              </w:rPr>
            </w:pPr>
          </w:p>
        </w:tc>
        <w:tc>
          <w:tcPr>
            <w:tcW w:w="820" w:type="dxa"/>
            <w:vAlign w:val="bottom"/>
            <w:gridSpan w:val="5"/>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Provision</w:t>
            </w:r>
          </w:p>
        </w:tc>
        <w:tc>
          <w:tcPr>
            <w:tcW w:w="740" w:type="dxa"/>
            <w:vAlign w:val="bottom"/>
            <w:gridSpan w:val="3"/>
          </w:tcPr>
          <w:p>
            <w:pPr>
              <w:jc w:val="right"/>
              <w:ind w:right="120"/>
              <w:spacing w:after="0" w:line="100" w:lineRule="exact"/>
              <w:rPr>
                <w:sz w:val="20"/>
                <w:szCs w:val="20"/>
                <w:color w:val="auto"/>
              </w:rPr>
            </w:pPr>
            <w:r>
              <w:rPr>
                <w:rFonts w:ascii="Times New Roman" w:cs="Times New Roman" w:eastAsia="Times New Roman" w:hAnsi="Times New Roman"/>
                <w:sz w:val="11"/>
                <w:szCs w:val="11"/>
                <w:b w:val="1"/>
                <w:bCs w:val="1"/>
                <w:color w:val="auto"/>
              </w:rPr>
              <w:t>Balance</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3"/>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Balance</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restart"/>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(1)</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rPr>
              <w:t>Offs</w:t>
            </w:r>
          </w:p>
        </w:tc>
        <w:tc>
          <w:tcPr>
            <w:tcW w:w="860" w:type="dxa"/>
            <w:vAlign w:val="bottom"/>
            <w:gridSpan w:val="3"/>
            <w:vMerge w:val="continue"/>
          </w:tcPr>
          <w:p>
            <w:pPr>
              <w:spacing w:after="0"/>
              <w:rPr>
                <w:sz w:val="8"/>
                <w:szCs w:val="8"/>
                <w:color w:val="auto"/>
              </w:rPr>
            </w:pPr>
          </w:p>
        </w:tc>
        <w:tc>
          <w:tcPr>
            <w:tcW w:w="820" w:type="dxa"/>
            <w:vAlign w:val="bottom"/>
            <w:gridSpan w:val="5"/>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Provision</w:t>
            </w:r>
          </w:p>
        </w:tc>
        <w:tc>
          <w:tcPr>
            <w:tcW w:w="100" w:type="dxa"/>
            <w:vAlign w:val="bottom"/>
          </w:tcPr>
          <w:p>
            <w:pPr>
              <w:spacing w:after="0"/>
              <w:rPr>
                <w:sz w:val="8"/>
                <w:szCs w:val="8"/>
                <w:color w:val="auto"/>
              </w:rPr>
            </w:pPr>
          </w:p>
        </w:tc>
        <w:tc>
          <w:tcPr>
            <w:tcW w:w="640" w:type="dxa"/>
            <w:vAlign w:val="bottom"/>
          </w:tcPr>
          <w:p>
            <w:pPr>
              <w:jc w:val="center"/>
              <w:ind w:right="42"/>
              <w:spacing w:after="0" w:line="100" w:lineRule="exact"/>
              <w:rPr>
                <w:sz w:val="20"/>
                <w:szCs w:val="20"/>
                <w:color w:val="auto"/>
              </w:rPr>
            </w:pPr>
            <w:r>
              <w:rPr>
                <w:rFonts w:ascii="Times New Roman" w:cs="Times New Roman" w:eastAsia="Times New Roman" w:hAnsi="Times New Roman"/>
                <w:sz w:val="11"/>
                <w:szCs w:val="11"/>
                <w:b w:val="1"/>
                <w:bCs w:val="1"/>
                <w:color w:val="auto"/>
              </w:rPr>
              <w:t>Balance</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5"/>
        </w:trPr>
        <w:tc>
          <w:tcPr>
            <w:tcW w:w="214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gridSpan w:val="2"/>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gridSpan w:val="2"/>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gridSpan w:val="2"/>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23,984</w:t>
            </w:r>
          </w:p>
        </w:tc>
        <w:tc>
          <w:tcPr>
            <w:tcW w:w="0" w:type="dxa"/>
            <w:vAlign w:val="bottom"/>
          </w:tcPr>
          <w:p>
            <w:pPr>
              <w:spacing w:after="0"/>
              <w:rPr>
                <w:sz w:val="1"/>
                <w:szCs w:val="1"/>
                <w:color w:val="auto"/>
              </w:rPr>
            </w:pPr>
          </w:p>
        </w:tc>
      </w:tr>
      <w:tr>
        <w:trPr>
          <w:trHeight w:val="211"/>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47,755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39,476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3,399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45,588</w:t>
            </w:r>
          </w:p>
        </w:tc>
        <w:tc>
          <w:tcPr>
            <w:tcW w:w="0" w:type="dxa"/>
            <w:vAlign w:val="bottom"/>
          </w:tcPr>
          <w:p>
            <w:pPr>
              <w:spacing w:after="0"/>
              <w:rPr>
                <w:sz w:val="1"/>
                <w:szCs w:val="1"/>
                <w:color w:val="auto"/>
              </w:rPr>
            </w:pPr>
          </w:p>
        </w:tc>
      </w:tr>
      <w:tr>
        <w:trPr>
          <w:trHeight w:val="221"/>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(14,069)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34,699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1,891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(24,353)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31,217</w:t>
            </w:r>
          </w:p>
        </w:tc>
        <w:tc>
          <w:tcPr>
            <w:tcW w:w="0" w:type="dxa"/>
            <w:vAlign w:val="bottom"/>
          </w:tcPr>
          <w:p>
            <w:pPr>
              <w:spacing w:after="0"/>
              <w:rPr>
                <w:sz w:val="1"/>
                <w:szCs w:val="1"/>
                <w:color w:val="auto"/>
              </w:rPr>
            </w:pPr>
          </w:p>
        </w:tc>
      </w:tr>
      <w:tr>
        <w:trPr>
          <w:trHeight w:val="211"/>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20,639</w:t>
            </w:r>
          </w:p>
        </w:tc>
        <w:tc>
          <w:tcPr>
            <w:tcW w:w="0" w:type="dxa"/>
            <w:vAlign w:val="bottom"/>
          </w:tcPr>
          <w:p>
            <w:pPr>
              <w:spacing w:after="0"/>
              <w:rPr>
                <w:sz w:val="1"/>
                <w:szCs w:val="1"/>
                <w:color w:val="auto"/>
              </w:rPr>
            </w:pPr>
          </w:p>
        </w:tc>
      </w:tr>
      <w:tr>
        <w:trPr>
          <w:trHeight w:val="221"/>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(20,175)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45,866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(14,994)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30,362</w:t>
            </w:r>
          </w:p>
        </w:tc>
        <w:tc>
          <w:tcPr>
            <w:tcW w:w="0" w:type="dxa"/>
            <w:vAlign w:val="bottom"/>
          </w:tcPr>
          <w:p>
            <w:pPr>
              <w:spacing w:after="0"/>
              <w:rPr>
                <w:sz w:val="1"/>
                <w:szCs w:val="1"/>
                <w:color w:val="auto"/>
              </w:rPr>
            </w:pPr>
          </w:p>
        </w:tc>
      </w:tr>
      <w:tr>
        <w:trPr>
          <w:trHeight w:val="211"/>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34,303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26,884</w:t>
            </w:r>
          </w:p>
        </w:tc>
        <w:tc>
          <w:tcPr>
            <w:tcW w:w="0" w:type="dxa"/>
            <w:vAlign w:val="bottom"/>
          </w:tcPr>
          <w:p>
            <w:pPr>
              <w:spacing w:after="0"/>
              <w:rPr>
                <w:sz w:val="1"/>
                <w:szCs w:val="1"/>
                <w:color w:val="auto"/>
              </w:rPr>
            </w:pPr>
          </w:p>
        </w:tc>
      </w:tr>
      <w:tr>
        <w:trPr>
          <w:trHeight w:val="221"/>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10,765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534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9,799</w:t>
            </w:r>
          </w:p>
        </w:tc>
        <w:tc>
          <w:tcPr>
            <w:tcW w:w="0" w:type="dxa"/>
            <w:vAlign w:val="bottom"/>
          </w:tcPr>
          <w:p>
            <w:pPr>
              <w:spacing w:after="0"/>
              <w:rPr>
                <w:sz w:val="1"/>
                <w:szCs w:val="1"/>
                <w:color w:val="auto"/>
              </w:rPr>
            </w:pPr>
          </w:p>
        </w:tc>
      </w:tr>
      <w:tr>
        <w:trPr>
          <w:trHeight w:val="211"/>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1,486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0" w:type="dxa"/>
            <w:vAlign w:val="bottom"/>
          </w:tcPr>
          <w:p>
            <w:pPr>
              <w:spacing w:after="0"/>
              <w:rPr>
                <w:sz w:val="1"/>
                <w:szCs w:val="1"/>
                <w:color w:val="auto"/>
              </w:rPr>
            </w:pPr>
          </w:p>
        </w:tc>
      </w:tr>
      <w:tr>
        <w:trPr>
          <w:trHeight w:val="221"/>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(14,475)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0" w:type="dxa"/>
            <w:vAlign w:val="bottom"/>
          </w:tcPr>
          <w:p>
            <w:pPr>
              <w:spacing w:after="0"/>
              <w:rPr>
                <w:sz w:val="1"/>
                <w:szCs w:val="1"/>
                <w:color w:val="auto"/>
              </w:rPr>
            </w:pPr>
          </w:p>
        </w:tc>
      </w:tr>
      <w:tr>
        <w:trPr>
          <w:trHeight w:val="211"/>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0" w:type="dxa"/>
            <w:vAlign w:val="bottom"/>
          </w:tcPr>
          <w:p>
            <w:pPr>
              <w:spacing w:after="0"/>
              <w:rPr>
                <w:sz w:val="1"/>
                <w:szCs w:val="1"/>
                <w:color w:val="auto"/>
              </w:rPr>
            </w:pPr>
          </w:p>
        </w:tc>
      </w:tr>
      <w:tr>
        <w:trPr>
          <w:trHeight w:val="214"/>
        </w:trPr>
        <w:tc>
          <w:tcPr>
            <w:tcW w:w="21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ACL - loans</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208,071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(57,984)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9,811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205,290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159,357</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6,421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(54,859)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12,738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201,557</w:t>
            </w:r>
          </w:p>
        </w:tc>
        <w:tc>
          <w:tcPr>
            <w:tcW w:w="0" w:type="dxa"/>
            <w:vAlign w:val="bottom"/>
          </w:tcPr>
          <w:p>
            <w:pPr>
              <w:spacing w:after="0"/>
              <w:rPr>
                <w:sz w:val="1"/>
                <w:szCs w:val="1"/>
                <w:color w:val="auto"/>
              </w:rPr>
            </w:pPr>
          </w:p>
        </w:tc>
      </w:tr>
      <w:tr>
        <w:trPr>
          <w:trHeight w:val="152"/>
        </w:trPr>
        <w:tc>
          <w:tcPr>
            <w:tcW w:w="2160" w:type="dxa"/>
            <w:vAlign w:val="bottom"/>
            <w:gridSpan w:val="2"/>
          </w:tcPr>
          <w:p>
            <w:pPr>
              <w:ind w:left="140"/>
              <w:spacing w:after="0" w:line="152" w:lineRule="exact"/>
              <w:rPr>
                <w:sz w:val="20"/>
                <w:szCs w:val="20"/>
                <w:color w:val="auto"/>
              </w:rPr>
            </w:pPr>
            <w:r>
              <w:rPr>
                <w:rFonts w:ascii="Times New Roman" w:cs="Times New Roman" w:eastAsia="Times New Roman" w:hAnsi="Times New Roman"/>
                <w:sz w:val="16"/>
                <w:szCs w:val="16"/>
                <w:color w:val="auto"/>
              </w:rPr>
              <w:t>ACL - unfunded</w:t>
            </w: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16,057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(5,830)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10,227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21,163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18,067</w:t>
            </w:r>
          </w:p>
        </w:tc>
        <w:tc>
          <w:tcPr>
            <w:tcW w:w="0" w:type="dxa"/>
            <w:vAlign w:val="bottom"/>
          </w:tcPr>
          <w:p>
            <w:pPr>
              <w:spacing w:after="0"/>
              <w:rPr>
                <w:sz w:val="1"/>
                <w:szCs w:val="1"/>
                <w:color w:val="auto"/>
              </w:rPr>
            </w:pPr>
          </w:p>
        </w:tc>
      </w:tr>
      <w:tr>
        <w:trPr>
          <w:trHeight w:val="209"/>
        </w:trPr>
        <w:tc>
          <w:tcPr>
            <w:tcW w:w="2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commitments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$ 224,128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(57,984)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9,811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215,517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$ 180,520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6,421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(54,859)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12,738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74,804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219,624</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firstLine="8"/>
        <w:spacing w:after="0" w:line="270" w:lineRule="auto"/>
        <w:tabs>
          <w:tab w:leader="none" w:pos="162"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the three months ended September 30, 2023, represents the initial ACL related to PCD loans acquired in the First Miami transaction. For the nine months ended September 30, 2023, represents the initial ACL related to PCD loans acquired in the First Miami and Progress transactions.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derivative financial instruments, which are included in other assets and other liabilities on the consolidated balance sheet, as of the dates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85"/>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2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0" w:type="dxa"/>
            <w:vAlign w:val="bottom"/>
          </w:tcPr>
          <w:p>
            <w:pPr>
              <w:spacing w:after="0"/>
              <w:rPr>
                <w:sz w:val="1"/>
                <w:szCs w:val="1"/>
                <w:color w:val="auto"/>
              </w:rPr>
            </w:pPr>
          </w:p>
        </w:tc>
      </w:tr>
      <w:tr>
        <w:trPr>
          <w:trHeight w:val="214"/>
        </w:trPr>
        <w:tc>
          <w:tcPr>
            <w:tcW w:w="4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2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198"/>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flow hedge of subordinated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flow hedges of trust preferred securities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Fair value hedges of AFS debt securities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830,955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655,511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hedges of loans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2,600,955</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9,925</w:t>
            </w: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925,511</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derivative positions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1,180,146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1,177,275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68,384</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Dealer offsets to customer derivative positions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1,210,330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1,197,364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Risk participations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banking - loan commitments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banking - forward sales commitment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94,643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Bifurcated embedded derivatives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Dealer offsets to bifurcated embedded derivatives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11,164</w:t>
            </w: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2,736,716</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32,203</w:t>
            </w:r>
          </w:p>
        </w:tc>
        <w:tc>
          <w:tcPr>
            <w:tcW w:w="1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64,594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2,699,229</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37,184</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84,811</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5,337,671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64,594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3,624,740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84,811</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derivative instruments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84,811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Amounts subject to master netting agreements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w:t>
            </w:r>
          </w:p>
        </w:tc>
        <w:tc>
          <w:tcPr>
            <w:tcW w:w="0" w:type="dxa"/>
            <w:vAlign w:val="bottom"/>
          </w:tcPr>
          <w:p>
            <w:pPr>
              <w:spacing w:after="0"/>
              <w:rPr>
                <w:sz w:val="1"/>
                <w:szCs w:val="1"/>
                <w:color w:val="auto"/>
              </w:rPr>
            </w:pPr>
          </w:p>
        </w:tc>
      </w:tr>
      <w:tr>
        <w:trPr>
          <w:trHeight w:val="21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Cash collateral received/pledged</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(20,280)</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(11,330)</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15,991</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68,798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Hedging Derivatives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 of Interest Rate Risk</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of September 30, 2024 and December 31, 2023, United utilized interest rate caps and swaps to hedge the variability of cash flows due to changes in interest rates on certain of its variable-rate subordinated debt and trust preferred securities.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caption as the hedged item over the term of the hedge. Over the next twelve months, United expects to reclassify $4.64 million of gains from AOCI into earnings related to these agreements.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of Interest Rate Risk</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uses interest rate derivatives to manage its exposure to changes in fair value attributable to changes in interest rates on certain of its fixed-rate financial instruments.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first three quarters of 2024, United entered into additional fair value hedges on stated amounts of closed portfolios of loans and investment securities using the portfolio layer method.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derivatives in hedging relationships, all of which are interest rate contracts, on net interest income for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2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Affected Income Statement Line Item</w:t>
            </w:r>
          </w:p>
        </w:tc>
        <w:tc>
          <w:tcPr>
            <w:tcW w:w="272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520" w:type="dxa"/>
            <w:vAlign w:val="bottom"/>
            <w:gridSpan w:val="4"/>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20" w:type="dxa"/>
            <w:vAlign w:val="bottom"/>
            <w:gridSpan w:val="2"/>
            <w:vMerge w:val="continue"/>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vMerge w:val="restart"/>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line="20" w:lineRule="exact"/>
              <w:rPr>
                <w:sz w:val="1"/>
                <w:szCs w:val="1"/>
                <w:color w:val="auto"/>
              </w:rPr>
            </w:pPr>
          </w:p>
        </w:tc>
      </w:tr>
      <w:tr>
        <w:trPr>
          <w:trHeight w:val="212"/>
        </w:trPr>
        <w:tc>
          <w:tcPr>
            <w:tcW w:w="3080" w:type="dxa"/>
            <w:vAlign w:val="bottom"/>
            <w:vMerge w:val="continue"/>
          </w:tcPr>
          <w:p>
            <w:pPr>
              <w:spacing w:after="0"/>
              <w:rPr>
                <w:sz w:val="18"/>
                <w:szCs w:val="18"/>
                <w:color w:val="auto"/>
              </w:rPr>
            </w:pPr>
          </w:p>
        </w:tc>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Increase/(Decrease) to Earnings</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hedges:</w:t>
            </w:r>
          </w:p>
        </w:tc>
        <w:tc>
          <w:tcPr>
            <w:tcW w:w="2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AFS securities:</w:t>
            </w:r>
          </w:p>
        </w:tc>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Amounts related to interest settlements on</w:t>
            </w: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12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9,544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0" w:type="dxa"/>
            <w:vAlign w:val="bottom"/>
          </w:tcPr>
          <w:p>
            <w:pPr>
              <w:spacing w:after="0"/>
              <w:rPr>
                <w:sz w:val="1"/>
                <w:szCs w:val="1"/>
                <w:color w:val="auto"/>
              </w:rPr>
            </w:pPr>
          </w:p>
        </w:tc>
      </w:tr>
      <w:tr>
        <w:trPr>
          <w:trHeight w:val="216"/>
        </w:trPr>
        <w:tc>
          <w:tcPr>
            <w:tcW w:w="3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derivatives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 (loss) recognized on derivative</w:t>
            </w:r>
          </w:p>
        </w:tc>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Gain (loss) recognized on hedged items</w:t>
            </w:r>
          </w:p>
        </w:tc>
        <w:tc>
          <w:tcPr>
            <w:tcW w:w="2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(23,671)</w:t>
            </w: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360"/>
              <w:spacing w:after="0" w:line="142" w:lineRule="exact"/>
              <w:rPr>
                <w:sz w:val="20"/>
                <w:szCs w:val="20"/>
                <w:color w:val="auto"/>
              </w:rPr>
            </w:pPr>
            <w:r>
              <w:rPr>
                <w:rFonts w:ascii="Times New Roman" w:cs="Times New Roman" w:eastAsia="Times New Roman" w:hAnsi="Times New Roman"/>
                <w:sz w:val="16"/>
                <w:szCs w:val="16"/>
                <w:color w:val="auto"/>
              </w:rPr>
              <w:t>Net income recognized on AFS</w:t>
            </w:r>
          </w:p>
        </w:tc>
        <w:tc>
          <w:tcPr>
            <w:tcW w:w="2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 investment securities</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w:t>
            </w: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10,747</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securities fair value hedges</w:t>
            </w:r>
          </w:p>
        </w:tc>
        <w:tc>
          <w:tcPr>
            <w:tcW w:w="2820" w:type="dxa"/>
            <w:vAlign w:val="bottom"/>
            <w:tcBorders>
              <w:bottom w:val="single" w:sz="8" w:color="CCEEFF"/>
            </w:tcBorders>
            <w:gridSpan w:val="2"/>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080" w:type="dxa"/>
            <w:vAlign w:val="bottom"/>
            <w:vMerge w:val="continue"/>
          </w:tcPr>
          <w:p>
            <w:pPr>
              <w:spacing w:after="0"/>
              <w:rPr>
                <w:sz w:val="13"/>
                <w:szCs w:val="13"/>
                <w:color w:val="auto"/>
              </w:rPr>
            </w:pPr>
          </w:p>
        </w:tc>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Amounts related to interest settlements on</w:t>
            </w:r>
          </w:p>
        </w:tc>
        <w:tc>
          <w:tcPr>
            <w:tcW w:w="2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8,949</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recognized on derivatives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recognized on hedged items</w:t>
            </w:r>
          </w:p>
        </w:tc>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308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color w:val="auto"/>
              </w:rPr>
              <w:t>Net income recognized on loan fair value</w:t>
            </w:r>
          </w:p>
        </w:tc>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Interest revenue - loans, including fees</w:t>
            </w: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4,612</w:t>
            </w:r>
          </w:p>
        </w:tc>
        <w:tc>
          <w:tcPr>
            <w:tcW w:w="120" w:type="dxa"/>
            <w:vAlign w:val="bottom"/>
          </w:tcPr>
          <w:p>
            <w:pPr>
              <w:spacing w:after="0"/>
              <w:rPr>
                <w:sz w:val="12"/>
                <w:szCs w:val="12"/>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9,554</w:t>
            </w:r>
          </w:p>
        </w:tc>
        <w:tc>
          <w:tcPr>
            <w:tcW w:w="100" w:type="dxa"/>
            <w:vAlign w:val="bottom"/>
          </w:tcPr>
          <w:p>
            <w:pPr>
              <w:spacing w:after="0"/>
              <w:rPr>
                <w:sz w:val="12"/>
                <w:szCs w:val="12"/>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hedges</w:t>
            </w:r>
          </w:p>
        </w:tc>
        <w:tc>
          <w:tcPr>
            <w:tcW w:w="282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Long-term debt </w:t>
            </w:r>
            <w:r>
              <w:rPr>
                <w:rFonts w:ascii="Times New Roman" w:cs="Times New Roman" w:eastAsia="Times New Roman" w:hAnsi="Times New Roman"/>
                <w:sz w:val="21"/>
                <w:szCs w:val="21"/>
                <w:color w:val="auto"/>
                <w:vertAlign w:val="superscript"/>
              </w:rPr>
              <w:t>(1)</w:t>
            </w: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long term debt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20" w:firstLine="37"/>
        <w:spacing w:after="0" w:line="254" w:lineRule="auto"/>
        <w:tabs>
          <w:tab w:leader="none" w:pos="199"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premium amortization expense excluded from the assessment of hedge effectiveness of $354,000 and $348,000 for the nine months ended September 30, 2024 and 2023, respectively.</w:t>
      </w:r>
    </w:p>
    <w:p>
      <w:pPr>
        <w:spacing w:after="0" w:line="2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carrying amount of hedged items and cumulative fair value hedging basis adjustments for the periods presented. All fair value hedges of AFS debt securities and loans at September 30, 2024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8"/>
          <w:szCs w:val="18"/>
          <w:color w:val="auto"/>
        </w:rPr>
        <w:t xml:space="preserve"> December 31, 2023 were designated under the portfolio layer method.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52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Hedge Accounting</w:t>
            </w:r>
          </w:p>
        </w:tc>
        <w:tc>
          <w:tcPr>
            <w:tcW w:w="100" w:type="dxa"/>
            <w:vAlign w:val="bottom"/>
          </w:tcPr>
          <w:p>
            <w:pPr>
              <w:spacing w:after="0"/>
              <w:rPr>
                <w:sz w:val="13"/>
                <w:szCs w:val="13"/>
                <w:color w:val="auto"/>
              </w:rPr>
            </w:pPr>
          </w:p>
        </w:tc>
        <w:tc>
          <w:tcPr>
            <w:tcW w:w="132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Hedged Portfolio</w:t>
            </w:r>
          </w:p>
        </w:tc>
        <w:tc>
          <w:tcPr>
            <w:tcW w:w="120" w:type="dxa"/>
            <w:vAlign w:val="bottom"/>
          </w:tcPr>
          <w:p>
            <w:pPr>
              <w:spacing w:after="0"/>
              <w:rPr>
                <w:sz w:val="13"/>
                <w:szCs w:val="13"/>
                <w:color w:val="auto"/>
              </w:rPr>
            </w:pP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5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Hedge Accounting</w:t>
            </w:r>
          </w:p>
        </w:tc>
        <w:tc>
          <w:tcPr>
            <w:tcW w:w="120" w:type="dxa"/>
            <w:vAlign w:val="bottom"/>
          </w:tcPr>
          <w:p>
            <w:pPr>
              <w:spacing w:after="0"/>
              <w:rPr>
                <w:sz w:val="13"/>
                <w:szCs w:val="13"/>
                <w:color w:val="auto"/>
              </w:rPr>
            </w:pPr>
          </w:p>
        </w:tc>
        <w:tc>
          <w:tcPr>
            <w:tcW w:w="132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Hedged Portfolio</w:t>
            </w:r>
          </w:p>
        </w:tc>
        <w:tc>
          <w:tcPr>
            <w:tcW w:w="0" w:type="dxa"/>
            <w:vAlign w:val="bottom"/>
          </w:tcPr>
          <w:p>
            <w:pPr>
              <w:spacing w:after="0"/>
              <w:rPr>
                <w:sz w:val="1"/>
                <w:szCs w:val="1"/>
                <w:color w:val="auto"/>
              </w:rPr>
            </w:pPr>
          </w:p>
        </w:tc>
      </w:tr>
      <w:tr>
        <w:trPr>
          <w:trHeight w:val="214"/>
        </w:trPr>
        <w:tc>
          <w:tcPr>
            <w:tcW w:w="21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Basis Adjustment</w:t>
            </w: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Layer</w:t>
            </w:r>
          </w:p>
        </w:tc>
        <w:tc>
          <w:tcPr>
            <w:tcW w:w="1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Basis Adjustment</w:t>
            </w:r>
          </w:p>
        </w:tc>
        <w:tc>
          <w:tcPr>
            <w:tcW w:w="12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Layer</w:t>
            </w:r>
          </w:p>
        </w:tc>
        <w:tc>
          <w:tcPr>
            <w:tcW w:w="0" w:type="dxa"/>
            <w:vAlign w:val="bottom"/>
          </w:tcPr>
          <w:p>
            <w:pPr>
              <w:spacing w:after="0"/>
              <w:rPr>
                <w:sz w:val="1"/>
                <w:szCs w:val="1"/>
                <w:color w:val="auto"/>
              </w:rPr>
            </w:pPr>
          </w:p>
        </w:tc>
      </w:tr>
      <w:tr>
        <w:trPr>
          <w:trHeight w:val="211"/>
        </w:trPr>
        <w:tc>
          <w:tcPr>
            <w:tcW w:w="2000" w:type="dxa"/>
            <w:vAlign w:val="bottom"/>
            <w:tcBorders>
              <w:top w:val="single" w:sz="8" w:color="auto"/>
            </w:tcBorders>
            <w:shd w:val="clear" w:color="auto" w:fill="CCEEFF"/>
          </w:tcPr>
          <w:p>
            <w:pPr>
              <w:ind w:left="40"/>
              <w:spacing w:after="0" w:line="212" w:lineRule="exact"/>
              <w:rPr>
                <w:sz w:val="20"/>
                <w:szCs w:val="20"/>
                <w:color w:val="auto"/>
              </w:rPr>
            </w:pPr>
            <w:r>
              <w:rPr>
                <w:rFonts w:ascii="Times New Roman" w:cs="Times New Roman" w:eastAsia="Times New Roman" w:hAnsi="Times New Roman"/>
                <w:sz w:val="16"/>
                <w:szCs w:val="16"/>
                <w:color w:val="auto"/>
              </w:rPr>
              <w:t xml:space="preserve">Debt securities AFS </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1,010,045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830,955</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789,908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655,511</w:t>
            </w:r>
          </w:p>
        </w:tc>
        <w:tc>
          <w:tcPr>
            <w:tcW w:w="0" w:type="dxa"/>
            <w:vAlign w:val="bottom"/>
          </w:tcPr>
          <w:p>
            <w:pPr>
              <w:spacing w:after="0"/>
              <w:rPr>
                <w:sz w:val="1"/>
                <w:szCs w:val="1"/>
                <w:color w:val="auto"/>
              </w:rPr>
            </w:pPr>
          </w:p>
        </w:tc>
      </w:tr>
      <w:tr>
        <w:trPr>
          <w:trHeight w:val="162"/>
        </w:trPr>
        <w:tc>
          <w:tcPr>
            <w:tcW w:w="21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Loans and leases held for</w:t>
            </w: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4,799,235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1,017,379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r>
        <w:trPr>
          <w:trHeight w:val="21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w:t>
            </w: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Carrying amount for AFS debt securities reflects amortized cost, which excludes the hedge accounting basis adjustment.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Derivatives Not Designated as Hedging Instruments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market-linked swaps and the bifurcated embedded derivatives tend to move in opposite directions and therefore provide an economic hedge.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 loan sales commitments are freestanding derivative instruments. Fair value adjustments on these derivative instruments are recorded within mortgage loan gains and other related fee income in the consolidated statements of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gains and losses recognized in income on derivatives not designated as hedging instruments for the periods indicated.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gridSpan w:val="10"/>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 of Gain (Loss) Recognized in Income on Derivatives</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0" w:type="dxa"/>
            <w:vAlign w:val="bottom"/>
          </w:tcPr>
          <w:p>
            <w:pPr>
              <w:spacing w:after="0"/>
              <w:rPr>
                <w:sz w:val="1"/>
                <w:szCs w:val="1"/>
                <w:color w:val="auto"/>
              </w:rPr>
            </w:pPr>
          </w:p>
        </w:tc>
      </w:tr>
      <w:tr>
        <w:trPr>
          <w:trHeight w:val="214"/>
        </w:trPr>
        <w:tc>
          <w:tcPr>
            <w:tcW w:w="4000" w:type="dxa"/>
            <w:vAlign w:val="bottom"/>
          </w:tcPr>
          <w:p>
            <w:pPr>
              <w:spacing w:after="0"/>
              <w:rPr>
                <w:sz w:val="18"/>
                <w:szCs w:val="18"/>
                <w:color w:val="auto"/>
              </w:rPr>
            </w:pPr>
          </w:p>
        </w:tc>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Location of Gain (Loss) Recognized</w:t>
            </w:r>
          </w:p>
        </w:tc>
        <w:tc>
          <w:tcPr>
            <w:tcW w:w="180" w:type="dxa"/>
            <w:vAlign w:val="bottom"/>
          </w:tcPr>
          <w:p>
            <w:pPr>
              <w:spacing w:after="0"/>
              <w:rPr>
                <w:sz w:val="18"/>
                <w:szCs w:val="18"/>
                <w:color w:val="auto"/>
              </w:rPr>
            </w:pPr>
          </w:p>
        </w:tc>
        <w:tc>
          <w:tcPr>
            <w:tcW w:w="22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1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0" w:type="dxa"/>
            <w:vAlign w:val="bottom"/>
            <w:gridSpan w:val="2"/>
            <w:vMerge w:val="continue"/>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line="20" w:lineRule="exact"/>
              <w:rPr>
                <w:sz w:val="1"/>
                <w:szCs w:val="1"/>
                <w:color w:val="auto"/>
              </w:rPr>
            </w:pPr>
          </w:p>
        </w:tc>
      </w:tr>
      <w:tr>
        <w:trPr>
          <w:trHeight w:val="214"/>
        </w:trPr>
        <w:tc>
          <w:tcPr>
            <w:tcW w:w="4000" w:type="dxa"/>
            <w:vAlign w:val="bottom"/>
            <w:vMerge w:val="continue"/>
          </w:tcPr>
          <w:p>
            <w:pPr>
              <w:spacing w:after="0"/>
              <w:rPr>
                <w:sz w:val="18"/>
                <w:szCs w:val="18"/>
                <w:color w:val="auto"/>
              </w:rPr>
            </w:pPr>
          </w:p>
        </w:tc>
        <w:tc>
          <w:tcPr>
            <w:tcW w:w="260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in Income on Derivatives</w:t>
            </w: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derivatives and dealer offsets</w:t>
            </w:r>
          </w:p>
        </w:tc>
        <w:tc>
          <w:tcPr>
            <w:tcW w:w="2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noninterest income</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Bifurcated embedded derivatives and dealer offsets</w:t>
            </w: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noninterest income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0" w:type="dxa"/>
            <w:vAlign w:val="bottom"/>
          </w:tcPr>
          <w:p>
            <w:pPr>
              <w:spacing w:after="0"/>
              <w:rPr>
                <w:sz w:val="1"/>
                <w:szCs w:val="1"/>
                <w:color w:val="auto"/>
              </w:rPr>
            </w:pPr>
          </w:p>
        </w:tc>
      </w:tr>
      <w:tr>
        <w:trPr>
          <w:trHeight w:val="165"/>
        </w:trPr>
        <w:tc>
          <w:tcPr>
            <w:tcW w:w="40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banking derivatives</w:t>
            </w:r>
          </w:p>
        </w:tc>
        <w:tc>
          <w:tcPr>
            <w:tcW w:w="260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Mortgage loan gains and other related</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00" w:type="dxa"/>
            <w:vAlign w:val="bottom"/>
            <w:vMerge w:val="continue"/>
            <w:shd w:val="clear" w:color="auto" w:fill="CCEEFF"/>
          </w:tcPr>
          <w:p>
            <w:pPr>
              <w:spacing w:after="0"/>
              <w:rPr>
                <w:sz w:val="11"/>
                <w:szCs w:val="11"/>
                <w:color w:val="auto"/>
              </w:rPr>
            </w:pPr>
          </w:p>
        </w:tc>
        <w:tc>
          <w:tcPr>
            <w:tcW w:w="2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fees</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0" w:type="dxa"/>
            <w:vAlign w:val="bottom"/>
          </w:tcPr>
          <w:p>
            <w:pPr>
              <w:spacing w:after="0"/>
              <w:rPr>
                <w:sz w:val="1"/>
                <w:szCs w:val="1"/>
                <w:color w:val="auto"/>
              </w:rPr>
            </w:pPr>
          </w:p>
        </w:tc>
      </w:tr>
      <w:tr>
        <w:trPr>
          <w:trHeight w:val="87"/>
        </w:trPr>
        <w:tc>
          <w:tcPr>
            <w:tcW w:w="4000" w:type="dxa"/>
            <w:vAlign w:val="bottom"/>
            <w:shd w:val="clear" w:color="auto" w:fill="CCEEFF"/>
          </w:tcPr>
          <w:p>
            <w:pPr>
              <w:spacing w:after="0"/>
              <w:rPr>
                <w:sz w:val="7"/>
                <w:szCs w:val="7"/>
                <w:color w:val="auto"/>
              </w:rPr>
            </w:pPr>
          </w:p>
        </w:tc>
        <w:tc>
          <w:tcPr>
            <w:tcW w:w="26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2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noninterest income</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34"/>
        </w:trPr>
        <w:tc>
          <w:tcPr>
            <w:tcW w:w="400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Credit-Risk-Related Contingent Features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and other intangible assets as of the dates indicated is summarized below</w:t>
      </w:r>
      <w:r>
        <w:rPr>
          <w:rFonts w:ascii="Times New Roman" w:cs="Times New Roman" w:eastAsia="Times New Roman" w:hAnsi="Times New Roman"/>
          <w:sz w:val="18"/>
          <w:szCs w:val="18"/>
          <w:i w:val="1"/>
          <w:iCs w:val="1"/>
          <w:color w:val="auto"/>
        </w:rPr>
        <w: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ind w:left="17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18"/>
                <w:szCs w:val="18"/>
                <w:color w:val="auto"/>
              </w:rPr>
            </w:pP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5940" w:type="dxa"/>
            <w:vAlign w:val="bottom"/>
            <w:tcBorders>
              <w:top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Core deposit intangible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100,694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104,174</w:t>
            </w:r>
          </w:p>
        </w:tc>
        <w:tc>
          <w:tcPr>
            <w:tcW w:w="1760" w:type="dxa"/>
            <w:vAlign w:val="bottom"/>
            <w:tcBorders>
              <w:top w:val="single" w:sz="8" w:color="CCEEFF"/>
            </w:tcBorders>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(47,779)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(40,495)</w:t>
            </w:r>
          </w:p>
        </w:tc>
        <w:tc>
          <w:tcPr>
            <w:tcW w:w="1760" w:type="dxa"/>
            <w:vAlign w:val="bottom"/>
            <w:tcBorders>
              <w:bottom w:val="single" w:sz="8" w:color="CCEEFF"/>
            </w:tcBorders>
          </w:tcPr>
          <w:p>
            <w:pPr>
              <w:spacing w:after="0"/>
              <w:rPr>
                <w:sz w:val="18"/>
                <w:szCs w:val="18"/>
                <w:color w:val="auto"/>
              </w:rPr>
            </w:pPr>
          </w:p>
        </w:tc>
      </w:tr>
      <w:tr>
        <w:trPr>
          <w:trHeight w:val="212"/>
        </w:trPr>
        <w:tc>
          <w:tcPr>
            <w:tcW w:w="59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6"/>
                <w:szCs w:val="16"/>
                <w:color w:val="auto"/>
              </w:rPr>
              <w:t>Net core deposit intangible</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63,679</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Customer relationship intangible</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760" w:type="dxa"/>
            <w:vAlign w:val="bottom"/>
          </w:tcPr>
          <w:p>
            <w:pPr>
              <w:spacing w:after="0"/>
              <w:rPr>
                <w:sz w:val="18"/>
                <w:szCs w:val="18"/>
                <w:color w:val="auto"/>
              </w:rPr>
            </w:pPr>
          </w:p>
        </w:tc>
      </w:tr>
      <w:tr>
        <w:trPr>
          <w:trHeight w:val="219"/>
        </w:trPr>
        <w:tc>
          <w:tcPr>
            <w:tcW w:w="59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760" w:type="dxa"/>
            <w:vAlign w:val="bottom"/>
            <w:shd w:val="clear" w:color="auto" w:fill="CCEEFF"/>
          </w:tcPr>
          <w:p>
            <w:pPr>
              <w:spacing w:after="0"/>
              <w:rPr>
                <w:sz w:val="19"/>
                <w:szCs w:val="19"/>
                <w:color w:val="auto"/>
              </w:rPr>
            </w:pPr>
          </w:p>
        </w:tc>
      </w:tr>
      <w:tr>
        <w:trPr>
          <w:trHeight w:val="207"/>
        </w:trPr>
        <w:tc>
          <w:tcPr>
            <w:tcW w:w="5940" w:type="dxa"/>
            <w:vAlign w:val="bottom"/>
            <w:tcBorders>
              <w:bottom w:val="single" w:sz="8" w:color="CCEEFF"/>
            </w:tcBorders>
          </w:tcPr>
          <w:p>
            <w:pPr>
              <w:ind w:left="1960"/>
              <w:spacing w:after="0"/>
              <w:rPr>
                <w:sz w:val="20"/>
                <w:szCs w:val="20"/>
                <w:color w:val="auto"/>
              </w:rPr>
            </w:pPr>
            <w:r>
              <w:rPr>
                <w:rFonts w:ascii="Times New Roman" w:cs="Times New Roman" w:eastAsia="Times New Roman" w:hAnsi="Times New Roman"/>
                <w:sz w:val="16"/>
                <w:szCs w:val="16"/>
                <w:color w:val="auto"/>
              </w:rPr>
              <w:t>Net customer relationship intangible</w:t>
            </w: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6,494</w:t>
            </w:r>
          </w:p>
        </w:tc>
        <w:tc>
          <w:tcPr>
            <w:tcW w:w="1760" w:type="dxa"/>
            <w:vAlign w:val="bottom"/>
            <w:tcBorders>
              <w:bottom w:val="single" w:sz="8" w:color="CCEEFF"/>
            </w:tcBorders>
          </w:tcPr>
          <w:p>
            <w:pPr>
              <w:spacing w:after="0"/>
              <w:rPr>
                <w:sz w:val="17"/>
                <w:szCs w:val="17"/>
                <w:color w:val="auto"/>
              </w:rPr>
            </w:pPr>
          </w:p>
        </w:tc>
      </w:tr>
      <w:tr>
        <w:trPr>
          <w:trHeight w:val="212"/>
        </w:trPr>
        <w:tc>
          <w:tcPr>
            <w:tcW w:w="5940" w:type="dxa"/>
            <w:vAlign w:val="bottom"/>
            <w:shd w:val="clear" w:color="auto" w:fill="CCEEFF"/>
          </w:tcPr>
          <w:p>
            <w:pPr>
              <w:ind w:left="1760"/>
              <w:spacing w:after="0" w:line="213" w:lineRule="exact"/>
              <w:rPr>
                <w:sz w:val="20"/>
                <w:szCs w:val="20"/>
                <w:color w:val="auto"/>
              </w:rPr>
            </w:pPr>
            <w:r>
              <w:rPr>
                <w:rFonts w:ascii="Times New Roman" w:cs="Times New Roman" w:eastAsia="Times New Roman" w:hAnsi="Times New Roman"/>
                <w:sz w:val="16"/>
                <w:szCs w:val="16"/>
                <w:color w:val="auto"/>
              </w:rPr>
              <w:t xml:space="preserve">Total intangibles subject to amortization, net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70,173</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916,153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919,914</w:t>
            </w:r>
          </w:p>
        </w:tc>
        <w:tc>
          <w:tcPr>
            <w:tcW w:w="1760" w:type="dxa"/>
            <w:vAlign w:val="bottom"/>
            <w:tcBorders>
              <w:bottom w:val="single" w:sz="8" w:color="CCEEFF"/>
            </w:tcBorders>
          </w:tcPr>
          <w:p>
            <w:pPr>
              <w:spacing w:after="0"/>
              <w:rPr>
                <w:sz w:val="18"/>
                <w:szCs w:val="18"/>
                <w:color w:val="auto"/>
              </w:rPr>
            </w:pPr>
          </w:p>
        </w:tc>
      </w:tr>
      <w:tr>
        <w:trPr>
          <w:trHeight w:val="237"/>
        </w:trPr>
        <w:tc>
          <w:tcPr>
            <w:tcW w:w="594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Total goodwill and other intangible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990,087</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04"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intangible assets become fully amortized, they are excluded from balances presented.</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2024, FinTrust met the criteria to be classified as held for sale. In the second quarter of 2024, at the time of transfer to held for sale, the carrying amount of FinTrust’s net assets held for sale was compared to fair value, less cost to sell, which resulted in a $5.10 million write-down to the goodwill associated with FinTrust. The write-down is reflected in other noninterest expense for the nine months ended September 30, 2024 in the Consolidated Statements of Income. As of September 30, 2024, FinTrust had total assets of $16.0 million, including $9.06 million of goodwill and a $6.02 million customer relationship intangible included in the table above. When United closed on the sale of FinTrust on October 1, 2024, the related intangibles were disposed of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amounts of goodwill for the periods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60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48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11"/>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82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Balance, beginning of period </w:t>
            </w:r>
            <w:r>
              <w:rPr>
                <w:rFonts w:ascii="Times New Roman" w:cs="Times New Roman" w:eastAsia="Times New Roman" w:hAnsi="Times New Roman"/>
                <w:sz w:val="21"/>
                <w:szCs w:val="21"/>
                <w:color w:val="auto"/>
                <w:vertAlign w:val="superscript"/>
              </w:rPr>
              <w:t>(1)</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916,153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896,718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919,914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751,174</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9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168,740</w:t>
            </w:r>
          </w:p>
        </w:tc>
      </w:tr>
      <w:tr>
        <w:trPr>
          <w:trHeight w:val="219"/>
        </w:trPr>
        <w:tc>
          <w:tcPr>
            <w:tcW w:w="4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Measurement period adjustment - First Miami </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FinTrust goodwill write-down</w:t>
            </w:r>
          </w:p>
        </w:tc>
        <w:tc>
          <w:tcPr>
            <w:tcW w:w="9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820" w:type="dxa"/>
            <w:vAlign w:val="bottom"/>
            <w:tcBorders>
              <w:top w:val="single" w:sz="8" w:color="CCEEFF"/>
              <w:bottom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Balance, end of period </w:t>
            </w:r>
            <w:r>
              <w:rPr>
                <w:rFonts w:ascii="Times New Roman" w:cs="Times New Roman" w:eastAsia="Times New Roman" w:hAnsi="Times New Roman"/>
                <w:sz w:val="21"/>
                <w:szCs w:val="21"/>
                <w:color w:val="auto"/>
                <w:vertAlign w:val="superscript"/>
              </w:rPr>
              <w:t>(1)</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916,153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919,914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916,153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919,914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Goodwill balances are shown net of accumulated impairment losses of $306 million incurred prior to 2023.</w:t>
      </w:r>
    </w:p>
    <w:p>
      <w:pPr>
        <w:spacing w:after="0" w:line="70" w:lineRule="exact"/>
        <w:rPr>
          <w:rFonts w:ascii="Times New Roman" w:cs="Times New Roman" w:eastAsia="Times New Roman" w:hAnsi="Times New Roman"/>
          <w:sz w:val="19"/>
          <w:szCs w:val="19"/>
          <w:color w:val="auto"/>
          <w:vertAlign w:val="superscript"/>
        </w:rPr>
      </w:pPr>
    </w:p>
    <w:p>
      <w:pPr>
        <w:ind w:left="180" w:hanging="172"/>
        <w:spacing w:after="0" w:line="211" w:lineRule="auto"/>
        <w:tabs>
          <w:tab w:leader="none" w:pos="1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Note 4 for further details.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aggregate amortization expense for future periods for finite-lived intangibles, excluding the customer relationship intangible associated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FinTrust, is as follows:</w:t>
      </w:r>
    </w:p>
    <w:p>
      <w:pPr>
        <w:spacing w:after="0" w:line="3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3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3500" w:type="dxa"/>
            <w:vAlign w:val="bottom"/>
            <w:tcBorders>
              <w:top w:val="single" w:sz="8" w:color="CCEEFF"/>
            </w:tcBorders>
            <w:shd w:val="clear" w:color="auto" w:fill="CCEEFF"/>
          </w:tcPr>
          <w:p>
            <w:pPr>
              <w:spacing w:after="0"/>
              <w:rPr>
                <w:sz w:val="18"/>
                <w:szCs w:val="18"/>
                <w:color w:val="auto"/>
              </w:rPr>
            </w:pPr>
          </w:p>
        </w:tc>
      </w:tr>
      <w:tr>
        <w:trPr>
          <w:trHeight w:val="213"/>
        </w:trPr>
        <w:tc>
          <w:tcPr>
            <w:tcW w:w="6060" w:type="dxa"/>
            <w:vAlign w:val="bottom"/>
            <w:gridSpan w:val="2"/>
          </w:tcPr>
          <w:p>
            <w:pPr>
              <w:ind w:left="3500"/>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12,272</w:t>
            </w:r>
          </w:p>
        </w:tc>
        <w:tc>
          <w:tcPr>
            <w:tcW w:w="3500" w:type="dxa"/>
            <w:vAlign w:val="bottom"/>
          </w:tcPr>
          <w:p>
            <w:pPr>
              <w:spacing w:after="0"/>
              <w:rPr>
                <w:sz w:val="18"/>
                <w:szCs w:val="18"/>
                <w:color w:val="auto"/>
              </w:rPr>
            </w:pPr>
          </w:p>
        </w:tc>
      </w:tr>
      <w:tr>
        <w:trPr>
          <w:trHeight w:val="219"/>
        </w:trPr>
        <w:tc>
          <w:tcPr>
            <w:tcW w:w="6060" w:type="dxa"/>
            <w:vAlign w:val="bottom"/>
            <w:gridSpan w:val="2"/>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10,394</w:t>
            </w:r>
          </w:p>
        </w:tc>
        <w:tc>
          <w:tcPr>
            <w:tcW w:w="3500" w:type="dxa"/>
            <w:vAlign w:val="bottom"/>
            <w:shd w:val="clear" w:color="auto" w:fill="CCEEFF"/>
          </w:tcPr>
          <w:p>
            <w:pPr>
              <w:spacing w:after="0"/>
              <w:rPr>
                <w:sz w:val="19"/>
                <w:szCs w:val="19"/>
                <w:color w:val="auto"/>
              </w:rPr>
            </w:pPr>
          </w:p>
        </w:tc>
      </w:tr>
      <w:tr>
        <w:trPr>
          <w:trHeight w:val="213"/>
        </w:trPr>
        <w:tc>
          <w:tcPr>
            <w:tcW w:w="6060" w:type="dxa"/>
            <w:vAlign w:val="bottom"/>
            <w:gridSpan w:val="2"/>
          </w:tcPr>
          <w:p>
            <w:pPr>
              <w:ind w:left="3500"/>
              <w:spacing w:after="0"/>
              <w:rPr>
                <w:sz w:val="20"/>
                <w:szCs w:val="20"/>
                <w:color w:val="auto"/>
              </w:rPr>
            </w:pPr>
            <w:r>
              <w:rPr>
                <w:rFonts w:ascii="Times New Roman" w:cs="Times New Roman" w:eastAsia="Times New Roman" w:hAnsi="Times New Roman"/>
                <w:sz w:val="16"/>
                <w:szCs w:val="16"/>
                <w:color w:val="auto"/>
              </w:rPr>
              <w:t>2027</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8,516</w:t>
            </w:r>
          </w:p>
        </w:tc>
        <w:tc>
          <w:tcPr>
            <w:tcW w:w="3500" w:type="dxa"/>
            <w:vAlign w:val="bottom"/>
          </w:tcPr>
          <w:p>
            <w:pPr>
              <w:spacing w:after="0"/>
              <w:rPr>
                <w:sz w:val="18"/>
                <w:szCs w:val="18"/>
                <w:color w:val="auto"/>
              </w:rPr>
            </w:pPr>
          </w:p>
        </w:tc>
      </w:tr>
      <w:tr>
        <w:trPr>
          <w:trHeight w:val="219"/>
        </w:trPr>
        <w:tc>
          <w:tcPr>
            <w:tcW w:w="6060" w:type="dxa"/>
            <w:vAlign w:val="bottom"/>
            <w:gridSpan w:val="2"/>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2028</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6,734</w:t>
            </w:r>
          </w:p>
        </w:tc>
        <w:tc>
          <w:tcPr>
            <w:tcW w:w="3500" w:type="dxa"/>
            <w:vAlign w:val="bottom"/>
            <w:shd w:val="clear" w:color="auto" w:fill="CCEEFF"/>
          </w:tcPr>
          <w:p>
            <w:pPr>
              <w:spacing w:after="0"/>
              <w:rPr>
                <w:sz w:val="19"/>
                <w:szCs w:val="19"/>
                <w:color w:val="auto"/>
              </w:rPr>
            </w:pPr>
          </w:p>
        </w:tc>
      </w:tr>
      <w:tr>
        <w:trPr>
          <w:trHeight w:val="213"/>
        </w:trPr>
        <w:tc>
          <w:tcPr>
            <w:tcW w:w="348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11,637</w:t>
            </w:r>
          </w:p>
        </w:tc>
        <w:tc>
          <w:tcPr>
            <w:tcW w:w="3500" w:type="dxa"/>
            <w:vAlign w:val="bottom"/>
            <w:tcBorders>
              <w:bottom w:val="single" w:sz="8" w:color="CCEEFF"/>
            </w:tcBorders>
          </w:tcPr>
          <w:p>
            <w:pPr>
              <w:spacing w:after="0"/>
              <w:rPr>
                <w:sz w:val="18"/>
                <w:szCs w:val="18"/>
                <w:color w:val="auto"/>
              </w:rPr>
            </w:pP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52,940</w:t>
            </w:r>
          </w:p>
        </w:tc>
        <w:tc>
          <w:tcPr>
            <w:tcW w:w="3500" w:type="dxa"/>
            <w:vAlign w:val="bottom"/>
            <w:tcBorders>
              <w:bottom w:val="single" w:sz="8" w:color="CCEEFF"/>
            </w:tcBorders>
            <w:shd w:val="clear" w:color="auto" w:fill="CCEEFF"/>
          </w:tcPr>
          <w:p>
            <w:pPr>
              <w:spacing w:after="0"/>
              <w:rPr>
                <w:sz w:val="20"/>
                <w:szCs w:val="20"/>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Assets and Liabilities Measured at Fair Value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the asset or liability. As a basis for considering those assumptions, United uses a fair value hierarchy that distinguishes between assumptions based on market data obtained from sources independent of the reporting entity (observable inputs that are classified within Levels 1 and 2 of the hierarchy) and the reporting entity’s own assumptions (unobservable inputs classified within Level 3 of the hierarchy). United has processes in place to review the significant valuation inputs and to reassess how the instruments are classified in the valuation framework.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Hierarchy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upon quoted prices (unadjusted) in active markets for identical assets or liabilities that United has the ability to access.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upon quoted prices for similar assets and liabilities in active markets, as well as inputs that are observable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(other than quoted prices), such as interest rates, foreign exchange rates, and yield curves that are observable at commonly quoted intervals.</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which are typically based on an entity’s own assumptions, as there is little, if any, related market activity.</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and liabilities recorded at fair value.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AFS debt securities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MBS issued by GSEs, municipal bonds, corporate debt securities, asset-backed securities and supranational entity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 or models which incorporate unobservable inputs.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 Assets and Liabilities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Included in other assets in the consolidated balance sheet are assets purchased to provide returns mirroring those promised to participants in the employee deferred compensation plan. These assets are mutual funds classified as Level 1. Deferred compensation liabilities, also classified as Level 1, are carried at the fair value of the obligation to the participant, which mirrors the fair value of the invested assets and is included in other liabilities in the consolidated balance sheet. Deferred compensation plan liabilities are unsecured general obligations of United.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Loans Held for Sale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incorporates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when management’s assessment indicates that the CVA is a significant input, the related derivative is disclosed as a Level 3 value. In other cases, derivatives are categorized as Level 3 when there is not an observable forward-rate curve available for the duration of the contract.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Servicing Rights for Residential and SBA/USDA Loans</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United recognizes servicing rights upon the sale of residential and SBA/USDA loans sold with servicing retained. Management has elected to carry these assets at fair value. Given the nature of these assets, the key valuation inputs are unobservable and management classifies these assets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Recurring Basis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table below presents United’s assets and liabilities measured at fair value on a recurring basis as of the dates indicated, aggregated by the level in the fair value hierarchy within which those measurements fall.</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535,986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535,986</w:t>
            </w:r>
          </w:p>
        </w:tc>
        <w:tc>
          <w:tcPr>
            <w:tcW w:w="0" w:type="dxa"/>
            <w:vAlign w:val="bottom"/>
          </w:tcPr>
          <w:p>
            <w:pPr>
              <w:spacing w:after="0"/>
              <w:rPr>
                <w:sz w:val="1"/>
                <w:szCs w:val="1"/>
                <w:color w:val="auto"/>
              </w:rPr>
            </w:pP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351,807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351,807</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163,604</w:t>
            </w:r>
          </w:p>
        </w:tc>
        <w:tc>
          <w:tcPr>
            <w:tcW w:w="0" w:type="dxa"/>
            <w:vAlign w:val="bottom"/>
          </w:tcPr>
          <w:p>
            <w:pPr>
              <w:spacing w:after="0"/>
              <w:rPr>
                <w:sz w:val="1"/>
                <w:szCs w:val="1"/>
                <w:color w:val="auto"/>
              </w:rPr>
            </w:pP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1,731,364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1,731,364</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MBS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886,683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886,683</w:t>
            </w:r>
          </w:p>
        </w:tc>
        <w:tc>
          <w:tcPr>
            <w:tcW w:w="0" w:type="dxa"/>
            <w:vAlign w:val="bottom"/>
          </w:tcPr>
          <w:p>
            <w:pPr>
              <w:spacing w:after="0"/>
              <w:rPr>
                <w:sz w:val="1"/>
                <w:szCs w:val="1"/>
                <w:color w:val="auto"/>
              </w:rPr>
            </w:pP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193,294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195,520</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158,491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158,491</w:t>
            </w: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7,894</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 held for sale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49,800</w:t>
            </w: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14,459</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Servicing rights for SBA/USDA loans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w:t>
            </w: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35,378</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42,128</w:t>
            </w:r>
          </w:p>
        </w:tc>
        <w:tc>
          <w:tcPr>
            <w:tcW w:w="0" w:type="dxa"/>
            <w:vAlign w:val="bottom"/>
          </w:tcPr>
          <w:p>
            <w:pPr>
              <w:spacing w:after="0"/>
              <w:rPr>
                <w:sz w:val="1"/>
                <w:szCs w:val="1"/>
                <w:color w:val="auto"/>
              </w:rPr>
            </w:pPr>
          </w:p>
        </w:tc>
      </w:tr>
      <w:tr>
        <w:trPr>
          <w:trHeight w:val="20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556,239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3,569,116</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52,696</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4,178,051</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14,454</w:t>
            </w:r>
          </w:p>
        </w:tc>
        <w:tc>
          <w:tcPr>
            <w:tcW w:w="0" w:type="dxa"/>
            <w:vAlign w:val="bottom"/>
          </w:tcPr>
          <w:p>
            <w:pPr>
              <w:spacing w:after="0"/>
              <w:rPr>
                <w:sz w:val="1"/>
                <w:szCs w:val="1"/>
                <w:color w:val="auto"/>
              </w:rPr>
            </w:pPr>
          </w:p>
        </w:tc>
      </w:tr>
      <w:tr>
        <w:trPr>
          <w:trHeight w:val="19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54,037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64,594</w:t>
            </w: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79,048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50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5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387,349</w:t>
            </w:r>
          </w:p>
        </w:tc>
        <w:tc>
          <w:tcPr>
            <w:tcW w:w="0" w:type="dxa"/>
            <w:vAlign w:val="bottom"/>
          </w:tcPr>
          <w:p>
            <w:pPr>
              <w:spacing w:after="0"/>
              <w:rPr>
                <w:sz w:val="1"/>
                <w:szCs w:val="1"/>
                <w:color w:val="auto"/>
              </w:rPr>
            </w:pP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267,500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267,500</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164,049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164,049</w:t>
            </w:r>
          </w:p>
        </w:tc>
        <w:tc>
          <w:tcPr>
            <w:tcW w:w="0" w:type="dxa"/>
            <w:vAlign w:val="bottom"/>
          </w:tcPr>
          <w:p>
            <w:pPr>
              <w:spacing w:after="0"/>
              <w:rPr>
                <w:sz w:val="1"/>
                <w:szCs w:val="1"/>
                <w:color w:val="auto"/>
              </w:rPr>
            </w:pP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1,507,598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1,507,598</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MBS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641,654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641,654</w:t>
            </w:r>
          </w:p>
        </w:tc>
        <w:tc>
          <w:tcPr>
            <w:tcW w:w="0" w:type="dxa"/>
            <w:vAlign w:val="bottom"/>
          </w:tcPr>
          <w:p>
            <w:pPr>
              <w:spacing w:after="0"/>
              <w:rPr>
                <w:sz w:val="1"/>
                <w:szCs w:val="1"/>
                <w:color w:val="auto"/>
              </w:rPr>
            </w:pP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199,017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201,222</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161,712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161,712</w:t>
            </w: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7,395</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 held for sale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33,008</w:t>
            </w: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12,791</w:t>
            </w: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Servicing rights for SBA/USDA loans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w:t>
            </w:r>
          </w:p>
        </w:tc>
        <w:tc>
          <w:tcPr>
            <w:tcW w:w="0" w:type="dxa"/>
            <w:vAlign w:val="bottom"/>
          </w:tcPr>
          <w:p>
            <w:pPr>
              <w:spacing w:after="0"/>
              <w:rPr>
                <w:sz w:val="1"/>
                <w:szCs w:val="1"/>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35,897</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50,352</w:t>
            </w:r>
          </w:p>
        </w:tc>
        <w:tc>
          <w:tcPr>
            <w:tcW w:w="0" w:type="dxa"/>
            <w:vAlign w:val="bottom"/>
          </w:tcPr>
          <w:p>
            <w:pPr>
              <w:spacing w:after="0"/>
              <w:rPr>
                <w:sz w:val="1"/>
                <w:szCs w:val="1"/>
                <w:color w:val="auto"/>
              </w:rPr>
            </w:pPr>
          </w:p>
        </w:tc>
      </w:tr>
      <w:tr>
        <w:trPr>
          <w:trHeight w:val="20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405,907</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3,015,876</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54,188</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3,475,971</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12,838</w:t>
            </w:r>
          </w:p>
        </w:tc>
        <w:tc>
          <w:tcPr>
            <w:tcW w:w="0" w:type="dxa"/>
            <w:vAlign w:val="bottom"/>
          </w:tcPr>
          <w:p>
            <w:pPr>
              <w:spacing w:after="0"/>
              <w:rPr>
                <w:sz w:val="1"/>
                <w:szCs w:val="1"/>
                <w:color w:val="auto"/>
              </w:rPr>
            </w:pPr>
          </w:p>
        </w:tc>
      </w:tr>
      <w:tr>
        <w:trPr>
          <w:trHeight w:val="19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73,639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84,811</w:t>
            </w: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97,649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beginning and ending balances for the periods indicated for assets measured at fair value on a recurring basis using significant unobservable inputs that are classified as Level 3 values.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SBA/USDA</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SBA/USDA</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loan</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loan</w:t>
            </w: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3"/>
                <w:szCs w:val="13"/>
                <w:color w:val="auto"/>
              </w:rPr>
            </w:pPr>
          </w:p>
        </w:tc>
        <w:tc>
          <w:tcPr>
            <w:tcW w:w="8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3"/>
                <w:szCs w:val="13"/>
                <w:color w:val="auto"/>
              </w:rPr>
            </w:pPr>
          </w:p>
        </w:tc>
        <w:tc>
          <w:tcPr>
            <w:tcW w:w="8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servicing</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servicing</w:t>
            </w:r>
          </w:p>
        </w:tc>
        <w:tc>
          <w:tcPr>
            <w:tcW w:w="100" w:type="dxa"/>
            <w:vAlign w:val="bottom"/>
          </w:tcPr>
          <w:p>
            <w:pPr>
              <w:spacing w:after="0"/>
              <w:rPr>
                <w:sz w:val="13"/>
                <w:szCs w:val="13"/>
                <w:color w:val="auto"/>
              </w:rPr>
            </w:pPr>
          </w:p>
        </w:tc>
        <w:tc>
          <w:tcPr>
            <w:tcW w:w="8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3"/>
                <w:szCs w:val="13"/>
                <w:color w:val="auto"/>
              </w:rPr>
            </w:pPr>
          </w:p>
        </w:tc>
        <w:tc>
          <w:tcPr>
            <w:tcW w:w="8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3"/>
                <w:szCs w:val="13"/>
                <w:color w:val="auto"/>
              </w:rPr>
            </w:pPr>
          </w:p>
        </w:tc>
        <w:tc>
          <w:tcPr>
            <w:tcW w:w="8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3"/>
                <w:szCs w:val="13"/>
                <w:color w:val="auto"/>
              </w:rPr>
            </w:pPr>
          </w:p>
        </w:tc>
        <w:tc>
          <w:tcPr>
            <w:tcW w:w="8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servicing</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servicing</w:t>
            </w:r>
          </w:p>
        </w:tc>
        <w:tc>
          <w:tcPr>
            <w:tcW w:w="100" w:type="dxa"/>
            <w:vAlign w:val="bottom"/>
          </w:tcPr>
          <w:p>
            <w:pPr>
              <w:spacing w:after="0"/>
              <w:rPr>
                <w:sz w:val="13"/>
                <w:szCs w:val="13"/>
                <w:color w:val="auto"/>
              </w:rPr>
            </w:pPr>
          </w:p>
        </w:tc>
        <w:tc>
          <w:tcPr>
            <w:tcW w:w="76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96"/>
        </w:trPr>
        <w:tc>
          <w:tcPr>
            <w:tcW w:w="1660" w:type="dxa"/>
            <w:vAlign w:val="bottom"/>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Bonds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Bonds</w:t>
            </w:r>
          </w:p>
        </w:tc>
        <w:tc>
          <w:tcPr>
            <w:tcW w:w="0" w:type="dxa"/>
            <w:vAlign w:val="bottom"/>
          </w:tcPr>
          <w:p>
            <w:pPr>
              <w:spacing w:after="0"/>
              <w:rPr>
                <w:sz w:val="1"/>
                <w:szCs w:val="1"/>
                <w:color w:val="auto"/>
              </w:rPr>
            </w:pPr>
          </w:p>
        </w:tc>
      </w:tr>
      <w:tr>
        <w:trPr>
          <w:trHeight w:val="196"/>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0" w:type="dxa"/>
            <w:vAlign w:val="bottom"/>
          </w:tcPr>
          <w:p>
            <w:pPr>
              <w:spacing w:after="0"/>
              <w:rPr>
                <w:sz w:val="1"/>
                <w:szCs w:val="1"/>
                <w:color w:val="auto"/>
              </w:rPr>
            </w:pPr>
          </w:p>
        </w:tc>
      </w:tr>
      <w:tr>
        <w:trPr>
          <w:trHeight w:val="195"/>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w:t>
            </w:r>
          </w:p>
        </w:tc>
        <w:tc>
          <w:tcPr>
            <w:tcW w:w="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and settlements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6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Fair value adjustments</w:t>
            </w:r>
          </w:p>
        </w:tc>
        <w:tc>
          <w:tcPr>
            <w:tcW w:w="8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5"/>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included in OCI</w:t>
            </w: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Fair value adjustments</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included in earnings</w:t>
            </w: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10,155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35,378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38,234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Beginning balance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0" w:type="dxa"/>
            <w:vAlign w:val="bottom"/>
          </w:tcPr>
          <w:p>
            <w:pPr>
              <w:spacing w:after="0"/>
              <w:rPr>
                <w:sz w:val="1"/>
                <w:szCs w:val="1"/>
                <w:color w:val="auto"/>
              </w:rPr>
            </w:pPr>
          </w:p>
        </w:tc>
      </w:tr>
      <w:tr>
        <w:trPr>
          <w:trHeight w:val="195"/>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Business combinations</w:t>
            </w: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Transfers from Level 2</w:t>
            </w:r>
          </w:p>
        </w:tc>
        <w:tc>
          <w:tcPr>
            <w:tcW w:w="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and settlements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6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Fair value adjustments</w:t>
            </w:r>
          </w:p>
        </w:tc>
        <w:tc>
          <w:tcPr>
            <w:tcW w:w="8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5"/>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included in OCI</w:t>
            </w: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Fair value adjustments</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included in earnings</w:t>
            </w: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10,155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35,378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38,234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significant Level 3 inputs for fair value on a recurring basis as of the dates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 Assets and Liabilities</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2740" w:type="dxa"/>
            <w:vAlign w:val="bottom"/>
            <w:gridSpan w:val="4"/>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40" w:type="dxa"/>
            <w:vAlign w:val="bottom"/>
            <w:gridSpan w:val="3"/>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4"/>
        </w:trPr>
        <w:tc>
          <w:tcPr>
            <w:tcW w:w="2420" w:type="dxa"/>
            <w:vAlign w:val="bottom"/>
            <w:gridSpan w:val="2"/>
            <w:vMerge w:val="continue"/>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212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740" w:type="dxa"/>
            <w:vAlign w:val="bottom"/>
            <w:gridSpan w:val="4"/>
            <w:vMerge w:val="continue"/>
          </w:tcPr>
          <w:p>
            <w:pPr>
              <w:spacing w:after="0"/>
              <w:rPr>
                <w:sz w:val="18"/>
                <w:szCs w:val="18"/>
                <w:color w:val="auto"/>
              </w:rPr>
            </w:pPr>
          </w:p>
        </w:tc>
        <w:tc>
          <w:tcPr>
            <w:tcW w:w="26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1520" w:type="dxa"/>
            <w:vAlign w:val="bottom"/>
            <w:tcBorders>
              <w:top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2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20" w:type="dxa"/>
            <w:vAlign w:val="bottom"/>
            <w:gridSpan w:val="2"/>
            <w:vMerge w:val="continue"/>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44"/>
        </w:trPr>
        <w:tc>
          <w:tcPr>
            <w:tcW w:w="24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SBA/USDA loan servicing rights</w:t>
            </w:r>
          </w:p>
        </w:tc>
        <w:tc>
          <w:tcPr>
            <w:tcW w:w="1320" w:type="dxa"/>
            <w:vAlign w:val="bottom"/>
            <w:tcBorders>
              <w:top w:val="single" w:sz="8" w:color="CCEEFF"/>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- 23.5%</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- 25.0%</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129"/>
        </w:trPr>
        <w:tc>
          <w:tcPr>
            <w:tcW w:w="2420" w:type="dxa"/>
            <w:vAlign w:val="bottom"/>
            <w:gridSpan w:val="2"/>
            <w:vMerge w:val="continue"/>
            <w:shd w:val="clear" w:color="auto" w:fill="CCEEFF"/>
          </w:tcPr>
          <w:p>
            <w:pPr>
              <w:spacing w:after="0"/>
              <w:rPr>
                <w:sz w:val="11"/>
                <w:szCs w:val="11"/>
                <w:color w:val="auto"/>
              </w:rPr>
            </w:pP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12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0.1 - 39.8</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3.5 - 37.4</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Residential mortgage servicing</w:t>
            </w:r>
          </w:p>
        </w:tc>
        <w:tc>
          <w:tcPr>
            <w:tcW w:w="13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10.0 - 12.5</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10.0 - 15.0</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29"/>
        </w:trPr>
        <w:tc>
          <w:tcPr>
            <w:tcW w:w="2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rights</w:t>
            </w: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12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20" w:type="dxa"/>
            <w:vAlign w:val="bottom"/>
            <w:gridSpan w:val="2"/>
            <w:vMerge w:val="continue"/>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6.5 - 77.7</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6.5 - 29.9</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65"/>
        </w:trPr>
        <w:tc>
          <w:tcPr>
            <w:tcW w:w="2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3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5.7 - 6.4</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6.1 - 6.7</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29"/>
        </w:trPr>
        <w:tc>
          <w:tcPr>
            <w:tcW w:w="2420" w:type="dxa"/>
            <w:vAlign w:val="bottom"/>
            <w:gridSpan w:val="2"/>
            <w:vMerge w:val="continue"/>
            <w:shd w:val="clear" w:color="auto" w:fill="CCEEFF"/>
          </w:tcPr>
          <w:p>
            <w:pPr>
              <w:spacing w:after="0"/>
              <w:rPr>
                <w:sz w:val="11"/>
                <w:szCs w:val="11"/>
                <w:color w:val="auto"/>
              </w:rPr>
            </w:pP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120" w:type="dxa"/>
            <w:vAlign w:val="bottom"/>
            <w:gridSpan w:val="2"/>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 mortgage</w:t>
            </w: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Internal model</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Pull through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73.0 - 100</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91.1</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60.0 - 100</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90.5</w:t>
            </w: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Derivative assets and liabilities -</w:t>
            </w: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Dealer priced</w:t>
            </w: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Dealer priced</w:t>
            </w:r>
          </w:p>
        </w:tc>
        <w:tc>
          <w:tcPr>
            <w:tcW w:w="150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gridSpan w:val="2"/>
            <w:vMerge w:val="restart"/>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29"/>
        </w:trPr>
        <w:tc>
          <w:tcPr>
            <w:tcW w:w="2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gridSpan w:val="2"/>
            <w:vMerge w:val="continue"/>
            <w:shd w:val="clear" w:color="auto" w:fill="CCEEFF"/>
          </w:tcPr>
          <w:p>
            <w:pPr>
              <w:spacing w:after="0"/>
              <w:rPr>
                <w:sz w:val="11"/>
                <w:szCs w:val="11"/>
                <w:color w:val="auto"/>
              </w:rPr>
            </w:pPr>
          </w:p>
        </w:tc>
        <w:tc>
          <w:tcPr>
            <w:tcW w:w="2120" w:type="dxa"/>
            <w:vAlign w:val="bottom"/>
            <w:gridSpan w:val="2"/>
            <w:vMerge w:val="continue"/>
            <w:shd w:val="clear" w:color="auto" w:fill="CCEEFF"/>
          </w:tcPr>
          <w:p>
            <w:pPr>
              <w:spacing w:after="0"/>
              <w:rPr>
                <w:sz w:val="11"/>
                <w:szCs w:val="11"/>
                <w:color w:val="auto"/>
              </w:rPr>
            </w:pPr>
          </w:p>
        </w:tc>
        <w:tc>
          <w:tcPr>
            <w:tcW w:w="1500" w:type="dxa"/>
            <w:vAlign w:val="bottom"/>
            <w:gridSpan w:val="2"/>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520" w:type="dxa"/>
            <w:vAlign w:val="bottom"/>
            <w:gridSpan w:val="2"/>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20" w:type="dxa"/>
            <w:vAlign w:val="bottom"/>
            <w:gridSpan w:val="2"/>
            <w:vMerge w:val="continue"/>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Option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generally records mortgage loans held for sale at fair value under the fair value option. Interest income on these loans is calculated based on the note rate of the loan and is recorded in interest revenue. The following tables present the fair value and outstanding principal balance of loans accounted for under the fair value option, as well as the gain or loss recognized from the change in fair value for the periods indicated.</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Mortgage Loans Held for Sale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700" w:type="dxa"/>
            <w:vAlign w:val="bottom"/>
          </w:tcPr>
          <w:p>
            <w:pPr>
              <w:spacing w:after="0"/>
              <w:rPr>
                <w:sz w:val="18"/>
                <w:szCs w:val="18"/>
                <w:color w:val="auto"/>
              </w:rPr>
            </w:pPr>
          </w:p>
        </w:tc>
        <w:tc>
          <w:tcPr>
            <w:tcW w:w="3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720" w:type="dxa"/>
            <w:vAlign w:val="bottom"/>
          </w:tcPr>
          <w:p>
            <w:pPr>
              <w:spacing w:after="0"/>
              <w:rPr>
                <w:sz w:val="18"/>
                <w:szCs w:val="18"/>
                <w:color w:val="auto"/>
              </w:rPr>
            </w:pPr>
          </w:p>
        </w:tc>
      </w:tr>
      <w:tr>
        <w:trPr>
          <w:trHeight w:val="211"/>
        </w:trPr>
        <w:tc>
          <w:tcPr>
            <w:tcW w:w="170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 balance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31,788</w:t>
            </w:r>
          </w:p>
        </w:tc>
        <w:tc>
          <w:tcPr>
            <w:tcW w:w="1720" w:type="dxa"/>
            <w:vAlign w:val="bottom"/>
            <w:tcBorders>
              <w:top w:val="single" w:sz="8" w:color="CCEEFF"/>
            </w:tcBorders>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33,008</w:t>
            </w:r>
          </w:p>
        </w:tc>
        <w:tc>
          <w:tcPr>
            <w:tcW w:w="17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Gain (Loss) from Change in Fair Value on Mortgage Loans Held for Sale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3820" w:type="dxa"/>
            <w:vAlign w:val="bottom"/>
            <w:tcBorders>
              <w:top w:val="single" w:sz="8" w:color="auto"/>
            </w:tcBorders>
            <w:vMerge w:val="restart"/>
          </w:tcPr>
          <w:p>
            <w:pPr>
              <w:ind w:left="16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4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gridSpan w:val="5"/>
          </w:tcPr>
          <w:p>
            <w:pPr>
              <w:jc w:val="center"/>
              <w:ind w:right="360"/>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gridSpan w:val="4"/>
          </w:tcPr>
          <w:p>
            <w:pPr>
              <w:jc w:val="center"/>
              <w:ind w:right="239"/>
              <w:spacing w:after="0" w:line="161"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8"/>
                <w:szCs w:val="18"/>
                <w:color w:val="auto"/>
              </w:rPr>
            </w:pPr>
          </w:p>
        </w:tc>
        <w:tc>
          <w:tcPr>
            <w:tcW w:w="1680" w:type="dxa"/>
            <w:vAlign w:val="bottom"/>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20" w:type="dxa"/>
            <w:vAlign w:val="bottom"/>
            <w:tcBorders>
              <w:bottom w:val="single" w:sz="8" w:color="CCEEFF"/>
            </w:tcBorders>
          </w:tcPr>
          <w:p>
            <w:pPr>
              <w:spacing w:after="0"/>
              <w:rPr>
                <w:sz w:val="18"/>
                <w:szCs w:val="18"/>
                <w:color w:val="auto"/>
              </w:rPr>
            </w:pPr>
          </w:p>
        </w:tc>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20" w:type="dxa"/>
            <w:vAlign w:val="bottom"/>
            <w:shd w:val="clear" w:color="auto" w:fill="CCEEFF"/>
          </w:tcPr>
          <w:p>
            <w:pPr>
              <w:spacing w:after="0"/>
              <w:rPr>
                <w:sz w:val="18"/>
                <w:szCs w:val="18"/>
                <w:color w:val="auto"/>
              </w:rPr>
            </w:pPr>
          </w:p>
        </w:tc>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Mortgage loan gains and other related fees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fair value were mostly offset by hedging activities. An immaterial portion of these amounts was attributable to changes in instrument-specific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Nonrecurring Basis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September 30, 2024 and December 31, 2023, for which a nonrecurring fair value adjustment was recorded during the year-to-date periods presented.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1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34,468</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34,468</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FinTrust net assets held for sale</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15,586</w:t>
            </w:r>
          </w:p>
        </w:tc>
        <w:tc>
          <w:tcPr>
            <w:tcW w:w="1720" w:type="dxa"/>
            <w:vAlign w:val="bottom"/>
            <w:shd w:val="clear" w:color="auto" w:fill="CCEEFF"/>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04"/>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36,984</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36,984</w:t>
            </w:r>
          </w:p>
        </w:tc>
        <w:tc>
          <w:tcPr>
            <w:tcW w:w="1720" w:type="dxa"/>
            <w:vAlign w:val="bottom"/>
          </w:tcPr>
          <w:p>
            <w:pPr>
              <w:spacing w:after="0"/>
              <w:rPr>
                <w:sz w:val="17"/>
                <w:szCs w:val="17"/>
                <w:color w:val="auto"/>
              </w:rPr>
            </w:pPr>
          </w:p>
        </w:tc>
      </w:tr>
    </w:tbl>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held for investment that are reported above as being measured at fair value on a nonrecurring basis are generally impaired loans that have either been partially charged off or have specific reserves assigned to them. Nonaccrual loans that are collateral dependent are generally written down to net realizable value, which reflects fair value less the estimated costs to sell. Specific reserves that are established based on appraised value of collateral are considered nonrecurring fair value adjustments as well.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2024, the net assets of FinTrust were transferred to held for sale and therefore were carried at fair value, less cost to sell as of September 30, 2024. The fair value, less cost to sell was based on a probability-weighted discounted cash flow valuation of the consideration included in a sales contract executed in June 2024, which resulted in a $5.10 million write-down to the goodwill associated with FinTrust recorded during the second quarter of 2024. The valuation of the disposal group is categorized as Level 3 as significant unobservable inputs, most notably the probability assessment of realizing revenue-related contingent consideration, were used in the determination of fair value. The sale of FinTrust was completed subsequent to the end of the third quarter on October 1,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Not Measured at Fair Value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Off-balance sheet instruments (commitments to extend credit and standby letters of credit) for which draws can be reasonably predicted are generally short-term in maturity and are priced at variable rates. Therefore, the estimated fair values associated with these instruments are immaterial.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and fair values as of the dates indicated for other financial instruments that are not measured at fair value on a recurring basis are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Fair Value Level</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3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2,401,877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2,060,729</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17,758,809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17,264,089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17,264,089</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23,253,102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23,246,658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23,246,658</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316,363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305,683</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4"/>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r>
      <w:tr>
        <w:trPr>
          <w:trHeight w:val="21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2,490,848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2,077,670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2,095,620</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18,110,684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17,585,073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17,585,073</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23,310,611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23,305,223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23,305,223</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has an equity compensation plan that allows for grants of various share-based compensation. The general terms of the plan include a vesting period (usually four years) with an exercise period not to exceed ten years. Certain options and restricted stock unit awards provide for accelerated vesting if there is a change in control (as defined in the plan document). As of September 30, 2024, the plan covered 1.81 million shares that could be issued pursuant to additional awards granted under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restricted stock unit and option activity for the nine months ended September 30,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60" w:type="dxa"/>
            <w:vAlign w:val="bottom"/>
          </w:tcPr>
          <w:p>
            <w:pPr>
              <w:spacing w:after="0"/>
              <w:rPr>
                <w:sz w:val="18"/>
                <w:szCs w:val="18"/>
                <w:color w:val="auto"/>
              </w:rPr>
            </w:pPr>
          </w:p>
        </w:tc>
        <w:tc>
          <w:tcPr>
            <w:tcW w:w="3940" w:type="dxa"/>
            <w:vAlign w:val="bottom"/>
            <w:gridSpan w:val="8"/>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Restricted Stock Unit Awards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96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center"/>
              <w:ind w:right="46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Average Exercise</w:t>
            </w: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0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19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 ($000)</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Value ($000)</w:t>
            </w: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Outstanding at December</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929,367</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406,737</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31, 2023</w:t>
            </w:r>
          </w:p>
        </w:tc>
        <w:tc>
          <w:tcPr>
            <w:tcW w:w="110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Released / 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13"/>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Cancelled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9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Outstanding at September</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1,157,907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33,672</w:t>
            </w: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318,374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30, 2024</w:t>
            </w: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Vested / Exercisable at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318,374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2024</w:t>
            </w: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compensation expense relating to options was included in earnings for the nine months ended September 30, 2024 and 2023.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for restricted stock units and performance stock units without market conditions is based on the market value of United’s common stock on the date of grant. Compensation expense for performance stock units with market conditions is based on the grant date per share fair value, which was estimated using the Monte Carlo Simulation valuation model. United recognizes the impact of forfeitures as they occur. The value of restricted stock unit and performance stock unit awards is amortized into expense over the service period.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and 2023, expense of $7.18 million and $6.54 million, respectively, was recognized related to restricted stock unit and performance stock unit awards granted to United employees, which was included in salaries and employee benefits expense. In addition, for the nine months ended September 30, 2024 and 2023, $546,000 and $555,000, respectively, was recognized in other expense for restricted stock unit awards granted to members of United’s Board.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deferred income tax benefit related to stock-based compensation expense of $1.95 million and $1.81 million was included in the determination of income tax expense for the nine months ended September 30, 2024 and 2023, respectively. As of September 30, 2024, there was $26.5 million of unrecognized expense related to non-vested restricted stock unit and performance stock unit awards granted under the plan. That cost is expected to be recognized over a weighted-average period of 2.7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Reclassifications Out of AOCI</w:t>
      </w:r>
    </w:p>
    <w:p>
      <w:pPr>
        <w:spacing w:after="0" w:line="2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details regarding amounts reclassified out of AOCI for the periods indicated. Amounts shown in parentheses reduce earnings.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168"/>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4"/>
                <w:szCs w:val="14"/>
                <w:color w:val="auto"/>
              </w:rPr>
            </w:pPr>
          </w:p>
        </w:tc>
        <w:tc>
          <w:tcPr>
            <w:tcW w:w="1800" w:type="dxa"/>
            <w:vAlign w:val="bottom"/>
            <w:gridSpan w:val="4"/>
          </w:tcPr>
          <w:p>
            <w:pPr>
              <w:jc w:val="right"/>
              <w:ind w:right="239"/>
              <w:spacing w:after="0" w:line="16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3260" w:type="dxa"/>
            <w:vAlign w:val="bottom"/>
          </w:tcPr>
          <w:p>
            <w:pPr>
              <w:spacing w:after="0"/>
              <w:rPr>
                <w:sz w:val="14"/>
                <w:szCs w:val="14"/>
                <w:color w:val="auto"/>
              </w:rPr>
            </w:pPr>
          </w:p>
        </w:tc>
      </w:tr>
      <w:tr>
        <w:trPr>
          <w:trHeight w:val="216"/>
        </w:trPr>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80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08"/>
        </w:trPr>
        <w:tc>
          <w:tcPr>
            <w:tcW w:w="38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Details about AOCI Components</w:t>
            </w: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21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losses on AFS securities: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r>
      <w:tr>
        <w:trPr>
          <w:trHeight w:val="213"/>
        </w:trPr>
        <w:tc>
          <w:tcPr>
            <w:tcW w:w="3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Securities losses, net</w:t>
            </w:r>
          </w:p>
        </w:tc>
      </w:tr>
      <w:tr>
        <w:trPr>
          <w:trHeight w:val="219"/>
        </w:trPr>
        <w:tc>
          <w:tcPr>
            <w:tcW w:w="3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09"/>
        </w:trPr>
        <w:tc>
          <w:tcPr>
            <w:tcW w:w="38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r>
      <w:tr>
        <w:trPr>
          <w:trHeight w:val="213"/>
        </w:trPr>
        <w:tc>
          <w:tcPr>
            <w:tcW w:w="51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losses on HTM securities transferred from AFS: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9"/>
        </w:trPr>
        <w:tc>
          <w:tcPr>
            <w:tcW w:w="38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(7,964)</w:t>
            </w:r>
          </w:p>
        </w:tc>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securities interest revenue</w:t>
            </w:r>
          </w:p>
        </w:tc>
      </w:tr>
      <w:tr>
        <w:trPr>
          <w:trHeight w:val="213"/>
        </w:trPr>
        <w:tc>
          <w:tcPr>
            <w:tcW w:w="3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3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37"/>
        </w:trPr>
        <w:tc>
          <w:tcPr>
            <w:tcW w:w="38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(6,047)</w:t>
            </w:r>
          </w:p>
        </w:tc>
        <w:tc>
          <w:tcPr>
            <w:tcW w:w="3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820" w:type="dxa"/>
            <w:vAlign w:val="bottom"/>
            <w:tcBorders>
              <w:top w:val="single" w:sz="8" w:color="CCEEFF"/>
            </w:tcBorders>
            <w:gridSpan w:val="3"/>
          </w:tcPr>
          <w:p>
            <w:pPr>
              <w:spacing w:after="0" w:line="20" w:lineRule="exact"/>
              <w:rPr>
                <w:sz w:val="1"/>
                <w:szCs w:val="1"/>
                <w:color w:val="auto"/>
              </w:rPr>
            </w:pPr>
          </w:p>
        </w:tc>
        <w:tc>
          <w:tcPr>
            <w:tcW w:w="10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260" w:type="dxa"/>
            <w:vAlign w:val="bottom"/>
          </w:tcPr>
          <w:p>
            <w:pPr>
              <w:spacing w:after="0"/>
              <w:rPr>
                <w:sz w:val="14"/>
                <w:szCs w:val="14"/>
                <w:color w:val="auto"/>
              </w:rPr>
            </w:pPr>
          </w:p>
        </w:tc>
      </w:tr>
      <w:tr>
        <w:trPr>
          <w:trHeight w:val="216"/>
        </w:trPr>
        <w:tc>
          <w:tcPr>
            <w:tcW w:w="59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Reclassifications related to derivative instruments accounted for as cash flow hedges: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r>
      <w:tr>
        <w:trPr>
          <w:trHeight w:val="213"/>
        </w:trPr>
        <w:tc>
          <w:tcPr>
            <w:tcW w:w="3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rate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interest expense</w:t>
            </w:r>
          </w:p>
        </w:tc>
      </w:tr>
      <w:tr>
        <w:trPr>
          <w:trHeight w:val="216"/>
        </w:trPr>
        <w:tc>
          <w:tcPr>
            <w:tcW w:w="3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12"/>
        </w:trPr>
        <w:tc>
          <w:tcPr>
            <w:tcW w:w="38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r>
      <w:tr>
        <w:trPr>
          <w:trHeight w:val="213"/>
        </w:trPr>
        <w:tc>
          <w:tcPr>
            <w:tcW w:w="598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Prior 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Salaries and employee benefits expense</w:t>
            </w:r>
          </w:p>
        </w:tc>
      </w:tr>
      <w:tr>
        <w:trPr>
          <w:trHeight w:val="213"/>
        </w:trPr>
        <w:tc>
          <w:tcPr>
            <w:tcW w:w="3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37"/>
        </w:trPr>
        <w:tc>
          <w:tcPr>
            <w:tcW w:w="38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3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241"/>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(5,891)</w:t>
            </w:r>
          </w:p>
        </w:tc>
        <w:tc>
          <w:tcPr>
            <w:tcW w:w="3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4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11"/>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173,454</w:t>
            </w: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w:t>
            </w: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on preferred shares repurchased</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21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Earnings allocated to participating securities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w:t>
            </w:r>
          </w:p>
        </w:tc>
      </w:tr>
      <w:tr>
        <w:trPr>
          <w:trHeight w:val="237"/>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170,886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168,245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119,736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116,925</w:t>
            </w:r>
          </w:p>
        </w:tc>
      </w:tr>
      <w:tr>
        <w:trPr>
          <w:trHeight w:val="219"/>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stock units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119,952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119,827</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117,084</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
        </w:trPr>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no potentially dilutive shares of common stock issuable upon exercise of stock options were excluded from the computation of earnings per share because of their antidilutive effect. For the three months ended September 30, 2023, United excluded from the computation of earnings per share 1,968 potentially dilutive shares of common stock issuable upon exercise of stock options because of their antidilutive effect.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Regulatory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United and the Bank were categorized as well-capitalized under the regulatory requirements in effect at that time. To be categorized as well-capitalized, United and the Bank must have exceeded the well-capitalized guideline ratios in effect at the time, as set forth in the table below, and have met certain other requirements. Management believes that United and the Bank exceeded all well-capitalized requirements at September 30, 2024, and there have been no conditions or events since quarter-end that would change the status of well-capitalized.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Regulatory capital ratios at September 30, 2024 and December 31, 2023, along with the minimum amounts required for capital adequacy purposes and to be well-capitalized under regulatory requirements in effect at such times, are presented below for United and the Bank: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140" w:type="dxa"/>
            <w:vAlign w:val="bottom"/>
          </w:tcPr>
          <w:p>
            <w:pPr>
              <w:spacing w:after="0"/>
              <w:rPr>
                <w:sz w:val="16"/>
                <w:szCs w:val="16"/>
                <w:color w:val="auto"/>
              </w:rPr>
            </w:pPr>
          </w:p>
        </w:tc>
        <w:tc>
          <w:tcPr>
            <w:tcW w:w="26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(Consolidated)</w:t>
            </w:r>
          </w:p>
        </w:tc>
        <w:tc>
          <w:tcPr>
            <w:tcW w:w="140" w:type="dxa"/>
            <w:vAlign w:val="bottom"/>
          </w:tcPr>
          <w:p>
            <w:pPr>
              <w:spacing w:after="0"/>
              <w:rPr>
                <w:sz w:val="18"/>
                <w:szCs w:val="18"/>
                <w:color w:val="auto"/>
              </w:rPr>
            </w:pPr>
          </w:p>
        </w:tc>
        <w:tc>
          <w:tcPr>
            <w:tcW w:w="26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Minimum </w:t>
            </w:r>
            <w:r>
              <w:rPr>
                <w:rFonts w:ascii="Times New Roman" w:cs="Times New Roman" w:eastAsia="Times New Roman" w:hAnsi="Times New Roman"/>
                <w:sz w:val="21"/>
                <w:szCs w:val="21"/>
                <w:b w:val="1"/>
                <w:bCs w:val="1"/>
                <w:color w:val="auto"/>
                <w:vertAlign w:val="superscript"/>
              </w:rPr>
              <w:t>(1)</w:t>
            </w:r>
          </w:p>
        </w:tc>
        <w:tc>
          <w:tcPr>
            <w:tcW w:w="12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Well-</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12.22 %</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12.22</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13.23</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9.17</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2,541,702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2,432,518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2,527,187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2,435,962</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2,629,968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2,520,784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2,527,187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2,435,962</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2,976,156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2,898,474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2,726,029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2,638,009</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Risk-weighted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19,445,156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20,007,236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19,354,392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19,933,429</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total assets for the leverage ratio</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26,318,046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26,621,561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26,264,897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26,563,946</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September 30, 2024 and December 31, 2023, the minimum ratios as presented were subject to an additional capital conservation buffer of 2.50%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amount of off-balance sheet instruments as of the dates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whose contract amounts represent credit risk:</w:t>
            </w: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extend credit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3,922,384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4,305,483</w:t>
            </w: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Letters of credit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61,808</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certain purchase card and credit card agreements between United customers and a third party institution, in the case of the borrower’s default, United will make the holder of the loan whole. As of September 30, 2024, the outstanding balance of these purchase and credit card loans totaled $4.34 million.</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 Credit and Certain Equity Investments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United invests in certain LIHTC partnerships throughout its market area as a means of supporting local communities, as well as in entities that promote renewable energy sources. United receives tax credits related to these investments. For certain of the investments, United provides financing during the construction and development phase of the related projects and/or permanent financing upon completion of the project. United has concluded that these partnerships are VIEs of which it is not the primary beneficiary because it does not have the power to direct the activities that most significantly impact the VIEs' financial performance and, therefore, is not required to consolidate these VIEs. United's maximum potential exposure to losses relative to investments in these VIEs is generally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limited to the sum of the outstanding investment balance, any future funding commitments and the balance of any related loans to the entity. Loans to these entities are underwritten in substantially the same manner as other loans and are generally secured.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also has investments in and future funding commitments related to fintech fund limited partnerships, other community development entities and certain other equity method investments. United has concluded that these partnerships are VIEs of which it is not the primary beneficiary because it does not have the power to direct the activities that most significantly impact the VIEs' financial performance and, therefore, is not required to consolidate these VIEs. The risk exposure relating to such commitments is generally limited to the amount invested by United and any future funding commitments.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as of the dates indicated, tax credit and certain equity method investments: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1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400" w:type="dxa"/>
            <w:vAlign w:val="bottom"/>
            <w:vMerge w:val="continue"/>
          </w:tcPr>
          <w:p>
            <w:pPr>
              <w:spacing w:after="0"/>
              <w:rPr>
                <w:sz w:val="18"/>
                <w:szCs w:val="18"/>
                <w:color w:val="auto"/>
              </w:rPr>
            </w:pPr>
          </w:p>
        </w:tc>
        <w:tc>
          <w:tcPr>
            <w:tcW w:w="3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LIHTC:</w:t>
            </w:r>
          </w:p>
        </w:tc>
        <w:tc>
          <w:tcPr>
            <w:tcW w:w="3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Carrying amount</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54,161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48,867</w:t>
            </w: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 of future funding commitments included in carrying amount</w:t>
            </w: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14,176</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Lending exposure</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Loans and leases held for investment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Renewable energy investments:</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Carrying amount</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18,631</w:t>
            </w: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Amount of future funding commitments </w:t>
            </w:r>
            <w:r>
              <w:rPr>
                <w:rFonts w:ascii="Times New Roman" w:cs="Times New Roman" w:eastAsia="Times New Roman" w:hAnsi="Times New Roman"/>
                <w:sz w:val="21"/>
                <w:szCs w:val="21"/>
                <w:color w:val="auto"/>
                <w:vertAlign w:val="superscript"/>
              </w:rPr>
              <w:t>(1)</w:t>
            </w: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14,406</w:t>
            </w:r>
          </w:p>
        </w:tc>
        <w:tc>
          <w:tcPr>
            <w:tcW w:w="0" w:type="dxa"/>
            <w:vAlign w:val="bottom"/>
          </w:tcPr>
          <w:p>
            <w:pPr>
              <w:spacing w:after="0"/>
              <w:rPr>
                <w:sz w:val="1"/>
                <w:szCs w:val="1"/>
                <w:color w:val="auto"/>
              </w:rPr>
            </w:pP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Fintech funds and certain other equity method investments:</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Carrying amount</w:t>
            </w: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33,720</w:t>
            </w:r>
          </w:p>
        </w:tc>
        <w:tc>
          <w:tcPr>
            <w:tcW w:w="0" w:type="dxa"/>
            <w:vAlign w:val="bottom"/>
          </w:tcPr>
          <w:p>
            <w:pPr>
              <w:spacing w:after="0"/>
              <w:rPr>
                <w:sz w:val="1"/>
                <w:szCs w:val="1"/>
                <w:color w:val="auto"/>
              </w:rPr>
            </w:pPr>
          </w:p>
        </w:tc>
      </w:tr>
      <w:tr>
        <w:trPr>
          <w:trHeight w:val="210"/>
        </w:trPr>
        <w:tc>
          <w:tcPr>
            <w:tcW w:w="5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 of future funding commitments not included in carrying amount</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25,008</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firstLine="8"/>
        <w:spacing w:after="0" w:line="225" w:lineRule="auto"/>
        <w:tabs>
          <w:tab w:leader="none" w:pos="20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Starting in 2024, United no longer records future funding commitments related to its renewable energy investments on the balance sheet. Prior to 2024, these commitments were included in other liabilities.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tax credits and amortization expense associated with the United’s tax credit investment activity.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Income Statement Location</w:t>
            </w:r>
          </w:p>
        </w:tc>
        <w:tc>
          <w:tcPr>
            <w:tcW w:w="140" w:type="dxa"/>
            <w:vAlign w:val="bottom"/>
          </w:tcPr>
          <w:p>
            <w:pPr>
              <w:spacing w:after="0"/>
              <w:rPr>
                <w:sz w:val="20"/>
                <w:szCs w:val="20"/>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1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196"/>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LIHTC:</w:t>
            </w:r>
          </w:p>
        </w:tc>
        <w:tc>
          <w:tcPr>
            <w:tcW w:w="2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r>
      <w:tr>
        <w:trPr>
          <w:trHeight w:val="213"/>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credits and other income tax benefits</w:t>
            </w: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ind w:right="15"/>
              <w:spacing w:after="0"/>
              <w:rPr>
                <w:sz w:val="20"/>
                <w:szCs w:val="20"/>
                <w:color w:val="auto"/>
              </w:rPr>
            </w:pPr>
            <w:r>
              <w:rPr>
                <w:rFonts w:ascii="Times New Roman" w:cs="Times New Roman" w:eastAsia="Times New Roman" w:hAnsi="Times New Roman"/>
                <w:sz w:val="16"/>
                <w:szCs w:val="16"/>
                <w:color w:val="auto"/>
              </w:rPr>
              <w:t>(5,989)</w:t>
            </w:r>
          </w:p>
        </w:tc>
      </w:tr>
      <w:tr>
        <w:trPr>
          <w:trHeight w:val="21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expense</w:t>
            </w:r>
          </w:p>
        </w:tc>
        <w:tc>
          <w:tcPr>
            <w:tcW w:w="2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6"/>
                <w:szCs w:val="16"/>
                <w:color w:val="auto"/>
              </w:rPr>
              <w:t>5,398</w:t>
            </w:r>
          </w:p>
        </w:tc>
      </w:tr>
      <w:tr>
        <w:trPr>
          <w:trHeight w:val="554"/>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 Common Stock</w:t>
            </w: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August of 2024, the Board approved an increase of the common stock repurchase authority under United’s common stock repurchase program to $100 million and approved the extension of the program through December 31, 2025. During the three and nine months ended September 30, 2024 and 2023, no shares were repurchased under the program. As of September 30, 2024, United had remaining authorization to repurchase up to $100 million of outstanding common stock under the program.</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our financial condition at September 30, 2024 and December 31, 2023 and our results of operations for the three and nine months ended September 30, 2024 and 2023.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and the risk factors discussed in our 2023 10-K and the other reports we have filed with the SEC after we filed the 2023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“we,” “our,” “us” refer to United on a consolidated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wide array of commercial and consumer banking services and investment advisory services primarily through the operation of 202 banking offices throughout Georgia, South Carolina, North Carolina, Tennessee, Florida and Alabama. We have grown organically as well as through strategic acquisitions. At September 30, 2024, we had consolidated total assets of $27.4 billion and 3,010 full-time equivalent employees.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Effective May 2024, we officially moved our holding company headquarters from Blairsville, Georgia to Greenville, South Carolina.</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June 2024, the Bank changed its primary federal regulator from the FDIC to the Federal Reserve.</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August 6, 2024, we transferred the listing of our securities from NASDAQ to the New York Stock Exchange. Our common shares are now listed under the trading symbol UCB and our preferred Series I depositary shares are now listed under the trading symbol UCB PRI.</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2024, we entered into an agreement to sell FinTrust, which closed subsequent to the end of the third quarter on October 1, 2024.</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2024, we sold $303 million of manufactured housing loans, which was substantially all of that portfolio. As a result of the sale, we recorded a charge-off of $11.0 million, which is reflected in the loans sold amount, and a pre-tax loss on sale of the loans of $27.2 million, reflected in noninterest income. Our manufactured housing loan portfolio came to us through the acquisition of Reliant Bank in January 2022 and we discontinued originating those loans in the third quarter of 2023. Selling the portfolio reduced risk and allowed us to redirect our management and capital resources to activities that better align with our strategic objectives.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reported net income and diluted earnings per common share of $47.3 million and $0.38, respectively, for the third quarter of 2024, compared to $47.9 million and $0.39, respectively, for the same period in 2023. The third quarter of 2024 included a $27.2 million loss on the manufactured housing loan sale, which was partially offset by a decrease in provision for credit losses of $15.8 million and an increase in net interest revenue of $6.63 million.</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revenue increased to $209 million for the third quarter of 2024, compared to $203 million for the third quarter of 2023. Taxable equivalent interest revenue increased $26.0 million mostly resulting from higher interest rates earned on our average loan and securities portfolios. The increase resulted from the replacement of lower-yielding fixed-rate asset runoff with higher-yielding market rate instruments and earnings from fair value hedges on certain AFS investment securities and loans. The increase in interest revenue was partially offset by an increase in interest expense of $19.3 million mostly resulting from interest-bearing deposit growth in combination with higher rates paid on those deposits. For the third quarter of 2024, our net interest spread increased seven basis points to 2.30% and our net interest margin increased nine basis points to 3.33% compared to the same period of 2023. The increases in net interest spread and net interest margin reflect the increase in yield on interest-earning assets, as discussed, in combination with less steep increases in deposit rates compared to the third quarter of 2023.</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 provision for credit losses of $14.4 million for the third quarter of 2024, compared to a provision of $30.3 million for the third quarter of 2023. The provision for the third quarter of 2023 was elevated due to a $19.0 million charge off taken during this quarter and a $4.01 million provision for the establishment of the initial ACL for First Miami non-PCD loans and unfunded commitments. The provision for credit losses for the third quarter of 2024 is indicative of the impact of an improving economic</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forecast and slower loan growth, partly offset by a special provision of $9.89 million related to expected losses in nine counties in western North Carolina severely affected by Hurricane Helene. The provision for unfunded commitments for the quarter was a negative $1.49 million due to a decrease in the amount of unfunded commitments, particularly commercial construction commitments.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Noninterest income of $8.09 million for the third quarter of 2024 decreased by $23.9 million compared to the third quarter of 2023 mostly driven by the loss on the manufactured housing loan sale and a negative fair value adjustment, including decay, to our mortgage servicing asset of $3.07 million. These reductions in noninterest income were partially offset by gains on other investments compared to losses in the third quarter of 2023, which resulted in a $2.43 million increase in income, and an increase in other noninterest income of $3.55 million. Other noninterest income in the third quarter of 2023 was negatively impacted by a $1.00 million loss on the sale of two of our Tennessee branches and $912,000 more in collateral charges related to our derivative positions.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third quarter of 2024, noninterest expenses of $143 million decreased $1.41 million, or 1%, compared to the same period of 2023. The decrease was primarily attributable to a decrease in merger-related and other charges of $6.99 million due to the lack of merger activity in 2024, which was partially offset by a $2.36 million increase in salaries and employee benefits and a $1.72 million increase in communications and equipment expense.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2024 and 2023, we reported net income of $177 million and $173 million, respectively, and diluted earnings per common share of $1.43 and $1.44, respectively. Net interest revenue and net interest margin for the nine months ended September 30, 2024 were $617 million and 3.30%, respectively, compared to $614 million and 3.41%, respectively, for the same period in 2023. In addition to the factors affecting the third quarter of 2024, results of operations for the nine months ended September 30, 2024 include a $5.10 million goodwill write-down associated with the transfer of FinTrust to held-for-sale, a $1.37 million increase in BOLI income related to death benefits recognized in the first and third quarters of 2024 and higher FDIC assessment expense of $4.58 million, which is attributable to the FDIC special assessment and an increase in our assessment base. The nine months ended September 30, 2024 also reflects an additional six months of salaries and benefits and occupancy expense attributable to the addition of First Miami employees and branches on July 1,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third quarter and first nine months of 2024 are discussed in further detail throughout the following sections of MD&amp;A.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make estimates and assumptions that affect the reported amounts of assets and liabilities as of the date of the balance sheet and revenues and expenses for the period. Our accounting and reporting estimates are in accordance with GAAP and conform to general practices within the banking industry. Estimates that are susceptible to significant changes include accounting for the ACL and fair value measurements, both of which require significant judgments by management. Actual results could differ significantly from those estimates. Also, different assumptions in the application of these accounting estimates could result in material changes in our consolidated financial position or consolidated results of operations. Our critical accounting estimates are discussed in MD&amp;A in our 2023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Reconciliation and Explanation</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“noninterest income - operating,” “noninterest expense - operating,” “net income – operating,” “diluted income per common share – operating,” “return on common equity – operating,” “return on tangible common equity – operating,” “return on assets – operating” and “efficiency ratio – operating.” We have developed internal policies and procedures to accurately capture and account for merger-related and other charges and those charges are reviewed with the Audit Committee of our Board each quarter. We use these non-GAAP measures because we believe they provide useful supplemental information for evaluating our operations and performance over periods of time, as well as in managing and evaluating our business and in discussions about our operations and performance. We believe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MD&amp;A.</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3"/>
          <w:szCs w:val="13"/>
          <w:b w:val="1"/>
          <w:bCs w:val="1"/>
          <w:color w:val="auto"/>
        </w:rPr>
        <w:t>UNITED COMMUNITY BANKS, INC.</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Table 1 - Financial Highlights</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Third</w:t>
            </w:r>
          </w:p>
        </w:tc>
        <w:tc>
          <w:tcPr>
            <w:tcW w:w="140" w:type="dxa"/>
            <w:vAlign w:val="bottom"/>
          </w:tcPr>
          <w:p>
            <w:pPr>
              <w:spacing w:after="0"/>
              <w:rPr>
                <w:sz w:val="12"/>
                <w:szCs w:val="12"/>
                <w:color w:val="auto"/>
              </w:rPr>
            </w:pPr>
          </w:p>
        </w:tc>
        <w:tc>
          <w:tcPr>
            <w:tcW w:w="1840" w:type="dxa"/>
            <w:vAlign w:val="bottom"/>
            <w:gridSpan w:val="4"/>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restart"/>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restart"/>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840" w:type="dxa"/>
            <w:vAlign w:val="bottom"/>
            <w:gridSpan w:val="4"/>
            <w:vMerge w:val="restart"/>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6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rPr>
              <w:t>Quarter</w:t>
            </w:r>
          </w:p>
        </w:tc>
        <w:tc>
          <w:tcPr>
            <w:tcW w:w="1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Third Quarter</w:t>
            </w:r>
          </w:p>
        </w:tc>
        <w:tc>
          <w:tcPr>
            <w:tcW w:w="14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Second</w:t>
            </w: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First Quarter</w:t>
            </w:r>
          </w:p>
        </w:tc>
        <w:tc>
          <w:tcPr>
            <w:tcW w:w="16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Fourth</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Third Quarter</w:t>
            </w:r>
          </w:p>
        </w:tc>
        <w:tc>
          <w:tcPr>
            <w:tcW w:w="840" w:type="dxa"/>
            <w:vAlign w:val="bottom"/>
            <w:gridSpan w:val="2"/>
          </w:tcPr>
          <w:p>
            <w:pPr>
              <w:jc w:val="center"/>
              <w:ind w:left="13"/>
              <w:spacing w:after="0" w:line="135" w:lineRule="exact"/>
              <w:rPr>
                <w:sz w:val="20"/>
                <w:szCs w:val="20"/>
                <w:color w:val="auto"/>
              </w:rPr>
            </w:pPr>
            <w:r>
              <w:rPr>
                <w:rFonts w:ascii="Times New Roman" w:cs="Times New Roman" w:eastAsia="Times New Roman" w:hAnsi="Times New Roman"/>
                <w:sz w:val="13"/>
                <w:szCs w:val="13"/>
                <w:b w:val="1"/>
                <w:bCs w:val="1"/>
                <w:color w:val="auto"/>
              </w:rPr>
              <w:t>2024 - 2023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c>
          <w:tcPr>
            <w:tcW w:w="720" w:type="dxa"/>
            <w:vAlign w:val="bottom"/>
          </w:tcPr>
          <w:p>
            <w:pPr>
              <w:jc w:val="right"/>
              <w:ind w:right="153"/>
              <w:spacing w:after="0" w:line="135" w:lineRule="exact"/>
              <w:rPr>
                <w:sz w:val="20"/>
                <w:szCs w:val="20"/>
                <w:color w:val="auto"/>
              </w:rPr>
            </w:pPr>
            <w:r>
              <w:rPr>
                <w:rFonts w:ascii="Times New Roman" w:cs="Times New Roman" w:eastAsia="Times New Roman" w:hAnsi="Times New Roman"/>
                <w:sz w:val="13"/>
                <w:szCs w:val="13"/>
                <w:b w:val="1"/>
                <w:bCs w:val="1"/>
                <w:color w:val="auto"/>
              </w:rPr>
              <w:t>YTD</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10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82"/>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SUMMARY</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revenue</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349,086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346,965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336,728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338,698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323,147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1,032,779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898,409</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139,900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138,265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137,579</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135,245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120,591</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415,744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284,097</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interest revenue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209,186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208,700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199,149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203,453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202,556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617,035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614,312</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82"/>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14,428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12,235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12,899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14,626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30,268</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39,562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74,804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8,091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36,556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39,587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(23,090)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31,977</w:t>
            </w:r>
          </w:p>
        </w:tc>
        <w:tc>
          <w:tcPr>
            <w:tcW w:w="8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84,234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98,573</w:t>
            </w:r>
          </w:p>
        </w:tc>
        <w:tc>
          <w:tcPr>
            <w:tcW w:w="82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6"/>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202,849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233,021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225,837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165,737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204,265</w:t>
            </w:r>
          </w:p>
        </w:tc>
        <w:tc>
          <w:tcPr>
            <w:tcW w:w="84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661,707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638,081</w:t>
            </w:r>
          </w:p>
        </w:tc>
        <w:tc>
          <w:tcPr>
            <w:tcW w:w="8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expenses</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143,065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147,044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145,002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154,587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144,474</w:t>
            </w:r>
          </w:p>
        </w:tc>
        <w:tc>
          <w:tcPr>
            <w:tcW w:w="8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435,111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416,686</w:t>
            </w:r>
          </w:p>
        </w:tc>
        <w:tc>
          <w:tcPr>
            <w:tcW w:w="8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6"/>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before income tax expense</w:t>
            </w: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59,784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85,977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80,835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11,150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59,791</w:t>
            </w:r>
          </w:p>
        </w:tc>
        <w:tc>
          <w:tcPr>
            <w:tcW w:w="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226,596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221,395</w:t>
            </w:r>
          </w:p>
        </w:tc>
        <w:tc>
          <w:tcPr>
            <w:tcW w:w="8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12,437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19,362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18,204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(2,940)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11,925</w:t>
            </w:r>
          </w:p>
        </w:tc>
        <w:tc>
          <w:tcPr>
            <w:tcW w:w="8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50,003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47,941</w:t>
            </w:r>
          </w:p>
        </w:tc>
        <w:tc>
          <w:tcPr>
            <w:tcW w:w="8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5"/>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47,347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66,615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62,631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14,090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47,866</w:t>
            </w:r>
          </w:p>
        </w:tc>
        <w:tc>
          <w:tcPr>
            <w:tcW w:w="84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176,593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173,454</w:t>
            </w:r>
          </w:p>
        </w:tc>
        <w:tc>
          <w:tcPr>
            <w:tcW w:w="8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Non-operating items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29,385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6,493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2,187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67,450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9,168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38,065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21,444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of non-operating items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(6,276)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(1,462)</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(493)</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(16,714)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(8,231)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(4,775)</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62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Net income - operating </w:t>
            </w:r>
            <w:r>
              <w:rPr>
                <w:rFonts w:ascii="Times New Roman" w:cs="Times New Roman" w:eastAsia="Times New Roman" w:hAnsi="Times New Roman"/>
                <w:sz w:val="17"/>
                <w:szCs w:val="17"/>
                <w:b w:val="1"/>
                <w:bCs w:val="1"/>
                <w:color w:val="auto"/>
                <w:vertAlign w:val="superscript"/>
              </w:rPr>
              <w:t>(1)</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70,456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71,646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64,325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64,826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55,034</w:t>
            </w:r>
          </w:p>
        </w:tc>
        <w:tc>
          <w:tcPr>
            <w:tcW w:w="840" w:type="dxa"/>
            <w:vAlign w:val="bottom"/>
            <w:tcBorders>
              <w:bottom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206,427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190,123</w:t>
            </w:r>
          </w:p>
        </w:tc>
        <w:tc>
          <w:tcPr>
            <w:tcW w:w="8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 MEASURES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 common share: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Diluted net income - GAAP</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0.39</w:t>
            </w:r>
          </w:p>
        </w:tc>
        <w:tc>
          <w:tcPr>
            <w:tcW w:w="8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1.44</w:t>
            </w:r>
          </w:p>
        </w:tc>
        <w:tc>
          <w:tcPr>
            <w:tcW w:w="82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9"/>
        </w:trPr>
        <w:tc>
          <w:tcPr>
            <w:tcW w:w="2620" w:type="dxa"/>
            <w:vAlign w:val="bottom"/>
          </w:tcPr>
          <w:p>
            <w:pPr>
              <w:ind w:left="220"/>
              <w:spacing w:after="0" w:line="189" w:lineRule="exact"/>
              <w:rPr>
                <w:sz w:val="20"/>
                <w:szCs w:val="20"/>
                <w:color w:val="auto"/>
              </w:rPr>
            </w:pPr>
            <w:r>
              <w:rPr>
                <w:rFonts w:ascii="Times New Roman" w:cs="Times New Roman" w:eastAsia="Times New Roman" w:hAnsi="Times New Roman"/>
                <w:sz w:val="13"/>
                <w:szCs w:val="13"/>
                <w:color w:val="auto"/>
              </w:rPr>
              <w:t xml:space="preserve">Diluted net income - operating </w:t>
            </w:r>
            <w:r>
              <w:rPr>
                <w:rFonts w:ascii="Times New Roman" w:cs="Times New Roman" w:eastAsia="Times New Roman" w:hAnsi="Times New Roman"/>
                <w:sz w:val="17"/>
                <w:szCs w:val="17"/>
                <w:color w:val="auto"/>
                <w:vertAlign w:val="superscript"/>
              </w:rPr>
              <w:t>(1)</w:t>
            </w:r>
          </w:p>
        </w:tc>
        <w:tc>
          <w:tcPr>
            <w:tcW w:w="200" w:type="dxa"/>
            <w:vAlign w:val="bottom"/>
          </w:tcPr>
          <w:p>
            <w:pPr>
              <w:spacing w:after="0"/>
              <w:rPr>
                <w:sz w:val="16"/>
                <w:szCs w:val="16"/>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0.45</w:t>
            </w:r>
          </w:p>
        </w:tc>
        <w:tc>
          <w:tcPr>
            <w:tcW w:w="84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1.58</w:t>
            </w:r>
          </w:p>
        </w:tc>
        <w:tc>
          <w:tcPr>
            <w:tcW w:w="8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Cash dividends declared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0.24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0.23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0.23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0.23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0.23</w:t>
            </w:r>
          </w:p>
        </w:tc>
        <w:tc>
          <w:tcPr>
            <w:tcW w:w="8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0.70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0.69</w:t>
            </w:r>
          </w:p>
        </w:tc>
        <w:tc>
          <w:tcPr>
            <w:tcW w:w="8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2"/>
        </w:trPr>
        <w:tc>
          <w:tcPr>
            <w:tcW w:w="26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Book value</w:t>
            </w: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27.68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27.18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26.83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26.52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25.87</w:t>
            </w:r>
          </w:p>
        </w:tc>
        <w:tc>
          <w:tcPr>
            <w:tcW w:w="84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27.68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25.87</w:t>
            </w:r>
          </w:p>
        </w:tc>
        <w:tc>
          <w:tcPr>
            <w:tcW w:w="8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 xml:space="preserve">Tangible book value </w:t>
            </w:r>
            <w:r>
              <w:rPr>
                <w:rFonts w:ascii="Times New Roman" w:cs="Times New Roman" w:eastAsia="Times New Roman" w:hAnsi="Times New Roman"/>
                <w:sz w:val="17"/>
                <w:szCs w:val="17"/>
                <w:color w:val="auto"/>
                <w:vertAlign w:val="superscript"/>
              </w:rPr>
              <w:t>(3)</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19.66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19.13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18.71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18.39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17.70</w:t>
            </w:r>
          </w:p>
        </w:tc>
        <w:tc>
          <w:tcPr>
            <w:tcW w:w="8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19.66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17.70</w:t>
            </w:r>
          </w:p>
        </w:tc>
        <w:tc>
          <w:tcPr>
            <w:tcW w:w="8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2"/>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Key performance ratios: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 xml:space="preserve">Return on common equity - GAAP </w:t>
            </w:r>
            <w:r>
              <w:rPr>
                <w:rFonts w:ascii="Times New Roman" w:cs="Times New Roman" w:eastAsia="Times New Roman" w:hAnsi="Times New Roman"/>
                <w:sz w:val="17"/>
                <w:szCs w:val="17"/>
                <w:color w:val="auto"/>
                <w:vertAlign w:val="superscript"/>
              </w:rPr>
              <w:t>(2)(4)</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5.32 %</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 xml:space="preserve">Return on common equity - operating </w:t>
            </w:r>
            <w:r>
              <w:rPr>
                <w:rFonts w:ascii="Times New Roman" w:cs="Times New Roman" w:eastAsia="Times New Roman" w:hAnsi="Times New Roman"/>
                <w:sz w:val="15"/>
                <w:szCs w:val="15"/>
                <w:color w:val="auto"/>
                <w:vertAlign w:val="superscript"/>
              </w:rPr>
              <w:t>(1)(2)</w:t>
            </w:r>
          </w:p>
        </w:tc>
        <w:tc>
          <w:tcPr>
            <w:tcW w:w="200" w:type="dxa"/>
            <w:vAlign w:val="bottom"/>
          </w:tcPr>
          <w:p>
            <w:pPr>
              <w:spacing w:after="0"/>
              <w:rPr>
                <w:sz w:val="11"/>
                <w:szCs w:val="11"/>
                <w:color w:val="auto"/>
              </w:rPr>
            </w:pPr>
          </w:p>
        </w:tc>
        <w:tc>
          <w:tcPr>
            <w:tcW w:w="72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7.82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8.12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7.34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7.27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6.14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7.76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7.35</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w:t>
            </w: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CEEFF"/>
          </w:tcPr>
          <w:p>
            <w:pPr>
              <w:ind w:left="220"/>
              <w:spacing w:after="0" w:line="143" w:lineRule="exact"/>
              <w:rPr>
                <w:sz w:val="20"/>
                <w:szCs w:val="20"/>
                <w:color w:val="auto"/>
              </w:rPr>
            </w:pPr>
            <w:r>
              <w:rPr>
                <w:rFonts w:ascii="Times New Roman" w:cs="Times New Roman" w:eastAsia="Times New Roman" w:hAnsi="Times New Roman"/>
                <w:sz w:val="13"/>
                <w:szCs w:val="13"/>
                <w:color w:val="auto"/>
              </w:rPr>
              <w:t>Return on tangible common equity -</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11.17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11.68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10.68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10.58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9.03</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11.18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10.65</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21"/>
                <w:szCs w:val="21"/>
                <w:color w:val="auto"/>
                <w:vertAlign w:val="subscript"/>
              </w:rPr>
              <w:t>operating</w:t>
            </w:r>
            <w:r>
              <w:rPr>
                <w:rFonts w:ascii="Times New Roman" w:cs="Times New Roman" w:eastAsia="Times New Roman" w:hAnsi="Times New Roman"/>
                <w:sz w:val="8"/>
                <w:szCs w:val="8"/>
                <w:color w:val="auto"/>
              </w:rPr>
              <w:t xml:space="preserve"> (1)(2)(3)(4)</w:t>
            </w: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Pr>
          <w:p>
            <w:pPr>
              <w:ind w:left="220"/>
              <w:spacing w:after="0" w:line="189" w:lineRule="exact"/>
              <w:rPr>
                <w:sz w:val="20"/>
                <w:szCs w:val="20"/>
                <w:color w:val="auto"/>
              </w:rPr>
            </w:pPr>
            <w:r>
              <w:rPr>
                <w:rFonts w:ascii="Times New Roman" w:cs="Times New Roman" w:eastAsia="Times New Roman" w:hAnsi="Times New Roman"/>
                <w:sz w:val="13"/>
                <w:szCs w:val="13"/>
                <w:color w:val="auto"/>
              </w:rPr>
              <w:t xml:space="preserve">Return on assets - GAAP </w:t>
            </w:r>
            <w:r>
              <w:rPr>
                <w:rFonts w:ascii="Times New Roman" w:cs="Times New Roman" w:eastAsia="Times New Roman" w:hAnsi="Times New Roman"/>
                <w:sz w:val="17"/>
                <w:szCs w:val="17"/>
                <w:color w:val="auto"/>
                <w:vertAlign w:val="superscript"/>
              </w:rPr>
              <w:t>(4)</w:t>
            </w:r>
          </w:p>
        </w:tc>
        <w:tc>
          <w:tcPr>
            <w:tcW w:w="200" w:type="dxa"/>
            <w:vAlign w:val="bottom"/>
          </w:tcPr>
          <w:p>
            <w:pPr>
              <w:spacing w:after="0"/>
              <w:rPr>
                <w:sz w:val="16"/>
                <w:szCs w:val="16"/>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0.68</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0.86</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3"/>
                <w:szCs w:val="13"/>
                <w:color w:val="auto"/>
              </w:rPr>
              <w:t xml:space="preserve">Return on assets - operating </w:t>
            </w:r>
            <w:r>
              <w:rPr>
                <w:rFonts w:ascii="Times New Roman" w:cs="Times New Roman" w:eastAsia="Times New Roman" w:hAnsi="Times New Roman"/>
                <w:sz w:val="17"/>
                <w:szCs w:val="17"/>
                <w:color w:val="auto"/>
                <w:vertAlign w:val="superscript"/>
              </w:rPr>
              <w:t>(1)(4)</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0.93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0.79</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0.99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0.95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Pr>
          <w:p>
            <w:pPr>
              <w:ind w:left="220"/>
              <w:spacing w:after="0" w:line="189" w:lineRule="exact"/>
              <w:rPr>
                <w:sz w:val="20"/>
                <w:szCs w:val="20"/>
                <w:color w:val="auto"/>
              </w:rPr>
            </w:pPr>
            <w:r>
              <w:rPr>
                <w:rFonts w:ascii="Times New Roman" w:cs="Times New Roman" w:eastAsia="Times New Roman" w:hAnsi="Times New Roman"/>
                <w:sz w:val="13"/>
                <w:szCs w:val="13"/>
                <w:color w:val="auto"/>
              </w:rPr>
              <w:t xml:space="preserve">Net interest margin (FTE) </w:t>
            </w:r>
            <w:r>
              <w:rPr>
                <w:rFonts w:ascii="Times New Roman" w:cs="Times New Roman" w:eastAsia="Times New Roman" w:hAnsi="Times New Roman"/>
                <w:sz w:val="17"/>
                <w:szCs w:val="17"/>
                <w:color w:val="auto"/>
                <w:vertAlign w:val="superscript"/>
              </w:rPr>
              <w:t>(4)</w:t>
            </w:r>
          </w:p>
        </w:tc>
        <w:tc>
          <w:tcPr>
            <w:tcW w:w="200" w:type="dxa"/>
            <w:vAlign w:val="bottom"/>
          </w:tcPr>
          <w:p>
            <w:pPr>
              <w:spacing w:after="0"/>
              <w:rPr>
                <w:sz w:val="16"/>
                <w:szCs w:val="16"/>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3.37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3.19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3.24</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3.30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3.41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Efficiency ratio - GAAP</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65.51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59.70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60.47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66.33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61.32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61.76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58.06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Pr>
          <w:p>
            <w:pPr>
              <w:ind w:left="220"/>
              <w:spacing w:after="0" w:line="189" w:lineRule="exact"/>
              <w:rPr>
                <w:sz w:val="20"/>
                <w:szCs w:val="20"/>
                <w:color w:val="auto"/>
              </w:rPr>
            </w:pPr>
            <w:r>
              <w:rPr>
                <w:rFonts w:ascii="Times New Roman" w:cs="Times New Roman" w:eastAsia="Times New Roman" w:hAnsi="Times New Roman"/>
                <w:sz w:val="13"/>
                <w:szCs w:val="13"/>
                <w:color w:val="auto"/>
              </w:rPr>
              <w:t xml:space="preserve">Efficiency ratio - operating </w:t>
            </w:r>
            <w:r>
              <w:rPr>
                <w:rFonts w:ascii="Times New Roman" w:cs="Times New Roman" w:eastAsia="Times New Roman" w:hAnsi="Times New Roman"/>
                <w:sz w:val="17"/>
                <w:szCs w:val="17"/>
                <w:color w:val="auto"/>
                <w:vertAlign w:val="superscript"/>
              </w:rPr>
              <w:t>(1)</w:t>
            </w:r>
          </w:p>
        </w:tc>
        <w:tc>
          <w:tcPr>
            <w:tcW w:w="200" w:type="dxa"/>
            <w:vAlign w:val="bottom"/>
          </w:tcPr>
          <w:p>
            <w:pPr>
              <w:spacing w:after="0"/>
              <w:rPr>
                <w:sz w:val="16"/>
                <w:szCs w:val="16"/>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57.37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57.06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59.15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59.57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57.43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57.84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55.07</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Equity to total assets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12.45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12.35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12.06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11.95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11.85</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12.45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11.85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620" w:type="dxa"/>
            <w:vAlign w:val="bottom"/>
          </w:tcPr>
          <w:p>
            <w:pPr>
              <w:ind w:left="220"/>
              <w:spacing w:after="0" w:line="136" w:lineRule="exact"/>
              <w:rPr>
                <w:sz w:val="20"/>
                <w:szCs w:val="20"/>
                <w:color w:val="auto"/>
              </w:rPr>
            </w:pPr>
            <w:r>
              <w:rPr>
                <w:rFonts w:ascii="Times New Roman" w:cs="Times New Roman" w:eastAsia="Times New Roman" w:hAnsi="Times New Roman"/>
                <w:sz w:val="13"/>
                <w:szCs w:val="13"/>
                <w:color w:val="auto"/>
              </w:rPr>
              <w:t>Tangible common equity to tangible</w:t>
            </w:r>
          </w:p>
        </w:tc>
        <w:tc>
          <w:tcPr>
            <w:tcW w:w="200" w:type="dxa"/>
            <w:vAlign w:val="bottom"/>
          </w:tcPr>
          <w:p>
            <w:pPr>
              <w:spacing w:after="0"/>
              <w:rPr>
                <w:sz w:val="11"/>
                <w:szCs w:val="11"/>
                <w:color w:val="auto"/>
              </w:rPr>
            </w:pPr>
          </w:p>
        </w:tc>
        <w:tc>
          <w:tcPr>
            <w:tcW w:w="72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8.93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8.49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8.36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8.18</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8.93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8.18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220"/>
              <w:spacing w:after="0" w:line="189" w:lineRule="exact"/>
              <w:rPr>
                <w:sz w:val="20"/>
                <w:szCs w:val="20"/>
                <w:color w:val="auto"/>
              </w:rPr>
            </w:pPr>
            <w:r>
              <w:rPr>
                <w:rFonts w:ascii="Times New Roman" w:cs="Times New Roman" w:eastAsia="Times New Roman" w:hAnsi="Times New Roman"/>
                <w:sz w:val="13"/>
                <w:szCs w:val="13"/>
                <w:color w:val="auto"/>
              </w:rPr>
              <w:t xml:space="preserve">assets </w:t>
            </w:r>
            <w:r>
              <w:rPr>
                <w:rFonts w:ascii="Times New Roman" w:cs="Times New Roman" w:eastAsia="Times New Roman" w:hAnsi="Times New Roman"/>
                <w:sz w:val="17"/>
                <w:szCs w:val="17"/>
                <w:color w:val="auto"/>
                <w:vertAlign w:val="superscript"/>
              </w:rPr>
              <w:t>(3)</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QUALITY</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NPAs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114,960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116,722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107,230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92,877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90,883</w:t>
            </w:r>
          </w:p>
        </w:tc>
        <w:tc>
          <w:tcPr>
            <w:tcW w:w="8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114,960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90,883</w:t>
            </w:r>
          </w:p>
        </w:tc>
        <w:tc>
          <w:tcPr>
            <w:tcW w:w="8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82"/>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ACL - loans</w:t>
            </w: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205,290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213,022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210,934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208,071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201,557</w:t>
            </w:r>
          </w:p>
        </w:tc>
        <w:tc>
          <w:tcPr>
            <w:tcW w:w="84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205,290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201,557</w:t>
            </w:r>
          </w:p>
        </w:tc>
        <w:tc>
          <w:tcPr>
            <w:tcW w:w="8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charge-offs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23,651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11,614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12,908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10,122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26,638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48,173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42,121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ACL - loans to loans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1.11 %</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1.11 %</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 xml:space="preserve">Net charge-offs to average loans </w:t>
            </w:r>
            <w:r>
              <w:rPr>
                <w:rFonts w:ascii="Times New Roman" w:cs="Times New Roman" w:eastAsia="Times New Roman" w:hAnsi="Times New Roman"/>
                <w:sz w:val="17"/>
                <w:szCs w:val="17"/>
                <w:color w:val="auto"/>
                <w:vertAlign w:val="superscript"/>
              </w:rPr>
              <w:t>(4)</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0.22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0.59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0.35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0.32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NPAs to total assets</w:t>
            </w: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0.42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0.43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0.39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0.34</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0.42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0.34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AT PERIOD END </w:t>
            </w:r>
            <w:r>
              <w:rPr>
                <w:rFonts w:ascii="Times New Roman" w:cs="Times New Roman" w:eastAsia="Times New Roman" w:hAnsi="Times New Roman"/>
                <w:sz w:val="13"/>
                <w:szCs w:val="13"/>
                <w:i w:val="1"/>
                <w:iCs w:val="1"/>
                <w:color w:val="auto"/>
              </w:rPr>
              <w:t>($ in millions)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Loans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17,964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18,211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18,375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18,319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18,203</w:t>
            </w:r>
          </w:p>
        </w:tc>
        <w:tc>
          <w:tcPr>
            <w:tcW w:w="8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17,964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18,203</w:t>
            </w:r>
          </w:p>
        </w:tc>
        <w:tc>
          <w:tcPr>
            <w:tcW w:w="82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2"/>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 securities</w:t>
            </w: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6,425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6,038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5,859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5,822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5,701</w:t>
            </w:r>
          </w:p>
        </w:tc>
        <w:tc>
          <w:tcPr>
            <w:tcW w:w="84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6,425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5,701</w:t>
            </w:r>
          </w:p>
        </w:tc>
        <w:tc>
          <w:tcPr>
            <w:tcW w:w="8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assets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27,373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27,057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27,365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27,297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26,869</w:t>
            </w:r>
          </w:p>
        </w:tc>
        <w:tc>
          <w:tcPr>
            <w:tcW w:w="8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27,373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26,869</w:t>
            </w:r>
          </w:p>
        </w:tc>
        <w:tc>
          <w:tcPr>
            <w:tcW w:w="8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2"/>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Deposits</w:t>
            </w: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23,253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22,982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23,332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23,311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22,858</w:t>
            </w:r>
          </w:p>
        </w:tc>
        <w:tc>
          <w:tcPr>
            <w:tcW w:w="84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23,253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22,858</w:t>
            </w:r>
          </w:p>
        </w:tc>
        <w:tc>
          <w:tcPr>
            <w:tcW w:w="8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Shareholders’ equity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3,407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3,343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3,300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3,262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3,184</w:t>
            </w:r>
          </w:p>
        </w:tc>
        <w:tc>
          <w:tcPr>
            <w:tcW w:w="8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3,407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3,184</w:t>
            </w:r>
          </w:p>
        </w:tc>
        <w:tc>
          <w:tcPr>
            <w:tcW w:w="8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5"/>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shares outstanding (thousands)</w:t>
            </w: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119,283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119,175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119,137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119,010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118,976</w:t>
            </w:r>
          </w:p>
        </w:tc>
        <w:tc>
          <w:tcPr>
            <w:tcW w:w="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119,283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118,976</w:t>
            </w:r>
          </w:p>
        </w:tc>
        <w:tc>
          <w:tcPr>
            <w:tcW w:w="10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firstLine="8"/>
        <w:spacing w:after="0" w:line="365" w:lineRule="auto"/>
        <w:tabs>
          <w:tab w:leader="none" w:pos="115" w:val="left"/>
        </w:tabs>
        <w:numPr>
          <w:ilvl w:val="0"/>
          <w:numId w:val="1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E</w:t>
      </w:r>
      <w:r>
        <w:rPr>
          <w:rFonts w:ascii="Times New Roman" w:cs="Times New Roman" w:eastAsia="Times New Roman" w:hAnsi="Times New Roman"/>
          <w:sz w:val="11"/>
          <w:szCs w:val="11"/>
          <w:color w:val="auto"/>
        </w:rPr>
        <w:t>xcludes non-operating items as detailed on Non-GAAP Performance Measures Reconciliation on next page</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1"/>
          <w:szCs w:val="11"/>
          <w:color w:val="auto"/>
        </w:rPr>
        <w:t>Net income less preferred stock dividends, divided by average realized common</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1"/>
          <w:szCs w:val="11"/>
          <w:color w:val="auto"/>
        </w:rPr>
        <w:t xml:space="preserve">equity, which excludes AOCI. </w:t>
      </w:r>
      <w:r>
        <w:rPr>
          <w:rFonts w:ascii="Times New Roman" w:cs="Times New Roman" w:eastAsia="Times New Roman" w:hAnsi="Times New Roman"/>
          <w:sz w:val="8"/>
          <w:szCs w:val="8"/>
          <w:color w:val="auto"/>
        </w:rPr>
        <w:t>(3)</w:t>
      </w:r>
      <w:r>
        <w:rPr>
          <w:rFonts w:ascii="Times New Roman" w:cs="Times New Roman" w:eastAsia="Times New Roman" w:hAnsi="Times New Roman"/>
          <w:sz w:val="11"/>
          <w:szCs w:val="11"/>
          <w:color w:val="auto"/>
        </w:rPr>
        <w:t xml:space="preserve"> Excludes effect of acquisition related intangibles and associated amortization. </w:t>
      </w:r>
      <w:r>
        <w:rPr>
          <w:rFonts w:ascii="Times New Roman" w:cs="Times New Roman" w:eastAsia="Times New Roman" w:hAnsi="Times New Roman"/>
          <w:sz w:val="8"/>
          <w:szCs w:val="8"/>
          <w:color w:val="auto"/>
        </w:rPr>
        <w:t>(4)</w:t>
      </w:r>
      <w:r>
        <w:rPr>
          <w:rFonts w:ascii="Times New Roman" w:cs="Times New Roman" w:eastAsia="Times New Roman" w:hAnsi="Times New Roman"/>
          <w:sz w:val="11"/>
          <w:szCs w:val="11"/>
          <w:color w:val="auto"/>
        </w:rPr>
        <w:t xml:space="preserve"> Annualized.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(Continued) - Financial Highlights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Non-GAAP Performance Measures Reconciliation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4"/>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vMerge w:val="continue"/>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8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Second</w:t>
            </w:r>
          </w:p>
        </w:tc>
        <w:tc>
          <w:tcPr>
            <w:tcW w:w="1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6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Fourth</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40" w:type="dxa"/>
            <w:vAlign w:val="bottom"/>
          </w:tcPr>
          <w:p>
            <w:pPr>
              <w:spacing w:after="0"/>
              <w:rPr>
                <w:sz w:val="11"/>
                <w:szCs w:val="11"/>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 reconciliation</w:t>
            </w: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 (GAAP)</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8,091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36,556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39,587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(23,090)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31,977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84,234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98,573</w:t>
            </w: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sale of manufactured housing loans</w:t>
            </w:r>
          </w:p>
        </w:tc>
        <w:tc>
          <w:tcPr>
            <w:tcW w:w="2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27,209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27,209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lease termination</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Bond portfolio restructuring loss</w:t>
            </w:r>
          </w:p>
        </w:tc>
        <w:tc>
          <w:tcPr>
            <w:tcW w:w="20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51,689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34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Noninterest income - operating</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35,300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36,556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37,187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28,599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31,977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109,043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98,573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 reconciliation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expenses (GAAP)</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143,065</w:t>
            </w:r>
          </w:p>
        </w:tc>
        <w:tc>
          <w:tcPr>
            <w:tcW w:w="14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147,044</w:t>
            </w:r>
          </w:p>
        </w:tc>
        <w:tc>
          <w:tcPr>
            <w:tcW w:w="16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145,002</w:t>
            </w:r>
          </w:p>
        </w:tc>
        <w:tc>
          <w:tcPr>
            <w:tcW w:w="16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154,587</w:t>
            </w:r>
          </w:p>
        </w:tc>
        <w:tc>
          <w:tcPr>
            <w:tcW w:w="1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144,474</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435,111</w:t>
            </w:r>
          </w:p>
        </w:tc>
        <w:tc>
          <w:tcPr>
            <w:tcW w:w="1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416,686</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FinTrust (goodwill impairment)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FDIC special assessment</w:t>
            </w:r>
          </w:p>
        </w:tc>
        <w:tc>
          <w:tcPr>
            <w:tcW w:w="2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764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(9,995)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(1,736)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(2,176)</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(2,157)</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(2,087)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(5,766)</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(9,168)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(6,420)</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(21,444)</w:t>
            </w:r>
          </w:p>
        </w:tc>
        <w:tc>
          <w:tcPr>
            <w:tcW w:w="0" w:type="dxa"/>
            <w:vAlign w:val="bottom"/>
          </w:tcPr>
          <w:p>
            <w:pPr>
              <w:spacing w:after="0"/>
              <w:rPr>
                <w:sz w:val="1"/>
                <w:szCs w:val="1"/>
                <w:color w:val="auto"/>
              </w:rPr>
            </w:pPr>
          </w:p>
        </w:tc>
      </w:tr>
      <w:tr>
        <w:trPr>
          <w:trHeight w:val="203"/>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Noninterest expenses - operating</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140,889</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140,551</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140,415</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138,826</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135,306</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421,855</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395,242</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to operating income reconciliation</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(GAAP)</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47,347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66,615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62,631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14,090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47,866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176,593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173,454</w:t>
            </w: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sale of manufactured housing loans</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27,209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27,209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Bond portfolio restructuring loss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51,689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lease termination</w:t>
            </w:r>
          </w:p>
        </w:tc>
        <w:tc>
          <w:tcPr>
            <w:tcW w:w="2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(2,400)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FinTrust (goodwill impairment)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FDIC special assessment</w:t>
            </w:r>
          </w:p>
        </w:tc>
        <w:tc>
          <w:tcPr>
            <w:tcW w:w="2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(764)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9,995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1,736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5,766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9,168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21,444</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of non-operating items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(6,276)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(1,462)</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(493)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(16,714)</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(2,000)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(8,231)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(4,775)</w:t>
            </w:r>
          </w:p>
        </w:tc>
        <w:tc>
          <w:tcPr>
            <w:tcW w:w="0" w:type="dxa"/>
            <w:vAlign w:val="bottom"/>
          </w:tcPr>
          <w:p>
            <w:pPr>
              <w:spacing w:after="0"/>
              <w:rPr>
                <w:sz w:val="1"/>
                <w:szCs w:val="1"/>
                <w:color w:val="auto"/>
              </w:rPr>
            </w:pPr>
          </w:p>
        </w:tc>
      </w:tr>
      <w:tr>
        <w:trPr>
          <w:trHeight w:val="228"/>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 operating</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70,456</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71,646</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64,325</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64,826</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55,034</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206,427</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190,123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income per common share reconciliation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income per common share (GAAP)</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0.38</w:t>
            </w:r>
          </w:p>
        </w:tc>
        <w:tc>
          <w:tcPr>
            <w:tcW w:w="14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0.54</w:t>
            </w:r>
          </w:p>
        </w:tc>
        <w:tc>
          <w:tcPr>
            <w:tcW w:w="16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0.51</w:t>
            </w:r>
          </w:p>
        </w:tc>
        <w:tc>
          <w:tcPr>
            <w:tcW w:w="16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0.11</w:t>
            </w:r>
          </w:p>
        </w:tc>
        <w:tc>
          <w:tcPr>
            <w:tcW w:w="1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0.39</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1.43</w:t>
            </w:r>
          </w:p>
        </w:tc>
        <w:tc>
          <w:tcPr>
            <w:tcW w:w="1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sale of manufactured housing loans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Bond portfolio restructuring loss</w:t>
            </w:r>
          </w:p>
        </w:tc>
        <w:tc>
          <w:tcPr>
            <w:tcW w:w="2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0.32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lease termination</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FinTrust (goodwill impairment)</w:t>
            </w:r>
          </w:p>
        </w:tc>
        <w:tc>
          <w:tcPr>
            <w:tcW w:w="2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 special assessment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0.04</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0.06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228"/>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 income per common share - operating</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0.57</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0.58</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0.52</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0.53</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0.45</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1.67</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Book value per common share reconciliation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Book value per common share (GAAP)</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27.68</w:t>
            </w:r>
          </w:p>
        </w:tc>
        <w:tc>
          <w:tcPr>
            <w:tcW w:w="14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27.18</w:t>
            </w:r>
          </w:p>
        </w:tc>
        <w:tc>
          <w:tcPr>
            <w:tcW w:w="16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26.83</w:t>
            </w:r>
          </w:p>
        </w:tc>
        <w:tc>
          <w:tcPr>
            <w:tcW w:w="16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26.52</w:t>
            </w:r>
          </w:p>
        </w:tc>
        <w:tc>
          <w:tcPr>
            <w:tcW w:w="1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25.87</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27.68</w:t>
            </w:r>
          </w:p>
        </w:tc>
        <w:tc>
          <w:tcPr>
            <w:tcW w:w="1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25.87</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(8.02)</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(8.05)</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(8.12)</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(8.13)</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(8.17)</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(8.02)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(8.17)</w:t>
            </w:r>
          </w:p>
        </w:tc>
        <w:tc>
          <w:tcPr>
            <w:tcW w:w="0" w:type="dxa"/>
            <w:vAlign w:val="bottom"/>
          </w:tcPr>
          <w:p>
            <w:pPr>
              <w:spacing w:after="0"/>
              <w:rPr>
                <w:sz w:val="1"/>
                <w:szCs w:val="1"/>
                <w:color w:val="auto"/>
              </w:rPr>
            </w:pPr>
          </w:p>
        </w:tc>
      </w:tr>
      <w:tr>
        <w:trPr>
          <w:trHeight w:val="203"/>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Tangible book value per common share</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19.66</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19.13</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18.71</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18.39</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17.70</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19.66</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17.70</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tangible common equity reconciliation</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on common equity (GAAP)</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7.53 %</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7.14 %</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6.61 %</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6.69 %</w:t>
            </w: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sale of manufactured housing loans</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0.82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Bond portfolio restructuring loss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lease termination</w:t>
            </w:r>
          </w:p>
        </w:tc>
        <w:tc>
          <w:tcPr>
            <w:tcW w:w="2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(0.22)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(0.07)</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FinTrust (goodwill impairment)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FDIC special assessment</w:t>
            </w:r>
          </w:p>
        </w:tc>
        <w:tc>
          <w:tcPr>
            <w:tcW w:w="20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0.86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0.05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0.82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0.66</w:t>
            </w:r>
          </w:p>
        </w:tc>
        <w:tc>
          <w:tcPr>
            <w:tcW w:w="0" w:type="dxa"/>
            <w:vAlign w:val="bottom"/>
          </w:tcPr>
          <w:p>
            <w:pPr>
              <w:spacing w:after="0"/>
              <w:rPr>
                <w:sz w:val="1"/>
                <w:szCs w:val="1"/>
                <w:color w:val="auto"/>
              </w:rPr>
            </w:pPr>
          </w:p>
        </w:tc>
      </w:tr>
      <w:tr>
        <w:trPr>
          <w:trHeight w:val="189"/>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common equity - operating</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7.27</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6.14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3.35</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3.56</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3.31</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2.89</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03"/>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Return on tangible common equity - operating</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11.17 %</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11.68 %</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10.68 %</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10.58 %</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9.03 %</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11.18 %</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60"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type w:val="continuous"/>
        </w:sectPr>
      </w:pPr>
    </w:p>
    <w:bookmarkStart w:id="41" w:name="page42"/>
    <w:bookmarkEnd w:id="41"/>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(Continued) - Financial Highlights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Non-GAAP Performance Measures Reconciliation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6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3"/>
            <w:vMerge w:val="restart"/>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3"/>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auto"/>
            </w:tcBorders>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1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Second</w:t>
            </w: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Fourth</w:t>
            </w: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1"/>
                <w:szCs w:val="11"/>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00" w:type="dxa"/>
            <w:vAlign w:val="bottom"/>
            <w:gridSpan w:val="2"/>
            <w:vMerge w:val="continue"/>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2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36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assets reconciliation</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on assets (GAAP)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0.67 %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0.97 %</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0.90 %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0.68 %</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0.85 %</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0.86 %</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sale of manufactured housing loans</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0.10</w:t>
            </w:r>
          </w:p>
        </w:tc>
        <w:tc>
          <w:tcPr>
            <w:tcW w:w="1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Bond portfolio restructuring loss</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lease termination</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FinTrust (goodwill impairment)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FDIC special assessment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0.11</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Return on assets - operating</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0.93 %</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0.92 %</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0.79 %</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0.99 %</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0.95 %</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Efficiency ratio reconciliation</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Efficiency ratio (GAAP)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65.51 %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59.70 %</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60.47 %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66.33 %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61.32 %</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61.76 %</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58.06 %</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sale of manufactured housing loans</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lease termination</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0.60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FinTrust (goodwill impairment)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(0.73)</w:t>
            </w:r>
          </w:p>
        </w:tc>
        <w:tc>
          <w:tcPr>
            <w:tcW w:w="1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 special assessment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0.31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(0.99)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(0.88)</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(0.87)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(3.89)</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(0.91)</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228"/>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Efficiency ratio - operating</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57.37 %</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57.06 %</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59.15 %</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59.57 %</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57.43 %</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57.84 %</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55.07 %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Tangible common equity to tangible assets reconciliation</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to total assets (GAAP)</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12.35 %</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11.85 %</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12.45 %</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11.85 %</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9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preferred equity</w:t>
            </w: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(0.33)</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(0.34)</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(0.32)</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228"/>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8.93 %</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8.78 %</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8.49 %</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8.36 %</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8.18 %</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8.93 %</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Net Interest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quarter: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FTE net interest revenue for the third quarter of 2024 was $210 million, an increase of $6.66 million from the same period in 2023. The increase was primarily driven by increases in average rates earned on loans and taxable securities, which increased 40 basis points and 42 basis points, respectively. This was the primary driver in the increase in interest revenue on earning assets of $26.0 million.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 interest revenue increased $17.4 million compared to the third quarter of 2023. The increase in yield on average loans was attributable to rising rates, including the impact of the replacement of lower-yielding fixed rate asset runoff with higher-yielding market rate instruments, and $4.61 million in earnings from recent fair value hedges of loans, which were entered into during the fourth quarter of 2023 and the first quarter of 2024. These increases were partially offset by a decrease in the average daily balance of loans, primarily due to slow loan growth and the sale of substantially all of our manufactured housing loans at the end of August 2024, and a decrease in purchased loan discount accretion of $1.22 million compared to the third quarter of 2023. Purchased loan discount accretion for the third quarters of 2024 and 2023 totaled $4.39 million and $5.61 million, respectively.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FTE interest revenue on securities increased $8.26 million compared to the same period of last year, driven by the increase in the average interest rate earned on taxable securities which is mostly attributable to rising interest rates, the bond portfolio restructuring we completed in the fourth quarter of 2023 and the earnings from the fair value hedges of certain AFS securities. The hedges contributed $4.41 million and $3.77 million, respectively, in earnings in third quarter 2024 and 2023.</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expense for the third quarter of 2024 increased $19.3 million compared to the same quarter of 2023. The average daily balance of interest-bearing deposits increased $892 million compared to the third quarter of 2023 and the average rate paid on those deposits increased 32 basis points, resulting in a $19.4 million increase in deposit interest expense. The growth in interest-bearing deposits is attributable to organic growth and deposit migration from noninterest-bearing deposit accounts. We have continued to attract and retain deposits by remaining competitive with our interest rate offerings, which has increased our average rate paid on deposits. As a result, we have been able to reduce our utilization of higher interest rate brokered deposits, the interest expense for which decreased $1.65 million compared to the third quarter of 2023, partially offsetting the increased interest expense on customer deposits. The growth in our deposit base has also allowed us to reduce our utilization of more costly short-term borrowings and FHLB advances, as the average balances of these combined decreased $42.3 million compared to the third quarter of 2023, resulting in a reduction in interest expense on these types of borrowings.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When compared to the third quarter of 2023, our net interest rate spread increased seven basis points to 2.30% and our net interest margin increased nine basis points to 3.33%. The increase is mostly driven by the increase in interest rates on our interest-earning assets, which includes the positive impact of our fair value hedges on certain AFS securities and loans, which exceeded the increase in the rates paid on interest-bearing deposits.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FTE net interest revenue for the first nine months of 2024 and 2023 was $620 million and $617 million, respectively. Net interest revenue included $14.4 million in purchased loan accretion for both the first nine months of 2024 and 2023. Net interest revenue for the first nine months of 2024 also included an increase in earnings from the AFS securities fair value hedges of $6.07 million and $9.55 million in earnings from the loan fair value hedges.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factors influencing the quarter, the acquisition of First Miami on July 1, 2023 impacted the nine months ended September 30, 2024 as First Miami added $577 million in loans and $865 million in deposits, including $637 million of interest-bearing deposits, as of the acquisition date.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nine months of 2024, our net interest spread decreased 24 basis points and our net interest margin decreased by 11 basis points compared to the same period of 2023. The compression in net interest rate spread and net interest margin for the nine months ended September 30, 2024 compared to that of 2023 resulted primarily from the cumulative effect of rising interest rates paid on deposits over the last several quarters as compared to that of last year, combined with the increases in interest-bearing deposits from organic growth, interest-bearing deposits received from First Miami and migration from our non-interest bearing deposits. For the nine months ended September 30, 2024 and 2023, the average daily balance of noninterest bearing deposits comprised 27% and 33%, respectively, of total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Sheets and Net Interest Analysis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Three Months Ended September 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18,051,741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291,164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6.42 %</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18,055,402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273,800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6,182,164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5,933,708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25,101,056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350,180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24,895,297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324,213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1,615,468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1,568,824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27,107,773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26,847,697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5,797,845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43,401</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2.98</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5,285,513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35,613</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6,342,455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5,622,355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1,126,774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1,301,047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16,783,418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136,149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15,891,225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116,733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323,544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17,108,872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139,900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16,260,159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120,591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6,239,926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6,916,272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391,574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435,592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23,740,372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23,612,023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3,367,401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3,235,674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27,107,773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26,847,697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210,280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203,622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2.23 %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left="340" w:hanging="332"/>
        <w:spacing w:after="0" w:line="267" w:lineRule="auto"/>
        <w:tabs>
          <w:tab w:leader="none" w:pos="327"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includes a taxable-equivalent adjustment to reflect comparable interest on taxable securities and loans. The FTE adjustment totaled $1.09 million and $1.07 million, respectively, for the three months ended September 30, 2024 and 2023. The tax rate used to calculate the adjustment was 25% in 2024 and 26% in 2023, reflecting the statutory federal income tax rate and the federal tax adjusted state income tax rate.</w:t>
      </w:r>
    </w:p>
    <w:p>
      <w:pPr>
        <w:spacing w:after="0" w:line="1" w:lineRule="exact"/>
        <w:rPr>
          <w:rFonts w:ascii="Times New Roman" w:cs="Times New Roman" w:eastAsia="Times New Roman" w:hAnsi="Times New Roman"/>
          <w:sz w:val="9"/>
          <w:szCs w:val="9"/>
          <w:color w:val="auto"/>
        </w:rPr>
      </w:pPr>
    </w:p>
    <w:p>
      <w:pPr>
        <w:ind w:left="320" w:hanging="312"/>
        <w:spacing w:after="0" w:line="192" w:lineRule="auto"/>
        <w:tabs>
          <w:tab w:leader="none" w:pos="3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3" w:lineRule="exact"/>
        <w:rPr>
          <w:rFonts w:ascii="Times New Roman" w:cs="Times New Roman" w:eastAsia="Times New Roman" w:hAnsi="Times New Roman"/>
          <w:sz w:val="19"/>
          <w:szCs w:val="19"/>
          <w:color w:val="auto"/>
          <w:vertAlign w:val="superscript"/>
        </w:rPr>
      </w:pPr>
    </w:p>
    <w:p>
      <w:pPr>
        <w:ind w:left="340" w:right="20" w:hanging="332"/>
        <w:spacing w:after="0" w:line="249" w:lineRule="auto"/>
        <w:tabs>
          <w:tab w:leader="none" w:pos="336" w:val="left"/>
        </w:tabs>
        <w:numPr>
          <w:ilvl w:val="0"/>
          <w:numId w:val="14"/>
        </w:numPr>
        <w:rPr>
          <w:rFonts w:ascii="Calibri" w:cs="Calibri" w:eastAsia="Calibri" w:hAnsi="Calibri"/>
          <w:sz w:val="9"/>
          <w:szCs w:val="9"/>
          <w:color w:val="auto"/>
        </w:rPr>
      </w:pPr>
      <w:r>
        <w:rPr>
          <w:rFonts w:ascii="Times New Roman" w:cs="Times New Roman" w:eastAsia="Times New Roman" w:hAnsi="Times New Roman"/>
          <w:sz w:val="14"/>
          <w:szCs w:val="14"/>
          <w:color w:val="auto"/>
        </w:rPr>
        <w:t>Unrealized losses on AFS securities, including those related to the transfer from AFS to HTM, have been reclassified to other assets. Pretax unrealized losses of $295 million in 2024 and $430 million in 2023 are included in other assets for purposes of this presentation.</w:t>
      </w:r>
    </w:p>
    <w:p>
      <w:pPr>
        <w:ind w:left="320" w:hanging="312"/>
        <w:spacing w:after="0" w:line="192" w:lineRule="auto"/>
        <w:tabs>
          <w:tab w:leader="none" w:pos="3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interest margin is taxable equivalent net interest revenue divided by average interest-earning assets.</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44" w:name="page45"/>
    <w:bookmarkEnd w:id="44"/>
    <w:p>
      <w:pPr>
        <w:ind w:left="120"/>
        <w:spacing w:after="0"/>
        <w:rPr>
          <w:sz w:val="20"/>
          <w:szCs w:val="20"/>
          <w:color w:val="auto"/>
        </w:rPr>
      </w:pPr>
      <w:r>
        <w:rPr>
          <w:rFonts w:ascii="Times New Roman" w:cs="Times New Roman" w:eastAsia="Times New Roman" w:hAnsi="Times New Roman"/>
          <w:sz w:val="18"/>
          <w:szCs w:val="18"/>
          <w:b w:val="1"/>
          <w:bCs w:val="1"/>
          <w:color w:val="auto"/>
        </w:rPr>
        <w:t>Table 3 - Average Consolidated Balance Sheets and Net Interest Analysis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Nine Months Ended September 30,</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20320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18,187,790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866,502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6.36 %</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17,377,210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760,802</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5.85 %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5,988,368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144,363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5,982,615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120,212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6,876</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7,470</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559,786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25,099,636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1,035,997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24,237,027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901,587</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1,613,118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1,518,503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27,101,925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26,166,027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5,913,566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133,522</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80,809</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6,092,649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160,883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5,349,265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105,430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1,159,982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1,341,033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3,535,343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106,199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2,936,873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280,293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9,608</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16,751,883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404,395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14,798,678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263,811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tcPr>
          <w:p>
            <w:pPr>
              <w:spacing w:after="0"/>
              <w:rPr>
                <w:sz w:val="17"/>
                <w:szCs w:val="17"/>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324,414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11,339</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326,420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17,078,303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415,744</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15,388,654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284,097</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6,306,919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7,226,096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393,048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23,779,545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23,007,798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3,322,380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3,158,229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27,101,925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26,166,027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620,253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617,490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ind w:left="560"/>
              <w:spacing w:after="0"/>
              <w:rPr>
                <w:sz w:val="20"/>
                <w:szCs w:val="20"/>
                <w:color w:val="auto"/>
              </w:rPr>
            </w:pPr>
            <w:r>
              <w:rPr>
                <w:rFonts w:ascii="Times New Roman" w:cs="Times New Roman" w:eastAsia="Times New Roman" w:hAnsi="Times New Roman"/>
                <w:sz w:val="16"/>
                <w:szCs w:val="16"/>
                <w:color w:val="auto"/>
              </w:rPr>
              <w:t>2.50 %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3.41 %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left="280" w:hanging="280"/>
        <w:spacing w:after="0" w:line="267" w:lineRule="auto"/>
        <w:tabs>
          <w:tab w:leader="none" w:pos="267"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includes a taxable-equivalent adjustment to reflect comparable interest on taxable securities and loans. The FTE adjustment totaled $3.22 million and $3.18 million, respectively, for the nine months ended September 30, 2024 and 2023. The tax rate used to calculate the adjustment was 25% in 2024 and 26% in 2023, reflecting the statutory federal income tax rate and the federal tax adjusted state income tax rate.</w:t>
      </w:r>
    </w:p>
    <w:p>
      <w:pPr>
        <w:spacing w:after="0" w:line="1" w:lineRule="exact"/>
        <w:rPr>
          <w:rFonts w:ascii="Times New Roman" w:cs="Times New Roman" w:eastAsia="Times New Roman" w:hAnsi="Times New Roman"/>
          <w:sz w:val="9"/>
          <w:szCs w:val="9"/>
          <w:color w:val="auto"/>
        </w:rPr>
      </w:pPr>
    </w:p>
    <w:p>
      <w:pPr>
        <w:ind w:left="260" w:hanging="260"/>
        <w:spacing w:after="0" w:line="192" w:lineRule="auto"/>
        <w:tabs>
          <w:tab w:leader="none" w:pos="2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4" w:lineRule="exact"/>
        <w:rPr>
          <w:sz w:val="20"/>
          <w:szCs w:val="20"/>
          <w:color w:val="auto"/>
        </w:rPr>
      </w:pPr>
    </w:p>
    <w:p>
      <w:pPr>
        <w:ind w:left="280" w:hanging="258"/>
        <w:spacing w:after="0" w:line="244" w:lineRule="auto"/>
        <w:tabs>
          <w:tab w:leader="none" w:pos="276" w:val="left"/>
        </w:tabs>
        <w:numPr>
          <w:ilvl w:val="0"/>
          <w:numId w:val="16"/>
        </w:numPr>
        <w:rPr>
          <w:rFonts w:ascii="Calibri" w:cs="Calibri" w:eastAsia="Calibri" w:hAnsi="Calibri"/>
          <w:sz w:val="9"/>
          <w:szCs w:val="9"/>
          <w:color w:val="auto"/>
        </w:rPr>
      </w:pPr>
      <w:r>
        <w:rPr>
          <w:rFonts w:ascii="Times New Roman" w:cs="Times New Roman" w:eastAsia="Times New Roman" w:hAnsi="Times New Roman"/>
          <w:sz w:val="14"/>
          <w:szCs w:val="14"/>
          <w:color w:val="auto"/>
        </w:rPr>
        <w:t>Unrealized gains and losses on AFS securities, including those related to the transfer from AFS to HTM, have been reclassified to other assets. Pretax unrealized losses of $320 million and $413 million in 2024 and 2023, respectively, are included in other assets for purposes of this presentation.</w:t>
      </w:r>
    </w:p>
    <w:p>
      <w:pPr>
        <w:ind w:left="260" w:hanging="260"/>
        <w:spacing w:after="0" w:line="200" w:lineRule="auto"/>
        <w:tabs>
          <w:tab w:leader="none" w:pos="2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interest margin is taxable equivalent net-interest revenue divided by average interest-earning assets.</w:t>
      </w:r>
    </w:p>
    <w:p>
      <w:pPr>
        <w:sectPr>
          <w:pgSz w:w="11900" w:h="16838" w:orient="portrait"/>
          <w:cols w:equalWidth="0" w:num="1">
            <w:col w:w="11340"/>
          </w:cols>
          <w:pgMar w:left="2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968" w:right="339" w:bottom="1440" w:gutter="0" w:footer="0" w:header="0"/>
          <w:type w:val="continuous"/>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4 - Change in Interest Revenue and Expense on a FTE Basis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7"/>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r>
      <w:tr>
        <w:trPr>
          <w:trHeight w:val="211"/>
        </w:trPr>
        <w:tc>
          <w:tcPr>
            <w:tcW w:w="4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11"/>
          </w:tcPr>
          <w:p>
            <w:pPr>
              <w:ind w:left="80"/>
              <w:spacing w:after="0"/>
              <w:rPr>
                <w:sz w:val="20"/>
                <w:szCs w:val="20"/>
                <w:color w:val="auto"/>
              </w:rPr>
            </w:pPr>
            <w:r>
              <w:rPr>
                <w:rFonts w:ascii="Times New Roman" w:cs="Times New Roman" w:eastAsia="Times New Roman" w:hAnsi="Times New Roman"/>
                <w:sz w:val="16"/>
                <w:szCs w:val="16"/>
                <w:b w:val="1"/>
                <w:bCs w:val="1"/>
                <w:color w:val="auto"/>
              </w:rPr>
              <w:t>Compared to 2023 Increase (Decrease) Due to Changes in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8"/>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2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4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(FTE)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105,700</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24,151</w:t>
            </w: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securities (FTE)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5,153</w:t>
            </w:r>
          </w:p>
        </w:tc>
      </w:tr>
      <w:tr>
        <w:trPr>
          <w:trHeight w:val="21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38,263</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134,410</w:t>
            </w:r>
          </w:p>
        </w:tc>
      </w:tr>
      <w:tr>
        <w:trPr>
          <w:trHeight w:val="253"/>
        </w:trPr>
        <w:tc>
          <w:tcPr>
            <w:tcW w:w="4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NOW and interest-bearing demand accounts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52,713</w:t>
            </w: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accounts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55,453</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Savings deposits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40,343</w:t>
            </w: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Brokered time deposits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(7,882)</w:t>
            </w:r>
          </w:p>
        </w:tc>
      </w:tr>
      <w:tr>
        <w:trPr>
          <w:trHeight w:val="20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42,177</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140,584</w:t>
            </w:r>
          </w:p>
        </w:tc>
      </w:tr>
      <w:tr>
        <w:trPr>
          <w:trHeight w:val="253"/>
        </w:trPr>
        <w:tc>
          <w:tcPr>
            <w:tcW w:w="4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funds purchased &amp; other borrowings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advances</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(5,761)</w:t>
            </w: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7"/>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borrowed funds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(8,937)</w:t>
            </w:r>
          </w:p>
        </w:tc>
      </w:tr>
      <w:tr>
        <w:trPr>
          <w:trHeight w:val="21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32,479</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99,168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131,647</w:t>
            </w:r>
          </w:p>
        </w:tc>
      </w:tr>
      <w:tr>
        <w:trPr>
          <w:trHeight w:val="253"/>
        </w:trPr>
        <w:tc>
          <w:tcPr>
            <w:tcW w:w="4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1"/>
        </w:trPr>
        <w:tc>
          <w:tcPr>
            <w:tcW w:w="4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Change in net interest revenue (FTE)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represents management’s estimate of life of loan credit losses in the loan portfolio and unfunded loan commitments. Management’s estimate of credit losses is determined using our CECL model that relies on reasonable and supportable forecasts and historical loss information to determine the balance of the ACL and resulting provision for credit losses. The provision for credit losses recorded in each period was the amount determined by management such that the total ACL reflected the appropriate balance of expected life of loan losses.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a provision for credit losses of $14.4 million and $39.6 million, respectively, for the three and nine months ended September 30, 2024, compared to $30.3 million and $74.8 million, respectively, for the same periods of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 for the three and nine months ended September 30, 2024 included an additional allowance of approximately $9.89 million for loans to borrowers in counties in western North Carolina that were most severely impacted by Hurricane Helene in late September.</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provision for the three and nine months ended September 30, 2023 provided for a $19.0 million loss related to one relationship with a wholesale oil distributor and the initial provision for credit losses on First Miami non-PCD loans and unfunded commitments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$4.01 million. Additionally, the provision recorded for the first nine months of 2023 also included the initial provision for credit losses on Progress non-PCD loans and unfunded commitments of $10.4 million.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shows the main components of provision expense for the periods indicated. The decrease in other provision expense for the three and nine months ended September 30, 2024 compared to 2023 was mostly attributable to a more favorable economic forecast, slower loan growth and a decline in unfunded commitments.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5 - Provision for Credit Losses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220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220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Components of provision expense: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6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related non-PCD loan and unfunded commitment provision</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14,452</w:t>
            </w:r>
          </w:p>
        </w:tc>
      </w:tr>
      <w:tr>
        <w:trPr>
          <w:trHeight w:val="219"/>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established for Hurricane Helene impacted areas of North Carolina</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Individually significant loan losses during period</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19,026</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(i.e., loan growth, net charge-off coverage and change in forecast)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41,326</w:t>
            </w:r>
          </w:p>
        </w:tc>
      </w:tr>
      <w:tr>
        <w:trPr>
          <w:trHeight w:val="212"/>
        </w:trPr>
        <w:tc>
          <w:tcPr>
            <w:tcW w:w="6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provision expense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30,268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39,562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74,804</w:t>
            </w:r>
          </w:p>
        </w:tc>
      </w:tr>
      <w:tr>
        <w:trPr>
          <w:trHeight w:val="20"/>
        </w:trPr>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discussion on credit quality and the ACL is included in the “Asset Quality and Risk Elements” section of MD&amp;A in this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periods indicated.</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6 - Noninterest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820" w:type="dxa"/>
            <w:vAlign w:val="bottom"/>
            <w:gridSpan w:val="4"/>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6"/>
                <w:szCs w:val="16"/>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6"/>
                <w:szCs w:val="16"/>
                <w:color w:val="auto"/>
              </w:rPr>
            </w:pPr>
          </w:p>
        </w:tc>
        <w:tc>
          <w:tcPr>
            <w:tcW w:w="1740" w:type="dxa"/>
            <w:vAlign w:val="bottom"/>
            <w:gridSpan w:val="3"/>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82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7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9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Overdraft fees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ATM and debit card fees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service charges and fees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7"/>
        </w:trPr>
        <w:tc>
          <w:tcPr>
            <w:tcW w:w="2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service charges and fees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 gains and related fees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Wealth management fees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sales of other loans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Lending and loan servicing fees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losses, net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derivative fees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investment gains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BOLI</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management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7"/>
        </w:trPr>
        <w:tc>
          <w:tcPr>
            <w:tcW w:w="2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noninterest income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6,554</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28,812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9,313</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(23,886)</w:t>
            </w:r>
          </w:p>
        </w:tc>
        <w:tc>
          <w:tcPr>
            <w:tcW w:w="10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(14,339)</w:t>
            </w:r>
          </w:p>
        </w:tc>
        <w:tc>
          <w:tcPr>
            <w:tcW w:w="10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Overdraft fees for the third quarter and first nine months of 2024 increased compared to the same periods of 2023, driven by higher overdraft transaction volume.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 gains and related fees consist primarily of fees earned on mortgage originations, gains on the sale of mortgages in the secondary market, mortgage derivative hedging gains and losses and fair value adjustments to our mortgage servicing asset. The change in mortgage income is strongly tied to the interest rate environment and industry conditions. We recognize the majority of fees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on mortgages when customers enter into mortgage rate lock commitments, making our mortgage rate lock volume a significant driver of mortgage gains in any given period.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mortgage loan gains and related fees for the three months ended September 30, 2024 was primarily a result of negative fair value adjustments to our mortgage servicing asset partially offset by higher gains on mortgage sales. During the third quarter of 2024, we recorded a negative fair value adjustment, including decay, to the mortgage servicing rights asset of $3.07 million, compared to an $214,000 positive fair value adjustment, including decay, during the third quarter of 2023. During the nine months ended September 30, 2024, mortgage loan gains and related fees increased 3% compared to the same period of 2023 as higher gains on sales more than offset higher negative fair value adjustments recorded on our mortgage servicing asset.</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7 - Mortgage Loan Metrics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5"/>
          </w:tcPr>
          <w:p>
            <w:pPr>
              <w:jc w:val="center"/>
              <w:ind w:right="60"/>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3"/>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1440" w:type="dxa"/>
            <w:vAlign w:val="bottom"/>
            <w:tcBorders>
              <w:top w:val="single" w:sz="8" w:color="auto"/>
            </w:tcBorders>
          </w:tcPr>
          <w:p>
            <w:pPr>
              <w:spacing w:after="0"/>
              <w:rPr>
                <w:sz w:val="13"/>
                <w:szCs w:val="13"/>
                <w:color w:val="auto"/>
              </w:rPr>
            </w:pPr>
          </w:p>
        </w:tc>
      </w:tr>
      <w:tr>
        <w:trPr>
          <w:trHeight w:val="214"/>
        </w:trPr>
        <w:tc>
          <w:tcPr>
            <w:tcW w:w="2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tcBorders>
              <w:bottom w:val="single" w:sz="8" w:color="auto"/>
            </w:tcBorders>
          </w:tcPr>
          <w:p>
            <w:pPr>
              <w:spacing w:after="0"/>
              <w:rPr>
                <w:sz w:val="18"/>
                <w:szCs w:val="18"/>
                <w:color w:val="auto"/>
              </w:rPr>
            </w:pPr>
          </w:p>
        </w:tc>
      </w:tr>
      <w:tr>
        <w:trPr>
          <w:trHeight w:val="209"/>
        </w:trPr>
        <w:tc>
          <w:tcPr>
            <w:tcW w:w="2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rate locks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860,793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943,886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mortgage rate locks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1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2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 sold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442,282</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329,444</w:t>
            </w:r>
          </w:p>
        </w:tc>
        <w:tc>
          <w:tcPr>
            <w:tcW w:w="1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mortgage loans sold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 originated: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551,755</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610,036</w:t>
            </w:r>
          </w:p>
        </w:tc>
        <w:tc>
          <w:tcPr>
            <w:tcW w:w="1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Refinances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89,339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2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238,656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624,492</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699,375</w:t>
            </w:r>
          </w:p>
        </w:tc>
        <w:tc>
          <w:tcPr>
            <w:tcW w:w="1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183"/>
        </w:trPr>
        <w:tc>
          <w:tcPr>
            <w:tcW w:w="2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mortgage loans originated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wealth management fees for the nine months ended September 30, 2024 is mostly attributable to the addition of First Miami’s assets under management starting July 1, 2023. Our total assets under management and advisement as of September 30, 2024 totaled $5.59 billion, $2.46 billion of which were attributable to FinTrust. Subsequent to the end of the third quarter of 2024, on October 1, 2024, we completed the sale of FinTrust.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SBA/USDA lending strategy includes selling a portion of the loan production each quarter. The amount of loans sold depends on several variables including the current lending environment, balance sheet management activities and market pricing. From time to time, we also sell certain equipment financing receivables. In addition, during the third quarter of 2024, we sold the substantially all of our manufactured housing loan portfolio, the details of which are included in the table below. This portfolio was part of the Reliant Bancorp, Inc. acquisition, which closed in January 2022. The portfolio had been in runoff mode following our decision to cease originations in 2023. The sale reduced risk and allowed us to redirect resources to activities that better align with our strategic objectives.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loans sold and the corresponding gains and losses recognized on the sales for the periods indicated.</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8 - Other Loan Sales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gridSpan w:val="9"/>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160" w:type="dxa"/>
            <w:vAlign w:val="bottom"/>
            <w:tcBorders>
              <w:top w:val="single" w:sz="8" w:color="auto"/>
              <w:bottom w:val="single" w:sz="8" w:color="auto"/>
            </w:tcBorders>
            <w:gridSpan w:val="9"/>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20" w:type="dxa"/>
            <w:vAlign w:val="bottom"/>
            <w:tcBorders>
              <w:top w:val="single" w:sz="8" w:color="auto"/>
              <w:bottom w:val="single" w:sz="8" w:color="auto"/>
            </w:tcBorders>
          </w:tcPr>
          <w:p>
            <w:pPr>
              <w:spacing w:after="0"/>
              <w:rPr>
                <w:sz w:val="18"/>
                <w:szCs w:val="18"/>
                <w:color w:val="auto"/>
              </w:rPr>
            </w:pPr>
          </w:p>
        </w:tc>
      </w:tr>
      <w:tr>
        <w:trPr>
          <w:trHeight w:val="208"/>
        </w:trPr>
        <w:tc>
          <w:tcPr>
            <w:tcW w:w="3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r>
      <w:tr>
        <w:trPr>
          <w:trHeight w:val="210"/>
        </w:trPr>
        <w:tc>
          <w:tcPr>
            <w:tcW w:w="3140" w:type="dxa"/>
            <w:vAlign w:val="bottom"/>
          </w:tcPr>
          <w:p>
            <w:pPr>
              <w:spacing w:after="0"/>
              <w:rPr>
                <w:sz w:val="18"/>
                <w:szCs w:val="18"/>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20" w:type="dxa"/>
            <w:vAlign w:val="bottom"/>
          </w:tcPr>
          <w:p>
            <w:pPr>
              <w:spacing w:after="0"/>
              <w:rPr>
                <w:sz w:val="18"/>
                <w:szCs w:val="18"/>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00" w:type="dxa"/>
            <w:vAlign w:val="bottom"/>
          </w:tcPr>
          <w:p>
            <w:pPr>
              <w:spacing w:after="0"/>
              <w:rPr>
                <w:sz w:val="18"/>
                <w:szCs w:val="18"/>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20" w:type="dxa"/>
            <w:vAlign w:val="bottom"/>
          </w:tcPr>
          <w:p>
            <w:pPr>
              <w:spacing w:after="0"/>
              <w:rPr>
                <w:sz w:val="18"/>
                <w:szCs w:val="18"/>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Gain (Loss)</w:t>
            </w:r>
          </w:p>
        </w:tc>
      </w:tr>
      <w:tr>
        <w:trPr>
          <w:trHeight w:val="21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 loan sale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302,870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302,870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4,635</w:t>
            </w: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76,945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w:t>
            </w:r>
          </w:p>
        </w:tc>
      </w:tr>
      <w:tr>
        <w:trPr>
          <w:trHeight w:val="212"/>
        </w:trPr>
        <w:tc>
          <w:tcPr>
            <w:tcW w:w="3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(25,700)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64,052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399,790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(22,867)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147,168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6,909</w:t>
            </w:r>
          </w:p>
        </w:tc>
      </w:tr>
      <w:tr>
        <w:trPr>
          <w:trHeight w:val="21"/>
        </w:trPr>
        <w:tc>
          <w:tcPr>
            <w:tcW w:w="3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Lending and loan servicing fees for the third quarter of 2024 increased compared to 2023 due a more favorable negative fair value adjustment on our SBA/USDA servicing asset. The increase for the nine months ended September 30, 2024 compared to the same period of 2023 was attributable to higher equipment finance fee income.</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Significant changes in other noninterest income include:</w:t>
      </w:r>
    </w:p>
    <w:p>
      <w:pPr>
        <w:spacing w:after="0" w:line="252" w:lineRule="exact"/>
        <w:rPr>
          <w:sz w:val="20"/>
          <w:szCs w:val="20"/>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2024, customer derivative fee income was down compared to the same period of last year mostly due to slower loan growth and low demand for the product due to the high interest rate environment. However, during the third quarter of 2024, fees increased compared to the same period of 2023, which was mostly driven by the Federal Reserve’s 50 basis point rate cut in September 2024, which increased demand for customer derivatives.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and first nine months of 2024, we recorded net unrealized gains on other investments, including deferred compensation plan assets, fintech and other equity securities. During the same periods of 2023, we recorded net unrealized gains on deferred compensation plan assets and fintech and limited partnership investments, however these were offset by unrealized losses on equity securities.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BOLI income for the nine months ended September 30, 2024 compared to the corresponding period of 2023 is primarily a result of death benefits realized during the first and third quarters of 2024.</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treasury management income is a result of growth in customer base enrolled in this product, which is reflective of our continued investment in this area.</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noninterest income for the third quarter of 2024 increased compared to the same period of 2023, primarily due to the change in collateral charges related to our derivative positions of $912,000 and due to the third quarter of 2023 including a $1.00 million loss on the disposal of two of our Tennessee branches. For the nine months ended September 30, 2024, the increase in other noninterest income was mostly driven by a lease termination gain of $2.40 million, which resulted from exiting one of our corporate offices. The nine months ended September 30, 2023 includes the gain on sale of a commercial insurance book of business of $1.59 million and a $1.00 million loss on the Tennessee branch sale.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expenses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9 - Noninterest Expenses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2040" w:type="dxa"/>
            <w:vAlign w:val="bottom"/>
            <w:gridSpan w:val="4"/>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0" w:type="dxa"/>
            <w:vAlign w:val="bottom"/>
          </w:tcPr>
          <w:p>
            <w:pPr>
              <w:spacing w:after="0"/>
              <w:rPr>
                <w:sz w:val="16"/>
                <w:szCs w:val="16"/>
                <w:color w:val="auto"/>
              </w:rPr>
            </w:pPr>
          </w:p>
        </w:tc>
        <w:tc>
          <w:tcPr>
            <w:tcW w:w="18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6"/>
                <w:szCs w:val="16"/>
                <w:color w:val="auto"/>
              </w:rPr>
            </w:pPr>
          </w:p>
        </w:tc>
        <w:tc>
          <w:tcPr>
            <w:tcW w:w="1940" w:type="dxa"/>
            <w:vAlign w:val="bottom"/>
            <w:gridSpan w:val="3"/>
            <w:vMerge w:val="restart"/>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04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Communications and equipment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w:t>
            </w:r>
          </w:p>
        </w:tc>
        <w:tc>
          <w:tcPr>
            <w:tcW w:w="1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 and public relations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Postage, printing and supplies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Lending and loan servicing expense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1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Outside services - electronic banking</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65"/>
        </w:trPr>
        <w:tc>
          <w:tcPr>
            <w:tcW w:w="2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FDIC assessments and other regulatory</w:t>
            </w: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14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w:t>
            </w:r>
          </w:p>
        </w:tc>
        <w:tc>
          <w:tcPr>
            <w:tcW w:w="116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(6,992)</w:t>
            </w:r>
          </w:p>
        </w:tc>
        <w:tc>
          <w:tcPr>
            <w:tcW w:w="11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(15,024)</w:t>
            </w: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14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116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1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18,425</w:t>
            </w:r>
          </w:p>
        </w:tc>
        <w:tc>
          <w:tcPr>
            <w:tcW w:w="11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salaries and employee benefits for the third quarter of 2024 compared the same period of 2023 was primarily driven by an increase in group insurance costs, an increase in accrued bonus expense, higher commission expense and a decrease in deferred direct loan origination costs attributable to slower loan growth. These increases were partially offset by reductions in salaries expense and incentive expense. Full time equivalent headcount totaled 3,010 at September 30, 2024, compared to 3,151 at September 30,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salaries and benefits expense for the nine months ended September 30, 2024 compared to the same period of 2023 was driven by several factors, including increases in salaries, bonus expense, temporary personnel expense, group insurance costs, deferred compensation expense and a decrease in deferred direct loan origination costs. These increases were partly offset by a decrease in</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incentive expense. The increase in salaries was driven both by the addition of First Miami employees starting in third quarter of 2023 and annual merit increases that went into effect on April 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Communications and equipment expense increased primarily due to incremental software contract costs and the growth in our network. We also recorded higher depreciation expense related to software and equipment placed into service since the third quarter of 2023, which includes technology equipment for our new Greenville headquarters building, the implementation of a new syndicated loan platform, and new signage associated with our rebranding.</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occupancy expense increase for the third quarter and first nine months of 2024 was attributable to higher repairs and maintenance costs and depreciation expense, partially offset by a reduction in rent expense. The first nine months of 2024 also included an additional six months of expense related to branches acquired in the First Miami transaction compared to the same period of 2023.</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FDIC assessments and other regulatory charges for the first nine months of 2024 compared to that of 2023 was driven by growth in our FDIC assessment base and $1.74 million in additional expense related to the FDIC special assessment. The special assessment was formally announced in the fourth quarter of 2023 as part of the FDIC’s efforts to recover losses resulting from the bank failures that occurred in early 2023. We accrued $10.0 million of expense related to the special assessment in the fourth quarter of 2023 based on the estimate at that time and then recorded additional expense in 2024 when the actual assessment notice was received.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amortization of intangibles is attributable both to the discontinuation of amortization on the FinTrust customer list intangible, which was classified as held-for-sale as of September 30, 2024, and the aging of our core deposit intangibles as amortization expense of these intangibles tapers over the life of the asset.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Merger-related and other charges for the third quarter and first nine months of 2024 primarily consisted of costs associated with our rebranding, branch closure costs and expenses related to the pending sale of FinTrust. Merger-related and other charges for the same periods of 2023 were primarily related to the acquisitions of Progress and First Miami, branch closure costs and our rebranding.</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noninterest expense for the nine months ended September 30, 2024 was primarily driven by the goodwill write-down of $5.10 million recorded in the second quarter related to the pending sale of FinTrust. The write-down reflects the reduction in book value of FinTrust to the estimated fair value of the sales proceeds, of which a portion is contingent upon achieving certain revenue growth targets. The sale of FinTrust was completed subsequent to the end of the third quarter on October 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at September 30, 2024 and December 31, 2023 were $27.4 billion and $27.3 billion, respectively. Total liabilities at September 30, 2024 and December 31, 2023 were $24.0 billion and $24.0 billion, respectively. Shareholders’ equity totaled $3.41 billion and $3.26 billion at September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loan portfolio, which as of September 30, 2024 totaled $17.9 billion, is our largest category of interest-earning assets. The following table presents a summary of the loan portfolio by loan type as of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10 - Loan Portfolio Composition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43500" cy="28803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a disaggregation of our Income Producing CRE portfolio as of September 30, 2024. Total loans within this category totaled $4.26 billion at September 30, 2024. Our office income producing CRE portfolio totaled $762 million as of September 30, 2024. The average loan within this category was $1.37 million and the largest loan was $15.9 million. Senior care loans, which we no longer originate, totaled $268 million at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11 - CRE - Income Producing Portfolio Composition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5715</wp:posOffset>
            </wp:positionV>
            <wp:extent cx="6172200" cy="27946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2200" cy="279463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reviews of special mention and substandard performing and nonperforming loans,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ACL reflects our assessment of the life of loan expected credit losses in the loan portfolio and unfunded loan commitments. This assessment involves uncertainty and judgment and is subject to change in future periods. The amount of any changes could be significant if our assessment of loan quality or collateral values changes substantially with respect to one or more loan relationships or portfolios. The allocation of the ACL is based on reasonable and supportable forecasts, historical data, subjective judgment and estimates and therefore, is not necessarily indicative of the specific amounts or loan categories in which charge-offs may ultimately occur. See the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section of MD&amp;A in our 2023 10-K for additional information on the ACL.</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total ACL for loans at September 30, 2024 decreased by $2.78 million, or 1%, compared to December 31, 2023 and the ACL for loans as a percentage of total loans remained constant. During the third quarter of 2024, we established an additional allowance of $9.89 million related to expected loan losses in nine counties in western North Carolina severely affected by Hurricane Helene, of which over half was related to the residential mortgage portfolio. Additionally, there was an increase in the ACL for equipment financing loans driven mostly by loan growth and recent charge-off history. These increases were mostly offset by the decrease in ACL for manufactured housing loans as we sold substantially all of that portfolio during the third quarter of 2024. Additionally, the ACL for income producing CRE loans decreased due to slow loan growth combined with an improved outlook for these loans after the recent federal funds interest rate cut in September of 2024, which positively affected the CRE Price Index. Our ACL for unfunded commitments decreased mostly due to a decrease in our construction commitments.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12 - Allocation of ACL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7"/>
        </w:trPr>
        <w:tc>
          <w:tcPr>
            <w:tcW w:w="53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 each</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 each</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ACL</w:t>
            </w:r>
          </w:p>
        </w:tc>
        <w:tc>
          <w:tcPr>
            <w:tcW w:w="10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category to total</w:t>
            </w: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ACL</w:t>
            </w: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category to total</w:t>
            </w:r>
          </w:p>
        </w:tc>
        <w:tc>
          <w:tcPr>
            <w:tcW w:w="0" w:type="dxa"/>
            <w:vAlign w:val="bottom"/>
          </w:tcPr>
          <w:p>
            <w:pPr>
              <w:spacing w:after="0"/>
              <w:rPr>
                <w:sz w:val="1"/>
                <w:szCs w:val="1"/>
                <w:color w:val="auto"/>
              </w:rPr>
            </w:pPr>
          </w:p>
        </w:tc>
      </w:tr>
      <w:tr>
        <w:trPr>
          <w:trHeight w:val="214"/>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21,235</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23,542</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39,476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47,755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34,699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30,890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16,033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21,741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45,866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33,383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157,309</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157,311</w:t>
            </w:r>
          </w:p>
        </w:tc>
        <w:tc>
          <w:tcPr>
            <w:tcW w:w="12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34,303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28,219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10,765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9,647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1,486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1,833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10,339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897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ACL - loans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205,290</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208,071</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ACL - unfunded commitments</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39"/>
              <w:spacing w:after="0" w:line="181" w:lineRule="exact"/>
              <w:rPr>
                <w:sz w:val="20"/>
                <w:szCs w:val="20"/>
                <w:color w:val="auto"/>
              </w:rPr>
            </w:pPr>
            <w:r>
              <w:rPr>
                <w:rFonts w:ascii="Times New Roman" w:cs="Times New Roman" w:eastAsia="Times New Roman" w:hAnsi="Times New Roman"/>
                <w:sz w:val="16"/>
                <w:szCs w:val="16"/>
                <w:color w:val="auto"/>
              </w:rPr>
              <w:t>10,227</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9"/>
              <w:spacing w:after="0" w:line="181" w:lineRule="exact"/>
              <w:rPr>
                <w:sz w:val="20"/>
                <w:szCs w:val="20"/>
                <w:color w:val="auto"/>
              </w:rPr>
            </w:pPr>
            <w:r>
              <w:rPr>
                <w:rFonts w:ascii="Times New Roman" w:cs="Times New Roman" w:eastAsia="Times New Roman" w:hAnsi="Times New Roman"/>
                <w:sz w:val="16"/>
                <w:szCs w:val="16"/>
                <w:color w:val="auto"/>
              </w:rPr>
              <w:t>16,057</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215,517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224,128</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ACL - loans as a percentage of total loans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The following table presents a summary of net charge-offs to average loans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13 - Net Charge-offs to Average Loans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314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4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charge-offs (recoveries)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8"/>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CRE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467</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producing CRE</w:t>
            </w:r>
          </w:p>
        </w:tc>
        <w:tc>
          <w:tcPr>
            <w:tcW w:w="2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6,501</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20,513</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2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12,237</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2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(259)</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equity</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(2,810)</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949</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2,416</w:t>
            </w:r>
          </w:p>
        </w:tc>
      </w:tr>
      <w:tr>
        <w:trPr>
          <w:trHeight w:val="213"/>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2,111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2,298</w:t>
            </w: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net charge-offs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23,651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26,638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42,121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loans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Owner occupied CRE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3,305,391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3,240,648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3,290,993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3,136,798</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producing CRE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4,152,421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3,956,141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4,163,423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3,719,663</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2,302,556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2,563,692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2,348,293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2,497,002</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1,896,616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1,820,224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1,918,449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1,785,226</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2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1,590,140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1,544,284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1,561,859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1,494,726</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3,260,024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3,017,081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3,236,507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2,832,109</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Home equity</w:t>
            </w:r>
          </w:p>
        </w:tc>
        <w:tc>
          <w:tcPr>
            <w:tcW w:w="2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998,335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947,027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977,571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932,424</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199,850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437,235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237,167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466,201</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2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161,246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346,518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271,492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337,578</w:t>
            </w:r>
          </w:p>
        </w:tc>
      </w:tr>
      <w:tr>
        <w:trPr>
          <w:trHeight w:val="216"/>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185,162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182,552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182,036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175,483</w:t>
            </w:r>
          </w:p>
        </w:tc>
      </w:tr>
      <w:tr>
        <w:trPr>
          <w:trHeight w:val="212"/>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average loans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18,051,741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18,055,402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18,187,790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17,377,210</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6"/>
        </w:trPr>
        <w:tc>
          <w:tcPr>
            <w:tcW w:w="42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Net charge-offs to average loans </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CRE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0.07 %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0.02 %</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producing CRE</w:t>
            </w:r>
          </w:p>
        </w:tc>
        <w:tc>
          <w:tcPr>
            <w:tcW w:w="2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0.23</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1.10</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2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1.09</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28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 equity</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(0.40)</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0.27</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0.96</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1.75</w:t>
            </w:r>
          </w:p>
        </w:tc>
      </w:tr>
      <w:tr>
        <w:trPr>
          <w:trHeight w:val="219"/>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0.32</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Annualized.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charge-offs for the third quarter of 2024 compared to the same period of 2023 decreased by $2.99 million. The third quarter and first nine months of 2024 include a $11.0 million charge off related to the manufactured housing loan sale that occurred during the period. The third quarter and first nine months of 2023 include a $19.0 million charge-off related to one relationship with a wholesale oil distributor that was part of a $218 million nationally syndicated credit, in which United’s participation was 8.7%.</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net charge-offs of $6.05 million for the nine months ended September 30, 2024 compared to the same period of 2023 was primarily related to increased charge-offs in the equipment finance portfolio and the charge offs in the third quarter of 2024 related to the sale of the manufactured housing loans. The increase in equipment finance charge-offs is partly attributable to charge-offs related to loans to borrowers in the long-haul trucking industry. The long-haul trucking equipment segment, comprising a small portion of the portfolio, is deemed not representative of the entire equipment financing portfolio. The increase in manufactured</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housing loan charge offs is due to recognition of the portion of the loss from the sale of that portfolio that results from estimated credit losses. Commercial &amp; industrial charge offs are down due to the large charge off taken in the third quarter of 2023 mentioned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summarizes NPAs for the periods indicated. NPAs include nonaccrual loans, OREO and repossessed assets. The increase since December 31, 2023 was primarily driven by net increases in commercial construction, commercial and industrial, and residential mortgage nonaccrual loans. Notably, one commercial and industrial borrower and one commercial construction borrower with loans of $4.95 million and $4.03 million, respectively, moved to nonaccrual status during 2024. Partially offsetting these increases, manufactured housing nonaccrual loans decreased $14.1 million compared to December 31, 2023 as a result of the sale of substantially all of this portfolio during the third quarter of 2024.</w:t>
      </w: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14 - NPAs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2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40" w:type="dxa"/>
            <w:vAlign w:val="bottom"/>
            <w:tcBorders>
              <w:bottom w:val="single" w:sz="8" w:color="CCEEFF"/>
            </w:tcBorders>
          </w:tcPr>
          <w:p>
            <w:pPr>
              <w:spacing w:after="0"/>
              <w:rPr>
                <w:sz w:val="18"/>
                <w:szCs w:val="18"/>
                <w:color w:val="auto"/>
              </w:rPr>
            </w:pPr>
          </w:p>
        </w:tc>
      </w:tr>
      <w:tr>
        <w:trPr>
          <w:trHeight w:val="211"/>
        </w:trPr>
        <w:tc>
          <w:tcPr>
            <w:tcW w:w="66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Nonaccrual loans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112,380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91,687</w:t>
            </w:r>
          </w:p>
        </w:tc>
        <w:tc>
          <w:tcPr>
            <w:tcW w:w="1340" w:type="dxa"/>
            <w:vAlign w:val="bottom"/>
            <w:shd w:val="clear" w:color="auto" w:fill="CCEEFF"/>
          </w:tcPr>
          <w:p>
            <w:pPr>
              <w:spacing w:after="0"/>
              <w:rPr>
                <w:sz w:val="18"/>
                <w:szCs w:val="18"/>
                <w:color w:val="auto"/>
              </w:rPr>
            </w:pPr>
          </w:p>
        </w:tc>
      </w:tr>
      <w:tr>
        <w:trPr>
          <w:trHeight w:val="213"/>
        </w:trPr>
        <w:tc>
          <w:tcPr>
            <w:tcW w:w="6660" w:type="dxa"/>
            <w:vAlign w:val="bottom"/>
            <w:tcBorders>
              <w:bottom w:val="single" w:sz="8" w:color="CCEEFF"/>
            </w:tcBorders>
          </w:tcPr>
          <w:p>
            <w:pPr>
              <w:ind w:left="1340"/>
              <w:spacing w:after="0"/>
              <w:rPr>
                <w:sz w:val="20"/>
                <w:szCs w:val="20"/>
                <w:color w:val="auto"/>
              </w:rPr>
            </w:pPr>
            <w:r>
              <w:rPr>
                <w:rFonts w:ascii="Times New Roman" w:cs="Times New Roman" w:eastAsia="Times New Roman" w:hAnsi="Times New Roman"/>
                <w:sz w:val="16"/>
                <w:szCs w:val="16"/>
                <w:color w:val="auto"/>
              </w:rPr>
              <w:t>OREO and repossessed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2,580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1,190</w:t>
            </w:r>
          </w:p>
        </w:tc>
        <w:tc>
          <w:tcPr>
            <w:tcW w:w="1340" w:type="dxa"/>
            <w:vAlign w:val="bottom"/>
            <w:tcBorders>
              <w:bottom w:val="single" w:sz="8" w:color="CCEEFF"/>
            </w:tcBorders>
          </w:tcPr>
          <w:p>
            <w:pPr>
              <w:spacing w:after="0"/>
              <w:rPr>
                <w:sz w:val="18"/>
                <w:szCs w:val="18"/>
                <w:color w:val="auto"/>
              </w:rPr>
            </w:pPr>
          </w:p>
        </w:tc>
      </w:tr>
      <w:tr>
        <w:trPr>
          <w:trHeight w:val="237"/>
        </w:trPr>
        <w:tc>
          <w:tcPr>
            <w:tcW w:w="6660" w:type="dxa"/>
            <w:vAlign w:val="bottom"/>
            <w:tcBorders>
              <w:bottom w:val="single" w:sz="8" w:color="CCEEFF"/>
            </w:tcBorders>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Total NPAs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114,960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92,877</w:t>
            </w:r>
          </w:p>
        </w:tc>
        <w:tc>
          <w:tcPr>
            <w:tcW w:w="1340" w:type="dxa"/>
            <w:vAlign w:val="bottom"/>
            <w:tcBorders>
              <w:bottom w:val="single" w:sz="8" w:color="CCEEFF"/>
            </w:tcBorders>
            <w:shd w:val="clear" w:color="auto" w:fill="CCEEFF"/>
          </w:tcPr>
          <w:p>
            <w:pPr>
              <w:spacing w:after="0"/>
              <w:rPr>
                <w:sz w:val="20"/>
                <w:szCs w:val="20"/>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63"/>
        </w:trPr>
        <w:tc>
          <w:tcPr>
            <w:tcW w:w="6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66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Nonaccrual loans as a percentage of total loans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0.50 %</w:t>
            </w:r>
          </w:p>
        </w:tc>
        <w:tc>
          <w:tcPr>
            <w:tcW w:w="1340" w:type="dxa"/>
            <w:vAlign w:val="bottom"/>
            <w:shd w:val="clear" w:color="auto" w:fill="CCEEFF"/>
          </w:tcPr>
          <w:p>
            <w:pPr>
              <w:spacing w:after="0"/>
              <w:rPr>
                <w:sz w:val="18"/>
                <w:szCs w:val="18"/>
                <w:color w:val="auto"/>
              </w:rPr>
            </w:pPr>
          </w:p>
        </w:tc>
      </w:tr>
      <w:tr>
        <w:trPr>
          <w:trHeight w:val="213"/>
        </w:trPr>
        <w:tc>
          <w:tcPr>
            <w:tcW w:w="666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NPAs as a percentage of total assets</w:t>
            </w: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0.34</w:t>
            </w: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0"/>
        </w:trPr>
        <w:tc>
          <w:tcPr>
            <w:tcW w:w="666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ACL - loans to nonaccrual loans coverage ratio</w:t>
            </w:r>
          </w:p>
        </w:tc>
        <w:tc>
          <w:tcPr>
            <w:tcW w:w="2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c>
          <w:tcPr>
            <w:tcW w:w="1340" w:type="dxa"/>
            <w:vAlign w:val="bottom"/>
          </w:tcPr>
          <w:p>
            <w:pPr>
              <w:spacing w:after="0"/>
              <w:rPr>
                <w:sz w:val="18"/>
                <w:szCs w:val="18"/>
                <w:color w:val="auto"/>
              </w:rPr>
            </w:pPr>
          </w:p>
        </w:tc>
      </w:tr>
    </w:tbl>
    <w:p>
      <w:pPr>
        <w:spacing w:after="0" w:line="3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loan is placed on nonaccrual status when, in the opinion of management, the full principal and interest on a loan is not likely to be collected, or when the loan becomes 90 days past due. A loan may continue on accrual status after 90 days with senior management approval if it is well collateralized and in the process of collection. When a loan is placed on nonaccrual status, interest previously accrued but not collected is reversed against current interest revenue. Interest payments received on nonaccrual loans are applied to reduce the loan’s amortized cost. Loans are generally returned to accrual status when all the principal and interest amounts contractually due are brought current, there is a sustained period of repayment performance and future payments are reasonably assured.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The table below summarizes the carrying value of our securities portfolio and other relevant portfolio metrics including weighted-average life and effective duration as of the dates presented. Effective duration represents the expected change in the price of a security when rates change by 100 basis points.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15 - Investment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Pr>
          <w:p>
            <w:pPr>
              <w:spacing w:after="0"/>
              <w:rPr>
                <w:sz w:val="18"/>
                <w:szCs w:val="18"/>
                <w:color w:val="auto"/>
              </w:rPr>
            </w:pPr>
          </w:p>
        </w:tc>
        <w:tc>
          <w:tcPr>
            <w:tcW w:w="234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8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380" w:type="dxa"/>
            <w:vAlign w:val="bottom"/>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60" w:type="dxa"/>
            <w:vAlign w:val="bottom"/>
            <w:tcBorders>
              <w:top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AFS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4,023,455</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63 %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3,331,084</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692,371</w:t>
            </w:r>
          </w:p>
        </w:tc>
        <w:tc>
          <w:tcPr>
            <w:tcW w:w="10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6"/>
                <w:szCs w:val="16"/>
                <w:color w:val="auto"/>
              </w:rPr>
              <w:t>HTM</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2,401,877</w:t>
            </w:r>
          </w:p>
        </w:tc>
        <w:tc>
          <w:tcPr>
            <w:tcW w:w="10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2,490,848</w:t>
            </w:r>
          </w:p>
        </w:tc>
        <w:tc>
          <w:tcPr>
            <w:tcW w:w="10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(88,971)</w:t>
            </w: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6,425,332</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5,821,932</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603,400</w:t>
            </w: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Investment securities as a % of total 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Weighted average life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years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years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Swap adjusted effective duration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Effective duration</w:t>
            </w:r>
          </w:p>
        </w:tc>
        <w:tc>
          <w:tcPr>
            <w:tcW w:w="12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and 2024, we entered into fair value hedges on a portion of our AFS securities portfolio in order to mitigate the impact of any potential future unrealized losses on our tangible common equity. Gains and losses related to the hedge and hedged item are reflected in investment securities interest income. The changes in the fair value of the hedge and the hedged item substantially offset each other. See Note 7 to the financial statements for further detail.</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16 - Investment Securities Portfolio Composition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43500" cy="30003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September 30, 2024, HTM debt securities had a fair value of $2.06 billion, indicating net unrealized losses of $341 million. Additional unrealized losses on HTM debt securities of $61.4 million (pre-tax) were included in AOCI as a result of the transfer of AFS debt securities to HTM in 2022. Unrealized losses were primarily attributable to changes in interest rates.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HTM debt securities portfolio is evaluated quarterly to assess whether an ACL is required. We measure expected credit losses on HTM debt securities on a collective basis by major security type. The estimate of expected credit losses considers historical credit loss information that is adjusted for current conditions and reasonable and supportable forecasts. For U.S. Treasury and Government Agency securities, we include a zero loss assumption. At September 30, 2024 and December 31, 2023, calculated credit losses on HTM debt securities were deemed de minimis due to the high credit quality of the portfolio, which included securities issued or guaranteed by U.S. Government agencies, GSEs, high credit quality municipalities and supranational entities. As a result, no ACL for HTM debt securities was recorded.</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AFS debt securities in an unrealized loss position, if we intend to sell, or if it is more likely than not that we will be required to sell the security before recovery of its amortized cost basis, the security's amortized cost basis is written down to fair value through income. Absent circumstances when an AFS security would be sold,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 may be recorded, with such allowance limited to the amount by which fair value is below amortized cost. Any impairment unrelated to credit factors is recognized in OCI. At September 30, 2024 and December 31, 2023, there was no ACL related to the AFS debt securities portfolio. Unrealized losses at September 30, 2024 and December 31, 2023 primarily reflected the effect of changes in interest rates.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hold certain equity investments, which are included in other assets on the consolidated balance sheet. These investments include equity investments with readily determinable fair values, FHLB stock, and as of the second quarter of 2024, FRB stock. During the second quarter of 2024, we purchased $88.0 million of FRB stock in connection with becoming a FRB state member bank.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premium paid for acquired companies above the net fair value of the assets acquired and liabilities assumed, including separately identifiable intangible assets. Management evaluates goodwill annually, or more frequently if necessary, to determine if any impairment exists. During the first quarter of 2024, we recorded a measurement period adjustment to the acquisition date fair values of other assets and other liabilities recorded for First Miami. The adjustment related to the lack of realizability of certain tax credits, which resulted in a net increase in goodwill of $1.34 million. See Note 4 to the financial statements for further detail.</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second quarter of 2024, we entered into an agreement to sell FinTrust, our registered investment advisor, with the transaction completed subsequent to the end of the third quarter. The fair value of the consideration to be received from the sale includes a portion that is contingent upon achieving certain revenue growth targets over a five year period. Because the fair value of the consideration was less than the carrying amount of FinTrust, we recorded a $5.10 million write-down of FinTrust’s goodwill in the second quarter of 2024. We do not believe that this goodwill impairment loss is an indicator of impairment of the remaining goodwill on our balance sheet and, therefore, does not represent a triggering event for an interim impairment test of the remaining goodwill on the balance sheet. See Note 8 to the financial statements for further detail.</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the net carrying amount of goodwill was $916 million and $920 million, respectively. The net carrying amount of goodwill at September 30, 2024 includes $9.06 million related to FinTrust, which was sold on October 1,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core deposit and customer relationship intangible assets of $59.0 million at September 30, 2024, representing the value of acquired deposit and customer relationships, respectively, which are amortizing intangible assets. Amortizing intangible assets are required to be tested for impairment only when events or circumstances indicate that impairment may exist. The balance at September 30, 2024 includes FinTrust’s customer list intangible of $6.02 million, which is included in the asset group held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deposits are the primary source of funds for the continued growth of our earning assets. We believe our high level of service, as evidenced by our strong customer satisfaction scores, is instrumental in attracting and retaining customer deposit accounts. Since December 31, 2023, customer deposits decreased $67.5 million, which was mostly driven by a decrease in NOW and interest-bearing demand deposits due to seasonal outflow of public funds combined with more conservative public funds deposit pricing. In addition, our customer deposit composition changed since the end of 2023 as money market deposit balances increased with offsetting decreases in other customer deposit types. This was driven by higher demand for money market accounts, which are more liquid than time deposits and offer a higher interest rate than demand and savings accounts. As of September 30, 2024, we had approximately $9.23 billion of uninsured deposits, of which $2.71 billion was collateralized by investment securities.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17 - Deposits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5540" w:type="dxa"/>
            <w:vAlign w:val="bottom"/>
            <w:tcBorders>
              <w:top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6,222,518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6,534,307</w:t>
            </w:r>
          </w:p>
        </w:tc>
        <w:tc>
          <w:tcPr>
            <w:tcW w:w="1500" w:type="dxa"/>
            <w:vAlign w:val="bottom"/>
            <w:tcBorders>
              <w:top w:val="single" w:sz="8" w:color="CCEEFF"/>
            </w:tcBorders>
            <w:shd w:val="clear" w:color="auto" w:fill="CCEEFF"/>
          </w:tcPr>
          <w:p>
            <w:pPr>
              <w:spacing w:after="0"/>
              <w:rPr>
                <w:sz w:val="18"/>
                <w:szCs w:val="18"/>
                <w:color w:val="auto"/>
              </w:rPr>
            </w:pPr>
          </w:p>
        </w:tc>
      </w:tr>
      <w:tr>
        <w:trPr>
          <w:trHeight w:val="213"/>
        </w:trPr>
        <w:tc>
          <w:tcPr>
            <w:tcW w:w="55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5,951,900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6,155,193</w:t>
            </w:r>
          </w:p>
        </w:tc>
        <w:tc>
          <w:tcPr>
            <w:tcW w:w="1500" w:type="dxa"/>
            <w:vAlign w:val="bottom"/>
          </w:tcPr>
          <w:p>
            <w:pPr>
              <w:spacing w:after="0"/>
              <w:rPr>
                <w:sz w:val="18"/>
                <w:szCs w:val="18"/>
                <w:color w:val="auto"/>
              </w:rPr>
            </w:pPr>
          </w:p>
        </w:tc>
      </w:tr>
      <w:tr>
        <w:trPr>
          <w:trHeight w:val="219"/>
        </w:trPr>
        <w:tc>
          <w:tcPr>
            <w:tcW w:w="554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Money market and savings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7,415,124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6,808,394</w:t>
            </w:r>
          </w:p>
        </w:tc>
        <w:tc>
          <w:tcPr>
            <w:tcW w:w="1500" w:type="dxa"/>
            <w:vAlign w:val="bottom"/>
            <w:shd w:val="clear" w:color="auto" w:fill="CCEEFF"/>
          </w:tcPr>
          <w:p>
            <w:pPr>
              <w:spacing w:after="0"/>
              <w:rPr>
                <w:sz w:val="19"/>
                <w:szCs w:val="19"/>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6"/>
                <w:szCs w:val="16"/>
                <w:color w:val="auto"/>
              </w:rPr>
              <w:t>Time</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3,490,399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3,649,498</w:t>
            </w:r>
          </w:p>
        </w:tc>
        <w:tc>
          <w:tcPr>
            <w:tcW w:w="1500" w:type="dxa"/>
            <w:vAlign w:val="bottom"/>
            <w:tcBorders>
              <w:bottom w:val="single" w:sz="8" w:color="CCEEFF"/>
            </w:tcBorders>
          </w:tcPr>
          <w:p>
            <w:pPr>
              <w:spacing w:after="0"/>
              <w:rPr>
                <w:sz w:val="18"/>
                <w:szCs w:val="18"/>
                <w:color w:val="auto"/>
              </w:rPr>
            </w:pPr>
          </w:p>
        </w:tc>
      </w:tr>
      <w:tr>
        <w:trPr>
          <w:trHeight w:val="212"/>
        </w:trPr>
        <w:tc>
          <w:tcPr>
            <w:tcW w:w="55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Total customer deposits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23,079,941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23,147,392</w:t>
            </w:r>
          </w:p>
        </w:tc>
        <w:tc>
          <w:tcPr>
            <w:tcW w:w="150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6"/>
                <w:szCs w:val="16"/>
                <w:color w:val="auto"/>
              </w:rPr>
              <w:t>Brokered deposits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163,219</w:t>
            </w:r>
          </w:p>
        </w:tc>
        <w:tc>
          <w:tcPr>
            <w:tcW w:w="1500" w:type="dxa"/>
            <w:vAlign w:val="bottom"/>
            <w:tcBorders>
              <w:bottom w:val="single" w:sz="8" w:color="CCEEFF"/>
            </w:tcBorders>
          </w:tcPr>
          <w:p>
            <w:pPr>
              <w:spacing w:after="0"/>
              <w:rPr>
                <w:sz w:val="18"/>
                <w:szCs w:val="18"/>
                <w:color w:val="auto"/>
              </w:rPr>
            </w:pPr>
          </w:p>
        </w:tc>
      </w:tr>
      <w:tr>
        <w:trPr>
          <w:trHeight w:val="237"/>
        </w:trPr>
        <w:tc>
          <w:tcPr>
            <w:tcW w:w="554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Total deposits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23,253,102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23,310,611</w:t>
            </w:r>
          </w:p>
        </w:tc>
        <w:tc>
          <w:tcPr>
            <w:tcW w:w="1500" w:type="dxa"/>
            <w:vAlign w:val="bottom"/>
            <w:tcBorders>
              <w:bottom w:val="single" w:sz="8" w:color="CCEEFF"/>
            </w:tcBorders>
            <w:shd w:val="clear" w:color="auto" w:fill="CCEEFF"/>
          </w:tcPr>
          <w:p>
            <w:pPr>
              <w:spacing w:after="0"/>
              <w:rPr>
                <w:sz w:val="20"/>
                <w:szCs w:val="20"/>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Activities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2024 and December 31, 2023, we had long-term debt outstanding of $316 million and $325 million, respectively, which includes senior debentures, subordinated debentures, and trust preferred securities. At September 30, 2024 and December 31, 2023 there were no short-term borrowings or FHLB advances outstanding. The need to utilize wholesale funding sources has decreased as our deposit and cash balances have substantially provided for our liquidity needs. During the third quarter of 2024, we called two of our trust preferred securities, reducing our outstanding long-term debt by $8.56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contractual obligations since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amount of these instruments does not necessarily represent future cash requirements because a significant portion of these instruments expire without being used. We are not involved in off-balance sheet contractual relationships, other than those disclosed in this Report, that could result in liquidity needs or other commitments, or that could significantly affect earnings. See Note 23 to the</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included in the 2023 10-K and Note 14 to the consolidated financial statements in this Report for additional information on off-balance sheet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absolute level and volatility of interest rates can have a significant effect on profitability. The primary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revenue and the fair value of financial instruments are influenced by changes in the level of interest rates. We limit our exposure to fluctuations in interest rates through policies established by our ALCO and approved by the Board. The ALCO meets periodically and has responsibility for formulating and recommending asset/liability management policies to the Board, formulating and implementing strategies to improve balance sheet positioning and/or earnings, and reviewing interest rate sensitivity.</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 tools management uses to estimate and manage the sensitivity of net interest revenue to changes in interest rates is an asset/liability simulation model. Resulting estimates are based upon multiple assumptions for each scenario, including loan and deposit re-pricing characteristics and the rate of prepayments. The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Our assumptions include floors such that market rates and discount rates do not go below zero. Other scenarios analyzed may include delayed rate shocks, yield curve steepening or flattening, or other variations in rate movements. While the primary policy scenarios focus on a 12-month time frame, longer time horizons are also modeled.</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policy is based on the 12-month impact on net interest revenue simulations with various interest rate shocks and ramps compared to the base scenario. In the shock scenarios, rates immediately change the full amount at the scenario onset. In the ramp scenarios, rates change by 25 basis points per month until they reach the predetermined levels. Our policy limits the projected change in net interest revenue from the base scenario to 8% for each 100 basis point change in simulations with rate shock and ramp scenarios. The following table presents our interest sensitivity position at the dates indicated.</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18 - Interest Sensitivity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6"/>
          <w:szCs w:val="16"/>
          <w:b w:val="1"/>
          <w:bCs w:val="1"/>
          <w:color w:val="auto"/>
        </w:rPr>
        <w:t>Increase (Decrease) in Net Interest Revenue from Base Scenario</w:t>
      </w:r>
    </w:p>
    <w:p>
      <w:pPr>
        <w:jc w:val="center"/>
        <w:ind w:left="3480"/>
        <w:spacing w:after="0"/>
        <w:rPr>
          <w:sz w:val="20"/>
          <w:szCs w:val="20"/>
          <w:color w:val="auto"/>
        </w:rPr>
      </w:pPr>
      <w:r>
        <w:rPr>
          <w:rFonts w:ascii="Times New Roman" w:cs="Times New Roman" w:eastAsia="Times New Roman" w:hAnsi="Times New Roman"/>
          <w:sz w:val="16"/>
          <w:szCs w:val="16"/>
          <w:b w:val="1"/>
          <w:bCs w:val="1"/>
          <w:color w:val="auto"/>
        </w:rPr>
        <w:t>at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40" w:type="dxa"/>
            <w:vAlign w:val="bottom"/>
            <w:tcBorders>
              <w:top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560" w:type="dxa"/>
            <w:vAlign w:val="bottom"/>
          </w:tcPr>
          <w:p>
            <w:pPr>
              <w:spacing w:after="0"/>
              <w:rPr>
                <w:sz w:val="18"/>
                <w:szCs w:val="18"/>
                <w:color w:val="auto"/>
              </w:rPr>
            </w:pPr>
          </w:p>
        </w:tc>
      </w:tr>
      <w:tr>
        <w:trPr>
          <w:trHeight w:val="211"/>
        </w:trPr>
        <w:tc>
          <w:tcPr>
            <w:tcW w:w="1520" w:type="dxa"/>
            <w:vAlign w:val="bottom"/>
          </w:tcPr>
          <w:p>
            <w:pPr>
              <w:spacing w:after="0"/>
              <w:rPr>
                <w:sz w:val="18"/>
                <w:szCs w:val="18"/>
                <w:color w:val="auto"/>
              </w:rPr>
            </w:pPr>
          </w:p>
        </w:tc>
        <w:tc>
          <w:tcPr>
            <w:tcW w:w="3560" w:type="dxa"/>
            <w:vAlign w:val="bottom"/>
            <w:gridSpan w:val="2"/>
          </w:tcPr>
          <w:p>
            <w:pPr>
              <w:ind w:left="1160"/>
              <w:spacing w:after="0"/>
              <w:rPr>
                <w:sz w:val="20"/>
                <w:szCs w:val="20"/>
                <w:color w:val="auto"/>
              </w:rPr>
            </w:pPr>
            <w:r>
              <w:rPr>
                <w:rFonts w:ascii="Times New Roman" w:cs="Times New Roman" w:eastAsia="Times New Roman" w:hAnsi="Times New Roman"/>
                <w:sz w:val="16"/>
                <w:szCs w:val="16"/>
                <w:b w:val="1"/>
                <w:bCs w:val="1"/>
                <w:color w:val="auto"/>
              </w:rPr>
              <w:t>Change in Rates</w:t>
            </w: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Ramp</w:t>
            </w:r>
          </w:p>
        </w:tc>
        <w:tc>
          <w:tcPr>
            <w:tcW w:w="100" w:type="dxa"/>
            <w:vAlign w:val="bottom"/>
          </w:tcPr>
          <w:p>
            <w:pPr>
              <w:spacing w:after="0"/>
              <w:rPr>
                <w:sz w:val="18"/>
                <w:szCs w:val="18"/>
                <w:color w:val="auto"/>
              </w:rPr>
            </w:pPr>
          </w:p>
        </w:tc>
        <w:tc>
          <w:tcPr>
            <w:tcW w:w="11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Ramp</w:t>
            </w:r>
          </w:p>
        </w:tc>
        <w:tc>
          <w:tcPr>
            <w:tcW w:w="1560" w:type="dxa"/>
            <w:vAlign w:val="bottom"/>
          </w:tcPr>
          <w:p>
            <w:pPr>
              <w:spacing w:after="0"/>
              <w:rPr>
                <w:sz w:val="18"/>
                <w:szCs w:val="18"/>
                <w:color w:val="auto"/>
              </w:rPr>
            </w:pPr>
          </w:p>
        </w:tc>
      </w:tr>
      <w:tr>
        <w:trPr>
          <w:trHeight w:val="211"/>
        </w:trPr>
        <w:tc>
          <w:tcPr>
            <w:tcW w:w="15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basis point increase</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2.58 %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1.09 %</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560" w:type="dxa"/>
            <w:vAlign w:val="bottom"/>
            <w:tcBorders>
              <w:top w:val="single" w:sz="8" w:color="CCEEFF"/>
            </w:tcBorders>
            <w:shd w:val="clear" w:color="auto" w:fill="CCEEFF"/>
          </w:tcPr>
          <w:p>
            <w:pPr>
              <w:spacing w:after="0"/>
              <w:rPr>
                <w:sz w:val="18"/>
                <w:szCs w:val="18"/>
                <w:color w:val="auto"/>
              </w:rPr>
            </w:pPr>
          </w:p>
        </w:tc>
      </w:tr>
      <w:tr>
        <w:trPr>
          <w:trHeight w:val="213"/>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100 basis point increase</w:t>
            </w: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8"/>
                <w:szCs w:val="18"/>
                <w:color w:val="auto"/>
              </w:rPr>
            </w:pPr>
          </w:p>
        </w:tc>
        <w:tc>
          <w:tcPr>
            <w:tcW w:w="10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Pr>
          <w:p>
            <w:pPr>
              <w:spacing w:after="0"/>
              <w:rPr>
                <w:sz w:val="18"/>
                <w:szCs w:val="18"/>
                <w:color w:val="auto"/>
              </w:rPr>
            </w:pPr>
          </w:p>
        </w:tc>
        <w:tc>
          <w:tcPr>
            <w:tcW w:w="10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8"/>
              </w:rPr>
              <w:t>(0.88)</w:t>
            </w:r>
          </w:p>
        </w:tc>
        <w:tc>
          <w:tcPr>
            <w:tcW w:w="1560" w:type="dxa"/>
            <w:vAlign w:val="bottom"/>
          </w:tcPr>
          <w:p>
            <w:pPr>
              <w:spacing w:after="0"/>
              <w:rPr>
                <w:sz w:val="18"/>
                <w:szCs w:val="18"/>
                <w:color w:val="auto"/>
              </w:rPr>
            </w:pPr>
          </w:p>
        </w:tc>
      </w:tr>
      <w:tr>
        <w:trPr>
          <w:trHeight w:val="219"/>
        </w:trPr>
        <w:tc>
          <w:tcPr>
            <w:tcW w:w="15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 basis point decrease</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0.14</w:t>
            </w:r>
          </w:p>
        </w:tc>
        <w:tc>
          <w:tcPr>
            <w:tcW w:w="1560" w:type="dxa"/>
            <w:vAlign w:val="bottom"/>
            <w:shd w:val="clear" w:color="auto" w:fill="CCEEFF"/>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basis point decrease</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10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8"/>
                <w:szCs w:val="18"/>
                <w:color w:val="auto"/>
              </w:rPr>
            </w:pPr>
          </w:p>
        </w:tc>
        <w:tc>
          <w:tcPr>
            <w:tcW w:w="10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0.10</w:t>
            </w:r>
          </w:p>
        </w:tc>
        <w:tc>
          <w:tcPr>
            <w:tcW w:w="1560" w:type="dxa"/>
            <w:vAlign w:val="bottom"/>
          </w:tcPr>
          <w:p>
            <w:pPr>
              <w:spacing w:after="0"/>
              <w:rPr>
                <w:sz w:val="18"/>
                <w:szCs w:val="18"/>
                <w:color w:val="auto"/>
              </w:rPr>
            </w:pPr>
          </w:p>
        </w:tc>
      </w:tr>
    </w:tbl>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period from March 2022 through July 2023 was marked by the most rapid rate increases in decades, which, in part, has made non-bank products, such as U.S. Treasuries and money market funds, more attractive to our deposit customers. For this and other reasons such as the Federal Reserve’s quantitative tightening and the aftermath of COVID stimulus, the banking industry’s deposit base had been shrinking since the first half of 2022. This industry-wide outflow of deposits increased price competition for bank deposits. As such, industry deposit betas, including ours, had been increasing at a faster pace relative to the last rising rate cycle. Deposit beta is a measure of the change in a bank’s average rate paid on deposits as a percentage of the change in the targeted federal funds rate. Our cumulative total deposit beta for this most recent rising rate cycle was 45% in the third quarter of 2024. Our cumulative total deposit beta in the last upward rate cycle from November 2015 to July 2019 was 22%. A higher total deposit beta is generally unfavorable in a rising rate environment and favorable if rates are falling. On September 19, 2024, the Federal Reserve lowered the targeted federal funds rate by 50 basis points with indication of more rate cuts to follow. This was the first rate cut since the Federal Reserve began raising rates in March of 2022. United responded by lowering rates on many of our deposit products by as much as 50 basis points.</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interest sensitivity model includes significant key assumptions which may change over time. The scenario results presented in the table above assume parallel movements in the yield curve, which may differ from actual future curve behavior. Although our model generally assumes no change in deposit portfolio size or composition, we have included an assumption for the runoff of surge deposits since 2021. In the second quarter of 2023, in response to the rapid rate increases mentioned above, we increased the beta assumption</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in our model. As of September 30, 2024, our modeled total deposit beta, which is measured as the change in our overall deposit rate as a percentage of the change in the targeted federal funds rate, was 43% in an up scenario and 38% in a down scenario.</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manage interest rate sensitivity, we have entered into off-balance sheet contracts that are considered derivative financial instruments, which is the primary driver in the change in interest rate shocks and ramps at December 31, 2023 and September 30, 2024 presented in the table above. Derivative financial instruments can be a cost-effective and capital-effective means of modifying the repricing characteristics of on-balance sheet assets and liabilities. These contracts generally consist of interest rate swaps under which we pay a fixed rate, (or variable rate, as the case may be) and receive a variable rate (or fixed rate, as the case may be).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Derivative financial instruments that are designated as accounting hedges are classified as either cash flow or fair value hedges. The change in fair value of cash flow hedges is recognized in OCI.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an effective economic hedge. Derivative financial instruments that are not accounted for as an accounting hedge are marked to market through earnings.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non-customer derivative financial instruments are used only for asset/liability management and as effective economic hedges,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we may require the counterparties to derivative contracts to pledge cash or securities as collateral to cover the net exposure. See Note 7 to the financial statements for further detail.</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Bank’s main source of liquidity is customer interest-bearing and noninterest-bearing deposit accounts. Liquidity is also available from wholesale funding sources consisting primarily of repurchase agreements, Federal funds purchased, FHLB advances, and brokered deposits. These sources of liquidity are generally short-term in nature and are used as necessary to fund asset growth and meet other short-term liquidity needs. As part of our liquidity management, we focus on maximizing the amount of securities and loans available as collateral for contingent liquidity sources and calibrating our assumptions in our liquidity stress test on an ongoing basis, particularly as it relates to deposit duration. At September 30, 2024, we had sufficient qualifying collateral to support additional borrowings, which is detailed in the table below.</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19 - Borrowing Capacity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September 30,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color w:val="auto"/>
              </w:rPr>
              <w:t>FHLB</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1,882,674</w:t>
            </w:r>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tcPr>
          <w:p>
            <w:pPr>
              <w:ind w:left="2420"/>
              <w:spacing w:after="0"/>
              <w:rPr>
                <w:sz w:val="20"/>
                <w:szCs w:val="20"/>
                <w:color w:val="auto"/>
              </w:rPr>
            </w:pPr>
            <w:r>
              <w:rPr>
                <w:rFonts w:ascii="Times New Roman" w:cs="Times New Roman" w:eastAsia="Times New Roman" w:hAnsi="Times New Roman"/>
                <w:sz w:val="16"/>
                <w:szCs w:val="16"/>
                <w:color w:val="auto"/>
              </w:rPr>
              <w:t>Federal Reserve - Discount Window</w:t>
            </w:r>
          </w:p>
        </w:tc>
        <w:tc>
          <w:tcPr>
            <w:tcW w:w="8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2,241,141</w:t>
            </w:r>
          </w:p>
        </w:tc>
        <w:tc>
          <w:tcPr>
            <w:tcW w:w="2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shd w:val="clear" w:color="auto" w:fill="CCEEFF"/>
          </w:tcPr>
          <w:p>
            <w:pPr>
              <w:ind w:left="2640"/>
              <w:spacing w:after="0"/>
              <w:rPr>
                <w:sz w:val="20"/>
                <w:szCs w:val="20"/>
                <w:color w:val="auto"/>
              </w:rPr>
            </w:pPr>
            <w:r>
              <w:rPr>
                <w:rFonts w:ascii="Times New Roman" w:cs="Times New Roman" w:eastAsia="Times New Roman" w:hAnsi="Times New Roman"/>
                <w:sz w:val="16"/>
                <w:szCs w:val="16"/>
                <w:color w:val="auto"/>
              </w:rPr>
              <w:t>Borrowing capacity from pledged collateral</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4,123,815</w:t>
            </w:r>
          </w:p>
        </w:tc>
        <w:tc>
          <w:tcPr>
            <w:tcW w:w="2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2420"/>
              <w:spacing w:after="0" w:line="162" w:lineRule="exact"/>
              <w:rPr>
                <w:sz w:val="20"/>
                <w:szCs w:val="20"/>
                <w:color w:val="auto"/>
              </w:rPr>
            </w:pPr>
            <w:r>
              <w:rPr>
                <w:rFonts w:ascii="Times New Roman" w:cs="Times New Roman" w:eastAsia="Times New Roman" w:hAnsi="Times New Roman"/>
                <w:sz w:val="16"/>
                <w:szCs w:val="16"/>
                <w:color w:val="auto"/>
              </w:rPr>
              <w:t>Unpledged securities available as collateral for additional</w:t>
            </w:r>
          </w:p>
        </w:tc>
        <w:tc>
          <w:tcPr>
            <w:tcW w:w="820" w:type="dxa"/>
            <w:vAlign w:val="bottom"/>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3,781,568</w:t>
            </w:r>
          </w:p>
        </w:tc>
        <w:tc>
          <w:tcPr>
            <w:tcW w:w="2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color w:val="auto"/>
              </w:rPr>
              <w:t>borrowings</w:t>
            </w:r>
          </w:p>
        </w:tc>
        <w:tc>
          <w:tcPr>
            <w:tcW w:w="82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sufficient liquid assets to meet these obligations. While the Holding Company has access to the capital markets, the ultimate sources of its liquidity are subsidiary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9" w:name="page60"/>
    <w:bookmarkEnd w:id="59"/>
    <w:p>
      <w:pPr>
        <w:jc w:val="both"/>
        <w:spacing w:after="0" w:line="245" w:lineRule="auto"/>
        <w:rPr>
          <w:sz w:val="20"/>
          <w:szCs w:val="20"/>
          <w:color w:val="auto"/>
        </w:rPr>
      </w:pPr>
      <w:r>
        <w:rPr>
          <w:rFonts w:ascii="Times New Roman" w:cs="Times New Roman" w:eastAsia="Times New Roman" w:hAnsi="Times New Roman"/>
          <w:sz w:val="18"/>
          <w:szCs w:val="18"/>
          <w:color w:val="auto"/>
        </w:rPr>
        <w:t>service fees and dividends from the Bank, which are limited by applicable law and regulations. A South Carolina state-chartered bank is permitted to pay a dividend of up to 100% of its current year earnings without requesting approval of the South Carolina Board of Financial Institutions, provided certain conditions are met. Holding Company liquidity is managed to a minimum of 15-months of anticipated cash expenditures after considering all of its liquidity needs over this period.</w:t>
      </w:r>
    </w:p>
    <w:p>
      <w:pPr>
        <w:spacing w:after="0" w:line="1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uses and sources of cash during the nine months ended September 30, 2024 are as follows. See the consolidated statement of cash flows for further detail.</w:t>
      </w:r>
    </w:p>
    <w:p>
      <w:pPr>
        <w:spacing w:after="0" w:line="81" w:lineRule="exact"/>
        <w:rPr>
          <w:sz w:val="20"/>
          <w:szCs w:val="20"/>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$202 million reflects net income of $177 million adjusted for non-cash transactions, partly offset by changes in other assets, other liabilities and loans held for sale. Significant non-cash transactions for the period included a $39.6 million provision for credit losses and net depreciation, amortization, and accretion of $31.5 million.</w:t>
      </w:r>
    </w:p>
    <w:p>
      <w:pPr>
        <w:spacing w:after="0" w:line="8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investing activities of $310 million primarily consisted of purchases of AFS securities totaling $1.07 billion and purchases of premises and equipment of $41.5 million. These uses of cash were partially offset by proceeds from securities sales, maturities and calls of $570 million and a net decrease in loans of $317 million, mostly resulting from the manufactured housing loan sale.</w:t>
      </w:r>
    </w:p>
    <w:p>
      <w:pPr>
        <w:spacing w:after="0" w:line="8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financing activities of $155 million mostly consisted of a net decrease in deposits of $58.3 million and dividends paid on common and preferred stock of $88.0 million.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opinion of management, our liquidity position at September 30, 2024 was sufficient to meet our expected cash flow requirements for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equity at September 30, 2024 was $3.41 billion, an increase of $145 million from December 31, 2023 primarily due to year-to-date earnings and other comprehensive income, partially offset by dividends declared on common and preferred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capital ratios, as calculated under applicable regulatory guidelines, at September 30, 2024 and December 31, 2023. As of September 30, 2024, capital levels remained characterized as “well-capitalized” under regulatory requirements in effect at the time. Additional information related to capital ratios is provided in Note 13 to the consolidated financial statements.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20 - Capital Ratios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70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8"/>
                <w:szCs w:val="18"/>
                <w:color w:val="auto"/>
              </w:rPr>
            </w:pPr>
          </w:p>
        </w:tc>
        <w:tc>
          <w:tcPr>
            <w:tcW w:w="27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Well-</w:t>
            </w:r>
          </w:p>
        </w:tc>
        <w:tc>
          <w:tcPr>
            <w:tcW w:w="16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Minimum Capital Plus</w:t>
            </w:r>
          </w:p>
        </w:tc>
        <w:tc>
          <w:tcPr>
            <w:tcW w:w="120" w:type="dxa"/>
            <w:vAlign w:val="bottom"/>
          </w:tcPr>
          <w:p>
            <w:pPr>
              <w:spacing w:after="0"/>
              <w:rPr>
                <w:sz w:val="13"/>
                <w:szCs w:val="13"/>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80" w:type="dxa"/>
            <w:vAlign w:val="bottom"/>
            <w:gridSpan w:val="2"/>
            <w:vMerge w:val="continue"/>
          </w:tcPr>
          <w:p>
            <w:pPr>
              <w:spacing w:after="0"/>
              <w:rPr>
                <w:sz w:val="14"/>
                <w:szCs w:val="14"/>
                <w:color w:val="auto"/>
              </w:rPr>
            </w:pPr>
          </w:p>
        </w:tc>
        <w:tc>
          <w:tcPr>
            <w:tcW w:w="17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Capital Conservation</w:t>
            </w:r>
          </w:p>
        </w:tc>
        <w:tc>
          <w:tcPr>
            <w:tcW w:w="14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Capitalized</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Buffer</w:t>
            </w:r>
          </w:p>
        </w:tc>
        <w:tc>
          <w:tcPr>
            <w:tcW w:w="13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3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13.06 %</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12.22 %</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12.22</w:t>
            </w:r>
          </w:p>
        </w:tc>
        <w:tc>
          <w:tcPr>
            <w:tcW w:w="0" w:type="dxa"/>
            <w:vAlign w:val="bottom"/>
          </w:tcPr>
          <w:p>
            <w:pPr>
              <w:spacing w:after="0"/>
              <w:rPr>
                <w:sz w:val="1"/>
                <w:szCs w:val="1"/>
                <w:color w:val="auto"/>
              </w:rPr>
            </w:pPr>
          </w:p>
        </w:tc>
      </w:tr>
      <w:tr>
        <w:trPr>
          <w:trHeight w:val="213"/>
        </w:trPr>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14.08</w:t>
            </w:r>
          </w:p>
        </w:tc>
        <w:tc>
          <w:tcPr>
            <w:tcW w:w="1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13.23</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N/A</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9.17</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0" w:name="page61"/>
    <w:bookmarkEnd w:id="6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as of September 30, 2024 from that presented in our 2023 10-K. Our interest rate sensitivity position at September 30, 2024 is set forth in Table 18 in MD&amp;A of this Report and incorporated herein by this reference.</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jc w:val="both"/>
        <w:ind w:firstLine="210"/>
        <w:spacing w:after="0" w:line="261" w:lineRule="auto"/>
        <w:tabs>
          <w:tab w:leader="none" w:pos="4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Under the supervision and with the participation of our management, including our principal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principal financial officer, we conducted an evaluation of our disclosure controls and procedures (as such term is defined in Exchange Act Rule 13a-15(e)) as of September 30, 2024. Based on that evaluation, our principal executive officer and chief financial officer concluded that our disclosure controls and procedures were effective as of the end of the period covered by this Report.</w:t>
      </w:r>
    </w:p>
    <w:p>
      <w:pPr>
        <w:spacing w:after="0" w:line="206" w:lineRule="exact"/>
        <w:rPr>
          <w:rFonts w:ascii="Times New Roman" w:cs="Times New Roman" w:eastAsia="Times New Roman" w:hAnsi="Times New Roman"/>
          <w:sz w:val="18"/>
          <w:szCs w:val="18"/>
          <w:color w:val="auto"/>
        </w:rPr>
      </w:pPr>
    </w:p>
    <w:p>
      <w:pPr>
        <w:jc w:val="both"/>
        <w:ind w:firstLine="285"/>
        <w:spacing w:after="0" w:line="267" w:lineRule="auto"/>
        <w:tabs>
          <w:tab w:leader="none" w:pos="55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such term 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Rule 13a-15(f)) occurred during the fiscal quarter ended September 30, 2024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September 11, 2024, Lynn Harton, our President and Chief Executive Officer, entered into a 10b5-1 trading arrangement with a brokerage firm, intended to satisfy the affirmative defense of Rule 10b5-1(c), providing for the sale of 35,000 shares of United common stock beginning February 7, 2025 and continuing until February 28, 2025, or such earlier time as all shares covered by the trading arrangement are sold.</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13, 2024, Rich Bradshaw, President and Chief Banking Officer of United Community Bank, entered into a 10b5-1 trading arrangement with a brokerage firm, intended to satisfy the affirmative defense of Rule 10b5-1(c), providing for the sale of approximately $50,000 of United common stock during each of five designated periods of time between January 24, 2025 and February 23, 2026.</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director or officer of the Company adopted, modified or terminated a “Rule 10b5-1 trading arrangement” or “non-Rule 10b5-1 trading arrangement,” as each term is defined in Item 408(a) of Regulation S-K during the quarter ended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See Exhibit Index below.</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9" w:lineRule="exact"/>
        <w:rPr>
          <w:sz w:val="20"/>
          <w:szCs w:val="20"/>
          <w:color w:val="auto"/>
        </w:rPr>
      </w:pPr>
    </w:p>
    <w:p>
      <w:pPr>
        <w:ind w:left="44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ind w:left="1600" w:right="20" w:hanging="516"/>
        <w:spacing w:after="0" w:line="226" w:lineRule="auto"/>
        <w:tabs>
          <w:tab w:leader="none" w:pos="1580" w:val="left"/>
        </w:tabs>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u w:val="single" w:color="auto"/>
          <w:color w:val="0000FF"/>
        </w:rPr>
        <w:tab/>
      </w:r>
      <w:hyperlink r:id="rId91">
        <w:r>
          <w:rPr>
            <w:rFonts w:ascii="Times New Roman" w:cs="Times New Roman" w:eastAsia="Times New Roman" w:hAnsi="Times New Roman"/>
            <w:sz w:val="18"/>
            <w:szCs w:val="18"/>
            <w:u w:val="single" w:color="auto"/>
            <w:color w:val="0000FF"/>
          </w:rPr>
          <w:t>Restated Articles of Incorporation of United Community Banks, Inc. as amended through August 13, 2021 (incorporated herein by</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reference to Exhibit 3.1 to United Community Bank Inc.'s Quarterly Report on Form 10-Q for the period ended September 30, 2021,</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filed on November 5, 2021).</w:t>
        </w:r>
      </w:hyperlink>
    </w:p>
    <w:p>
      <w:pPr>
        <w:spacing w:after="0" w:line="171" w:lineRule="exact"/>
        <w:rPr>
          <w:rFonts w:ascii="Times New Roman" w:cs="Times New Roman" w:eastAsia="Times New Roman" w:hAnsi="Times New Roman"/>
          <w:sz w:val="18"/>
          <w:szCs w:val="18"/>
          <w:u w:val="single" w:color="auto"/>
          <w:color w:val="0000FF"/>
        </w:rPr>
      </w:pPr>
    </w:p>
    <w:p>
      <w:pPr>
        <w:jc w:val="both"/>
        <w:ind w:left="1600" w:right="20" w:hanging="516"/>
        <w:spacing w:after="0" w:line="226" w:lineRule="auto"/>
        <w:tabs>
          <w:tab w:leader="none" w:pos="1580" w:val="left"/>
        </w:tabs>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92">
        <w:r>
          <w:rPr>
            <w:rFonts w:ascii="Times New Roman" w:cs="Times New Roman" w:eastAsia="Times New Roman" w:hAnsi="Times New Roman"/>
            <w:sz w:val="18"/>
            <w:szCs w:val="18"/>
            <w:u w:val="single" w:color="auto"/>
            <w:color w:val="0000FF"/>
          </w:rPr>
          <w:t>Amended and Restated Bylaws of United Community Banks, Inc., as amended (incorporated herein by reference to Exhibit 3.2 to</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United Community Banks, Inc.’s Quarterly Report on Form 10-Q for the period ended March 31, 2015, filed with the SEC on May</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11, 2015).</w:t>
        </w:r>
      </w:hyperlink>
    </w:p>
    <w:p>
      <w:pPr>
        <w:spacing w:after="0" w:line="171" w:lineRule="exact"/>
        <w:rPr>
          <w:rFonts w:ascii="Times New Roman" w:cs="Times New Roman" w:eastAsia="Times New Roman" w:hAnsi="Times New Roman"/>
          <w:sz w:val="18"/>
          <w:szCs w:val="18"/>
          <w:u w:val="single" w:color="auto"/>
          <w:color w:val="0000FF"/>
        </w:rPr>
      </w:pPr>
    </w:p>
    <w:p>
      <w:pPr>
        <w:ind w:left="1600" w:right="2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31.1</w:t>
        <w:tab/>
        <w:t>Certification by H. Lynn Harton, President and Chief Executive Officer of United Community Banks, Inc., pursuant to Exchange Act Rule 13a-14(a).</w:t>
      </w:r>
    </w:p>
    <w:p>
      <w:pPr>
        <w:spacing w:after="0" w:line="172" w:lineRule="exact"/>
        <w:rPr>
          <w:rFonts w:ascii="Times New Roman" w:cs="Times New Roman" w:eastAsia="Times New Roman" w:hAnsi="Times New Roman"/>
          <w:sz w:val="18"/>
          <w:szCs w:val="18"/>
          <w:u w:val="single" w:color="auto"/>
          <w:color w:val="0000FF"/>
        </w:rPr>
      </w:pPr>
    </w:p>
    <w:p>
      <w:pPr>
        <w:ind w:left="1600" w:right="2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31.2</w:t>
        <w:tab/>
        <w:t>Certification by Jefferson L. Harralson, Executive Vice President and Chief Financial Officer of United Community Banks, Inc., pursuant to Exchange Act Rule 13a-14(a).</w:t>
      </w:r>
    </w:p>
    <w:p>
      <w:pPr>
        <w:spacing w:after="0" w:line="172" w:lineRule="exact"/>
        <w:rPr>
          <w:rFonts w:ascii="Times New Roman" w:cs="Times New Roman" w:eastAsia="Times New Roman" w:hAnsi="Times New Roman"/>
          <w:sz w:val="18"/>
          <w:szCs w:val="18"/>
          <w:u w:val="single" w:color="auto"/>
          <w:color w:val="0000FF"/>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32</w:t>
        <w:tab/>
        <w:t>Certification of CEO and CFO pursuant to 18 U.S.C. Section 1350.</w:t>
      </w:r>
    </w:p>
    <w:p>
      <w:pPr>
        <w:spacing w:after="0" w:line="185" w:lineRule="exact"/>
        <w:rPr>
          <w:rFonts w:ascii="Times New Roman" w:cs="Times New Roman" w:eastAsia="Times New Roman" w:hAnsi="Times New Roman"/>
          <w:sz w:val="18"/>
          <w:szCs w:val="18"/>
          <w:u w:val="single" w:color="auto"/>
          <w:color w:val="0000FF"/>
        </w:rPr>
      </w:pPr>
    </w:p>
    <w:p>
      <w:pPr>
        <w:jc w:val="both"/>
        <w:ind w:left="1600" w:right="20" w:hanging="557"/>
        <w:spacing w:after="0" w:line="215" w:lineRule="auto"/>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Interactive data files for United Community Bank, Inc.’s Quarterly Report on Form 10-Q for the quarter ended September 30, 2024, formatted in Inline XBRL: </w:t>
      </w:r>
      <w:r>
        <w:rPr>
          <w:rFonts w:ascii="Times New Roman" w:cs="Times New Roman" w:eastAsia="Times New Roman" w:hAnsi="Times New Roman"/>
          <w:sz w:val="18"/>
          <w:szCs w:val="18"/>
          <w:color w:val="212529"/>
        </w:rPr>
        <w:t>(i) the Consolidated Balance Sheets (unaudited); (ii) the Consolidated Statements of Income (unaudited);</w:t>
      </w:r>
    </w:p>
    <w:p>
      <w:pPr>
        <w:ind w:left="1980" w:hanging="375"/>
        <w:spacing w:after="0" w:line="219" w:lineRule="auto"/>
        <w:tabs>
          <w:tab w:leader="none" w:pos="1980" w:val="left"/>
        </w:tabs>
        <w:numPr>
          <w:ilvl w:val="1"/>
          <w:numId w:val="2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Consolidated Statements of Comprehensive Income (unaudited); (iv) the Consolidated Statements of Changes in</w:t>
      </w:r>
    </w:p>
    <w:p>
      <w:pPr>
        <w:ind w:left="1600" w:right="20"/>
        <w:spacing w:after="0" w:line="226" w:lineRule="auto"/>
        <w:rPr>
          <w:sz w:val="20"/>
          <w:szCs w:val="20"/>
          <w:color w:val="auto"/>
        </w:rPr>
      </w:pPr>
      <w:r>
        <w:rPr>
          <w:rFonts w:ascii="Times New Roman" w:cs="Times New Roman" w:eastAsia="Times New Roman" w:hAnsi="Times New Roman"/>
          <w:sz w:val="18"/>
          <w:szCs w:val="18"/>
          <w:color w:val="212529"/>
        </w:rPr>
        <w:t>Shareholders’ Equity (unaudited); (v) the Consolidated Statements of Cash Flows (unaudited); and (vi) the Notes to Consolidated Financial Statements (unaudited)</w:t>
      </w:r>
      <w:r>
        <w:rPr>
          <w:rFonts w:ascii="Times New Roman" w:cs="Times New Roman" w:eastAsia="Times New Roman" w:hAnsi="Times New Roman"/>
          <w:sz w:val="18"/>
          <w:szCs w:val="18"/>
          <w:color w:val="000000"/>
        </w:rPr>
        <w:t>.</w:t>
      </w:r>
    </w:p>
    <w:p>
      <w:pPr>
        <w:spacing w:after="0" w:line="171" w:lineRule="exact"/>
        <w:rPr>
          <w:rFonts w:ascii="Times New Roman" w:cs="Times New Roman" w:eastAsia="Times New Roman" w:hAnsi="Times New Roman"/>
          <w:sz w:val="18"/>
          <w:szCs w:val="18"/>
          <w:u w:val="single" w:color="auto"/>
          <w:color w:val="0000FF"/>
        </w:rPr>
      </w:pPr>
    </w:p>
    <w:p>
      <w:pPr>
        <w:ind w:left="1600" w:right="20" w:hanging="557"/>
        <w:spacing w:after="0" w:line="237" w:lineRule="auto"/>
        <w:tabs>
          <w:tab w:leader="none" w:pos="1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United Community Bank’s Quarterly Report on Form 10-Q for the quarter ended September 30, 2024 (formatted in Inline XBRL and included in Exhibit 101)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57"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Alan H. Kumler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927" w:right="339" w:bottom="1440" w:gutter="0" w:footer="0" w:header="0"/>
        </w:sectPr>
      </w:pPr>
    </w:p>
    <w:bookmarkStart w:id="63" w:name="page64"/>
    <w:bookmarkEnd w:id="6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 of the Registrant</w:t>
      </w:r>
    </w:p>
    <w:p>
      <w:pPr>
        <w:sectPr>
          <w:pgSz w:w="11900" w:h="16838" w:orient="portrait"/>
          <w:cols w:equalWidth="0" w:num="1">
            <w:col w:w="11240"/>
          </w:cols>
          <w:pgMar w:left="320" w:top="887" w:right="339" w:bottom="1440" w:gutter="0" w:footer="0" w:header="0"/>
        </w:sectPr>
      </w:pPr>
    </w:p>
    <w:bookmarkStart w:id="64" w:name="page65"/>
    <w:bookmarkEnd w:id="64"/>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the Registrant</w:t>
      </w:r>
    </w:p>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United Community Banks, Inc. (“United”) on Form 10-Q for the period ending September 30, 2024 filed with the Securities and Exchange Commission on the date hereof (the “Report”), each of the undersigned officers of United certifies,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w:t>
      </w:r>
    </w:p>
    <w:p>
      <w:pPr>
        <w:spacing w:after="0" w:line="126" w:lineRule="exact"/>
        <w:rPr>
          <w:sz w:val="20"/>
          <w:szCs w:val="20"/>
          <w:color w:val="auto"/>
        </w:rPr>
      </w:pPr>
    </w:p>
    <w:tbl>
      <w:tblPr>
        <w:tblLayout w:type="fixed"/>
        <w:tblInd w:w="53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 Lynn Harton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Lynn Harton</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8, 2024</w:t>
            </w:r>
          </w:p>
        </w:tc>
      </w:tr>
      <w:tr>
        <w:trPr>
          <w:trHeight w:val="459"/>
        </w:trPr>
        <w:tc>
          <w:tcPr>
            <w:tcW w:w="78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Jefferson L. Harralson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Jefferson L. Harralson</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8, 2024</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4"/>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lowerLetter"/>
      <w:start w:val="1"/>
    </w:lvl>
    <w:lvl w:ilvl="1">
      <w:lvlJc w:val="left"/>
      <w:lvlText w:val="(%2)"/>
      <w:numFmt w:val="lowerLetter"/>
      <w:start w:val="2"/>
    </w:lvl>
  </w:abstractNum>
  <w:abstractNum w:abstractNumId="20">
    <w:nsid w:val="6763845E"/>
    <w:multiLevelType w:val="hybridMultilevel"/>
    <w:lvl w:ilvl="0">
      <w:lvlJc w:val="left"/>
      <w:lvlText w:val="(%1)"/>
      <w:numFmt w:val="lowerLetter"/>
      <w:start w:val="4"/>
    </w:lvl>
  </w:abstractNum>
  <w:abstractNum w:abstractNumId="21">
    <w:nsid w:val="75A2A8D4"/>
    <w:multiLevelType w:val="hybridMultilevel"/>
    <w:lvl w:ilvl="0">
      <w:lvlJc w:val="left"/>
      <w:lvlText w:val="%1"/>
      <w:numFmt w:val="decimal"/>
      <w:start w:val="101"/>
    </w:lvl>
    <w:lvl w:ilvl="1">
      <w:lvlJc w:val="left"/>
      <w:lvlText w:val="(%2)"/>
      <w:numFmt w:val="lowerRoman"/>
      <w:start w:val="3"/>
    </w:lvl>
  </w:abstractNum>
  <w:abstractNum w:abstractNumId="22">
    <w:nsid w:val="8EDBDAB"/>
    <w:multiLevelType w:val="hybridMultilevel"/>
    <w:lvl w:ilvl="0">
      <w:lvlJc w:val="left"/>
      <w:lvlText w:val="%1"/>
      <w:numFmt w:val="decimal"/>
      <w:start w:val="104"/>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1" Type="http://schemas.openxmlformats.org/officeDocument/2006/relationships/hyperlink" Target="https://www.sec.gov/Archives/edgar/data/857855/000085785521000109/ucbi93021ex31restatedartic.htm" TargetMode="External"/><Relationship Id="rId92" Type="http://schemas.openxmlformats.org/officeDocument/2006/relationships/hyperlink" Target="https://www.sec.gov/Archives/edgar/data/857855/000157104915003882/t8219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2024-11-08T10:42:47Z</dcterms:created>
  <dcterms:modified xsi:type="dcterms:W3CDTF">2024-11-08T10:42:47Z</dcterms:modified>
</cp:coreProperties>
</file>