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right"/>
        <w:ind w:right="505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85" w:lineRule="exact"/>
        <w:rPr>
          <w:sz w:val="20"/>
          <w:szCs w:val="20"/>
          <w:color w:val="auto"/>
        </w:rPr>
      </w:pPr>
    </w:p>
    <w:p>
      <w:pPr>
        <w:jc w:val="right"/>
        <w:ind w:right="50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0-21656</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Georgia</w:t>
            </w:r>
          </w:p>
        </w:tc>
        <w:tc>
          <w:tcPr>
            <w:tcW w:w="5820" w:type="dxa"/>
            <w:vAlign w:val="bottom"/>
            <w:gridSpan w:val="5"/>
          </w:tcPr>
          <w:p>
            <w:pPr>
              <w:jc w:val="right"/>
              <w:ind w:right="16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500" w:type="dxa"/>
            <w:vAlign w:val="bottom"/>
            <w:tcBorders>
              <w:top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1"/>
              </w:rPr>
              <w:t>(State of Incorporation)</w:t>
            </w:r>
          </w:p>
        </w:tc>
        <w:tc>
          <w:tcPr>
            <w:tcW w:w="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0"/>
              </w:rPr>
              <w:t>63 Highway 515</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Blairsville, Georgia</w:t>
            </w:r>
          </w:p>
        </w:tc>
        <w:tc>
          <w:tcPr>
            <w:tcW w:w="5820" w:type="dxa"/>
            <w:vAlign w:val="bottom"/>
            <w:gridSpan w:val="5"/>
          </w:tcPr>
          <w:p>
            <w:pPr>
              <w:jc w:val="right"/>
              <w:ind w:right="1910"/>
              <w:spacing w:after="0"/>
              <w:rPr>
                <w:sz w:val="20"/>
                <w:szCs w:val="20"/>
                <w:color w:val="auto"/>
              </w:rPr>
            </w:pPr>
            <w:r>
              <w:rPr>
                <w:rFonts w:ascii="Arial" w:cs="Arial" w:eastAsia="Arial" w:hAnsi="Arial"/>
                <w:sz w:val="18"/>
                <w:szCs w:val="18"/>
                <w:b w:val="1"/>
                <w:bCs w:val="1"/>
                <w:color w:val="auto"/>
              </w:rPr>
              <w:t>30512</w:t>
            </w:r>
          </w:p>
        </w:tc>
      </w:tr>
      <w:tr>
        <w:trPr>
          <w:trHeight w:val="205"/>
        </w:trPr>
        <w:tc>
          <w:tcPr>
            <w:tcW w:w="3500" w:type="dxa"/>
            <w:vAlign w:val="bottom"/>
            <w:tcBorders>
              <w:top w:val="single" w:sz="8" w:color="auto"/>
            </w:tcBorders>
          </w:tcPr>
          <w:p>
            <w:pPr>
              <w:jc w:val="center"/>
              <w:ind w:left="830"/>
              <w:spacing w:after="0" w:line="205" w:lineRule="exact"/>
              <w:rPr>
                <w:sz w:val="20"/>
                <w:szCs w:val="20"/>
                <w:color w:val="auto"/>
              </w:rPr>
            </w:pPr>
            <w:r>
              <w:rPr>
                <w:rFonts w:ascii="Arial" w:cs="Arial" w:eastAsia="Arial" w:hAnsi="Arial"/>
                <w:sz w:val="18"/>
                <w:szCs w:val="18"/>
                <w:b w:val="1"/>
                <w:bCs w:val="1"/>
                <w:color w:val="auto"/>
                <w:w w:val="90"/>
              </w:rPr>
              <w:t>Address of Principal</w:t>
            </w: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100" w:type="dxa"/>
            <w:vAlign w:val="bottom"/>
            <w:tcBorders>
              <w:top w:val="single" w:sz="8" w:color="auto"/>
            </w:tcBorders>
          </w:tcPr>
          <w:p>
            <w:pPr>
              <w:jc w:val="center"/>
              <w:ind w:right="250"/>
              <w:spacing w:after="0" w:line="205"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Executive Offices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65"/>
        </w:trPr>
        <w:tc>
          <w:tcPr>
            <w:tcW w:w="350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(706) 781-2265</w:t>
            </w:r>
          </w:p>
        </w:tc>
        <w:tc>
          <w:tcPr>
            <w:tcW w:w="4100" w:type="dxa"/>
            <w:vAlign w:val="bottom"/>
          </w:tcPr>
          <w:p>
            <w:pPr>
              <w:spacing w:after="0"/>
              <w:rPr>
                <w:sz w:val="24"/>
                <w:szCs w:val="24"/>
                <w:color w:val="auto"/>
              </w:rPr>
            </w:pPr>
          </w:p>
        </w:tc>
      </w:tr>
      <w:tr>
        <w:trPr>
          <w:trHeight w:val="20"/>
        </w:trPr>
        <w:tc>
          <w:tcPr>
            <w:tcW w:w="3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37"/>
        </w:trPr>
        <w:tc>
          <w:tcPr>
            <w:tcW w:w="3500" w:type="dxa"/>
            <w:vAlign w:val="bottom"/>
          </w:tcPr>
          <w:p>
            <w:pPr>
              <w:spacing w:after="0"/>
              <w:rPr>
                <w:sz w:val="20"/>
                <w:szCs w:val="20"/>
                <w:color w:val="auto"/>
              </w:rPr>
            </w:pPr>
          </w:p>
        </w:tc>
        <w:tc>
          <w:tcPr>
            <w:tcW w:w="5820" w:type="dxa"/>
            <w:vAlign w:val="bottom"/>
            <w:gridSpan w:val="5"/>
          </w:tcPr>
          <w:p>
            <w:pPr>
              <w:jc w:val="center"/>
              <w:ind w:right="3410"/>
              <w:spacing w:after="0"/>
              <w:rPr>
                <w:sz w:val="20"/>
                <w:szCs w:val="20"/>
                <w:color w:val="auto"/>
              </w:rPr>
            </w:pPr>
            <w:r>
              <w:rPr>
                <w:rFonts w:ascii="Arial" w:cs="Arial" w:eastAsia="Arial" w:hAnsi="Arial"/>
                <w:sz w:val="18"/>
                <w:szCs w:val="18"/>
                <w:b w:val="1"/>
                <w:bCs w:val="1"/>
                <w:color w:val="auto"/>
                <w:w w:val="91"/>
              </w:rPr>
              <w:t>(Telephone Number)</w:t>
            </w:r>
          </w:p>
        </w:tc>
      </w:tr>
    </w:tbl>
    <w:p>
      <w:pPr>
        <w:spacing w:after="0" w:line="157"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jc w:val="center"/>
        <w:ind w:right="219"/>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227" w:lineRule="exact"/>
        <w:rPr>
          <w:sz w:val="20"/>
          <w:szCs w:val="20"/>
          <w:color w:val="auto"/>
        </w:rPr>
      </w:pPr>
    </w:p>
    <w:p>
      <w:pPr>
        <w:jc w:val="both"/>
        <w:ind w:left="340" w:right="559"/>
        <w:spacing w:after="0" w:line="261"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185" w:lineRule="exact"/>
        <w:rPr>
          <w:sz w:val="20"/>
          <w:szCs w:val="20"/>
          <w:color w:val="auto"/>
        </w:rPr>
      </w:pPr>
    </w:p>
    <w:p>
      <w:pPr>
        <w:jc w:val="both"/>
        <w:ind w:left="340" w:right="5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4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r>
        <w:rPr>
          <w:rFonts w:ascii="Arial" w:cs="Arial" w:eastAsia="Arial" w:hAnsi="Arial"/>
          <w:sz w:val="16"/>
          <w:szCs w:val="16"/>
          <w:b w:val="1"/>
          <w:bCs w:val="1"/>
          <w:color w:val="auto"/>
        </w:rPr>
        <w:t xml:space="preserv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Non-accelerated filer </w:t>
      </w:r>
      <w:r>
        <w:rPr>
          <w:rFonts w:ascii="Arial" w:cs="Arial" w:eastAsia="Arial" w:hAnsi="Arial"/>
          <w:sz w:val="18"/>
          <w:szCs w:val="18"/>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Smaller Reporting Company </w:t>
      </w:r>
      <w:r>
        <w:rPr>
          <w:rFonts w:ascii="Arial" w:cs="Arial" w:eastAsia="Arial" w:hAnsi="Arial"/>
          <w:sz w:val="16"/>
          <w:szCs w:val="16"/>
          <w:color w:val="auto"/>
        </w:rPr>
        <w:t>o</w:t>
      </w:r>
    </w:p>
    <w:p>
      <w:pPr>
        <w:spacing w:after="0" w:line="434" w:lineRule="exact"/>
        <w:rPr>
          <w:sz w:val="20"/>
          <w:szCs w:val="20"/>
          <w:color w:val="auto"/>
        </w:rPr>
      </w:pPr>
    </w:p>
    <w:p>
      <w:pPr>
        <w:sectPr>
          <w:pgSz w:w="11900" w:h="16838" w:orient="portrait"/>
          <w:cols w:equalWidth="0" w:num="3">
            <w:col w:w="3740" w:space="60"/>
            <w:col w:w="3540" w:space="80"/>
            <w:col w:w="2799"/>
          </w:cols>
          <w:pgMar w:left="240" w:top="122" w:right="1440"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179" w:lineRule="exact"/>
        <w:rPr>
          <w:sz w:val="20"/>
          <w:szCs w:val="20"/>
          <w:color w:val="auto"/>
        </w:rPr>
      </w:pPr>
    </w:p>
    <w:p>
      <w:pPr>
        <w:ind w:left="4500"/>
        <w:spacing w:after="0" w:line="207" w:lineRule="exact"/>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Common stock, par value $1 per share: 48,505,082 shares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outstanding as of April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151765</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20" w:type="dxa"/>
            <w:vAlign w:val="bottom"/>
            <w:gridSpan w:val="26"/>
          </w:tcPr>
          <w:p>
            <w:pPr>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0"/>
                <w:szCs w:val="20"/>
                <w:color w:val="auto"/>
              </w:rPr>
            </w:pPr>
          </w:p>
        </w:tc>
      </w:tr>
      <w:tr>
        <w:trPr>
          <w:trHeight w:val="608"/>
        </w:trPr>
        <w:tc>
          <w:tcPr>
            <w:tcW w:w="2560" w:type="dxa"/>
            <w:vAlign w:val="bottom"/>
            <w:tcBorders>
              <w:bottom w:val="single" w:sz="8" w:color="0000EE"/>
            </w:tcBorders>
            <w:gridSpan w:val="12"/>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5860" w:type="dxa"/>
            <w:vAlign w:val="bottom"/>
            <w:gridSpan w:val="14"/>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2200" w:type="dxa"/>
            <w:vAlign w:val="bottom"/>
            <w:tcBorders>
              <w:bottom w:val="single" w:sz="8" w:color="0000EE"/>
            </w:tcBorders>
            <w:gridSpan w:val="10"/>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w:t>
              </w:r>
            </w:hyperlink>
          </w:p>
        </w:tc>
        <w:tc>
          <w:tcPr>
            <w:tcW w:w="602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20" w:type="dxa"/>
            <w:vAlign w:val="bottom"/>
            <w:gridSpan w:val="24"/>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Consolidated Statement of Income (unaudited) for the Three Months Ended March 31, 2009 and</w:t>
              </w:r>
            </w:hyperlink>
          </w:p>
        </w:tc>
        <w:tc>
          <w:tcPr>
            <w:tcW w:w="820" w:type="dxa"/>
            <w:vAlign w:val="bottom"/>
          </w:tcPr>
          <w:p>
            <w:pPr>
              <w:spacing w:after="0"/>
              <w:rPr>
                <w:sz w:val="24"/>
                <w:szCs w:val="24"/>
                <w:color w:val="auto"/>
              </w:rPr>
            </w:pPr>
          </w:p>
        </w:tc>
      </w:tr>
      <w:tr>
        <w:trPr>
          <w:trHeight w:val="196"/>
        </w:trPr>
        <w:tc>
          <w:tcPr>
            <w:tcW w:w="400" w:type="dxa"/>
            <w:vAlign w:val="bottom"/>
            <w:gridSpan w:val="2"/>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84"/>
              </w:rPr>
            </w:pPr>
            <w:hyperlink w:anchor="page4">
              <w:r>
                <w:rPr>
                  <w:rFonts w:ascii="Arial" w:cs="Arial" w:eastAsia="Arial" w:hAnsi="Arial"/>
                  <w:sz w:val="18"/>
                  <w:szCs w:val="18"/>
                  <w:b w:val="1"/>
                  <w:bCs w:val="1"/>
                  <w:color w:val="0000EE"/>
                  <w:w w:val="84"/>
                </w:rPr>
                <w:t>2008</w:t>
              </w:r>
            </w:hyperlink>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20" w:type="dxa"/>
            <w:vAlign w:val="bottom"/>
            <w:gridSpan w:val="2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Balance Sheet at March 31, 2009 (unaudited), December 31, 2008 (audited) and</w:t>
              </w:r>
            </w:hyperlink>
          </w:p>
        </w:tc>
        <w:tc>
          <w:tcPr>
            <w:tcW w:w="82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1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91"/>
              </w:rPr>
            </w:pPr>
            <w:hyperlink w:anchor="page6">
              <w:r>
                <w:rPr>
                  <w:rFonts w:ascii="Arial" w:cs="Arial" w:eastAsia="Arial" w:hAnsi="Arial"/>
                  <w:sz w:val="18"/>
                  <w:szCs w:val="18"/>
                  <w:b w:val="1"/>
                  <w:bCs w:val="1"/>
                  <w:color w:val="0000EE"/>
                  <w:w w:val="91"/>
                </w:rPr>
                <w:t>March 31, 2008 (unaudited)</w:t>
              </w:r>
            </w:hyperlink>
          </w:p>
        </w:tc>
        <w:tc>
          <w:tcPr>
            <w:tcW w:w="4780" w:type="dxa"/>
            <w:vAlign w:val="bottom"/>
            <w:tcBorders>
              <w:top w:val="single" w:sz="8" w:color="0000EE"/>
            </w:tcBorders>
            <w:gridSpan w:val="7"/>
          </w:tcPr>
          <w:p>
            <w:pPr>
              <w:spacing w:after="0"/>
              <w:rPr>
                <w:sz w:val="17"/>
                <w:szCs w:val="17"/>
                <w:color w:val="auto"/>
              </w:rPr>
            </w:pPr>
          </w:p>
        </w:tc>
        <w:tc>
          <w:tcPr>
            <w:tcW w:w="90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tcBorders>
              <w:bottom w:val="single" w:sz="8" w:color="0000EE"/>
            </w:tcBorders>
            <w:gridSpan w:val="21"/>
          </w:tcPr>
          <w:p>
            <w:pPr>
              <w:spacing w:after="0"/>
              <w:rPr>
                <w:rFonts w:ascii="Arial" w:cs="Arial" w:eastAsia="Arial" w:hAnsi="Arial"/>
                <w:sz w:val="18"/>
                <w:szCs w:val="18"/>
                <w:b w:val="1"/>
                <w:bCs w:val="1"/>
                <w:color w:val="0000EE"/>
                <w:w w:val="90"/>
              </w:rPr>
            </w:pPr>
            <w:hyperlink w:anchor="page7">
              <w:r>
                <w:rPr>
                  <w:rFonts w:ascii="Arial" w:cs="Arial" w:eastAsia="Arial" w:hAnsi="Arial"/>
                  <w:sz w:val="18"/>
                  <w:szCs w:val="18"/>
                  <w:b w:val="1"/>
                  <w:bCs w:val="1"/>
                  <w:color w:val="0000EE"/>
                  <w:w w:val="90"/>
                </w:rPr>
                <w:t>Consolidated Statement of Changes in Shareholders’ Equity (unaudited) for the Three Months</w:t>
              </w:r>
            </w:hyperlink>
          </w:p>
        </w:tc>
        <w:tc>
          <w:tcPr>
            <w:tcW w:w="76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Ended March 31, 2009 and 2008</w:t>
              </w:r>
            </w:hyperlink>
          </w:p>
        </w:tc>
        <w:tc>
          <w:tcPr>
            <w:tcW w:w="5340" w:type="dxa"/>
            <w:vAlign w:val="bottom"/>
            <w:gridSpan w:val="1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20" w:type="dxa"/>
            <w:vAlign w:val="bottom"/>
            <w:gridSpan w:val="24"/>
          </w:tcPr>
          <w:p>
            <w:pPr>
              <w:spacing w:after="0"/>
              <w:rPr>
                <w:rFonts w:ascii="Arial" w:cs="Arial" w:eastAsia="Arial" w:hAnsi="Arial"/>
                <w:sz w:val="18"/>
                <w:szCs w:val="18"/>
                <w:b w:val="1"/>
                <w:bCs w:val="1"/>
                <w:color w:val="0000EE"/>
                <w:w w:val="98"/>
              </w:rPr>
            </w:pPr>
            <w:hyperlink w:anchor="page8">
              <w:r>
                <w:rPr>
                  <w:rFonts w:ascii="Arial" w:cs="Arial" w:eastAsia="Arial" w:hAnsi="Arial"/>
                  <w:sz w:val="18"/>
                  <w:szCs w:val="18"/>
                  <w:b w:val="1"/>
                  <w:bCs w:val="1"/>
                  <w:color w:val="0000EE"/>
                  <w:w w:val="98"/>
                </w:rPr>
                <w:t>Consolidated Statement of Cash Flows (unaudited) for the Three Months Ended March 31, 2009</w:t>
              </w:r>
            </w:hyperlink>
          </w:p>
        </w:tc>
        <w:tc>
          <w:tcPr>
            <w:tcW w:w="82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and 2008</w:t>
              </w:r>
            </w:hyperlink>
          </w:p>
        </w:tc>
        <w:tc>
          <w:tcPr>
            <w:tcW w:w="6480" w:type="dxa"/>
            <w:vAlign w:val="bottom"/>
            <w:tcBorders>
              <w:top w:val="single" w:sz="8" w:color="0000EE"/>
            </w:tcBorders>
            <w:gridSpan w:val="19"/>
          </w:tcPr>
          <w:p>
            <w:pPr>
              <w:spacing w:after="0"/>
              <w:rPr>
                <w:sz w:val="17"/>
                <w:szCs w:val="17"/>
                <w:color w:val="auto"/>
              </w:rPr>
            </w:pPr>
          </w:p>
        </w:tc>
        <w:tc>
          <w:tcPr>
            <w:tcW w:w="6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5"/>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4680" w:type="dxa"/>
            <w:vAlign w:val="bottom"/>
            <w:gridSpan w:val="9"/>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200" w:type="dxa"/>
            <w:vAlign w:val="bottom"/>
          </w:tcPr>
          <w:p>
            <w:pPr>
              <w:spacing w:after="0"/>
              <w:rPr>
                <w:sz w:val="24"/>
                <w:szCs w:val="24"/>
                <w:color w:val="auto"/>
              </w:rPr>
            </w:pPr>
          </w:p>
        </w:tc>
        <w:tc>
          <w:tcPr>
            <w:tcW w:w="7420" w:type="dxa"/>
            <w:vAlign w:val="bottom"/>
            <w:tcBorders>
              <w:bottom w:val="single" w:sz="8" w:color="0000EE"/>
            </w:tcBorders>
            <w:gridSpan w:val="21"/>
          </w:tcPr>
          <w:p>
            <w:pPr>
              <w:spacing w:after="0"/>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Item 2. Management’s Discussion and Analysis of Financial Condition and Results of Operations</w:t>
              </w:r>
            </w:hyperlink>
          </w:p>
        </w:tc>
        <w:tc>
          <w:tcPr>
            <w:tcW w:w="80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12"/>
        </w:trPr>
        <w:tc>
          <w:tcPr>
            <w:tcW w:w="200" w:type="dxa"/>
            <w:vAlign w:val="bottom"/>
          </w:tcPr>
          <w:p>
            <w:pPr>
              <w:spacing w:after="0"/>
              <w:rPr>
                <w:sz w:val="24"/>
                <w:szCs w:val="24"/>
                <w:color w:val="auto"/>
              </w:rPr>
            </w:pPr>
          </w:p>
        </w:tc>
        <w:tc>
          <w:tcPr>
            <w:tcW w:w="8220" w:type="dxa"/>
            <w:vAlign w:val="bottom"/>
            <w:gridSpan w:val="2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3. 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20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Item 4. Controls and Procedures</w:t>
              </w:r>
            </w:hyperlink>
          </w:p>
        </w:tc>
        <w:tc>
          <w:tcPr>
            <w:tcW w:w="2740" w:type="dxa"/>
            <w:vAlign w:val="bottom"/>
            <w:tcBorders>
              <w:top w:val="single" w:sz="8" w:color="0000EE"/>
            </w:tcBorders>
            <w:gridSpan w:val="7"/>
          </w:tcPr>
          <w:p>
            <w:pPr>
              <w:spacing w:after="0"/>
              <w:rPr>
                <w:sz w:val="24"/>
                <w:szCs w:val="24"/>
                <w:color w:val="auto"/>
              </w:rPr>
            </w:pPr>
          </w:p>
        </w:tc>
        <w:tc>
          <w:tcPr>
            <w:tcW w:w="298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8420" w:type="dxa"/>
            <w:vAlign w:val="bottom"/>
            <w:gridSpan w:val="2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820" w:type="dxa"/>
            <w:vAlign w:val="bottom"/>
          </w:tcPr>
          <w:p>
            <w:pPr>
              <w:spacing w:after="0"/>
              <w:rPr>
                <w:sz w:val="24"/>
                <w:szCs w:val="24"/>
                <w:color w:val="auto"/>
              </w:rPr>
            </w:pPr>
          </w:p>
        </w:tc>
      </w:tr>
      <w:tr>
        <w:trPr>
          <w:trHeight w:val="412"/>
        </w:trPr>
        <w:tc>
          <w:tcPr>
            <w:tcW w:w="20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9"/>
          </w:tcPr>
          <w:p>
            <w:pPr>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Item 1. Legal Proceedings</w:t>
              </w:r>
            </w:hyperlink>
          </w:p>
        </w:tc>
        <w:tc>
          <w:tcPr>
            <w:tcW w:w="606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2"/>
        </w:trPr>
        <w:tc>
          <w:tcPr>
            <w:tcW w:w="200" w:type="dxa"/>
            <w:vAlign w:val="bottom"/>
          </w:tcPr>
          <w:p>
            <w:pPr>
              <w:spacing w:after="0"/>
              <w:rPr>
                <w:sz w:val="24"/>
                <w:szCs w:val="24"/>
                <w:color w:val="auto"/>
              </w:rPr>
            </w:pPr>
          </w:p>
        </w:tc>
        <w:tc>
          <w:tcPr>
            <w:tcW w:w="198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1A. Risk Factors</w:t>
              </w:r>
            </w:hyperlink>
          </w:p>
        </w:tc>
        <w:tc>
          <w:tcPr>
            <w:tcW w:w="6240" w:type="dxa"/>
            <w:vAlign w:val="bottom"/>
            <w:gridSpan w:val="1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0"/>
        </w:trPr>
        <w:tc>
          <w:tcPr>
            <w:tcW w:w="20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5160" w:type="dxa"/>
            <w:vAlign w:val="bottom"/>
            <w:tcBorders>
              <w:bottom w:val="single" w:sz="8" w:color="0000EE"/>
            </w:tcBorders>
            <w:gridSpan w:val="18"/>
          </w:tcPr>
          <w:p>
            <w:pPr>
              <w:spacing w:after="0"/>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Item 2. Unregistered Sales of Equity Securities and Use of Proceeds</w:t>
              </w:r>
            </w:hyperlink>
          </w:p>
        </w:tc>
        <w:tc>
          <w:tcPr>
            <w:tcW w:w="306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2"/>
        </w:trPr>
        <w:tc>
          <w:tcPr>
            <w:tcW w:w="200" w:type="dxa"/>
            <w:vAlign w:val="bottom"/>
          </w:tcPr>
          <w:p>
            <w:pPr>
              <w:spacing w:after="0"/>
              <w:rPr>
                <w:sz w:val="24"/>
                <w:szCs w:val="24"/>
                <w:color w:val="auto"/>
              </w:rPr>
            </w:pPr>
          </w:p>
        </w:tc>
        <w:tc>
          <w:tcPr>
            <w:tcW w:w="8220" w:type="dxa"/>
            <w:vAlign w:val="bottom"/>
            <w:gridSpan w:val="2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3. Defaults Upon Senior Securities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0"/>
        </w:trPr>
        <w:tc>
          <w:tcPr>
            <w:tcW w:w="20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220" w:type="dxa"/>
            <w:vAlign w:val="bottom"/>
            <w:gridSpan w:val="2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4. Submission of Matters to a Vote of Security Holders</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2"/>
        </w:trPr>
        <w:tc>
          <w:tcPr>
            <w:tcW w:w="200" w:type="dxa"/>
            <w:vAlign w:val="bottom"/>
          </w:tcPr>
          <w:p>
            <w:pPr>
              <w:spacing w:after="0"/>
              <w:rPr>
                <w:sz w:val="24"/>
                <w:szCs w:val="24"/>
                <w:color w:val="auto"/>
              </w:rPr>
            </w:pPr>
          </w:p>
        </w:tc>
        <w:tc>
          <w:tcPr>
            <w:tcW w:w="456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5. Other Information</w:t>
              </w:r>
            </w:hyperlink>
          </w:p>
        </w:tc>
        <w:tc>
          <w:tcPr>
            <w:tcW w:w="366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2"/>
        </w:trPr>
        <w:tc>
          <w:tcPr>
            <w:tcW w:w="200" w:type="dxa"/>
            <w:vAlign w:val="bottom"/>
          </w:tcPr>
          <w:p>
            <w:pPr>
              <w:spacing w:after="0"/>
              <w:rPr>
                <w:sz w:val="24"/>
                <w:szCs w:val="24"/>
                <w:color w:val="auto"/>
              </w:rPr>
            </w:pPr>
          </w:p>
        </w:tc>
        <w:tc>
          <w:tcPr>
            <w:tcW w:w="20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6. Exhibits</w:t>
              </w:r>
            </w:hyperlink>
          </w:p>
        </w:tc>
        <w:tc>
          <w:tcPr>
            <w:tcW w:w="6200" w:type="dxa"/>
            <w:vAlign w:val="bottom"/>
            <w:gridSpan w:val="1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81,880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109,266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securities, including tax exempt of $319 and $394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20,752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Federal funds sold, commercial paper and deposits in banks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128,510</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NOW</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3,337</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Savings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36,053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38,884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ind w:left="600"/>
              <w:spacing w:after="0"/>
              <w:rPr>
                <w:sz w:val="20"/>
                <w:szCs w:val="20"/>
                <w:color w:val="auto"/>
              </w:rPr>
            </w:pPr>
            <w:r>
              <w:rPr>
                <w:rFonts w:ascii="Arial" w:cs="Arial" w:eastAsia="Arial" w:hAnsi="Arial"/>
                <w:sz w:val="18"/>
                <w:szCs w:val="18"/>
                <w:color w:val="auto"/>
              </w:rPr>
              <w:t>Total deposit interest expense</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41,754</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1,074</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46,150</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56,924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65,000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 after provision for loan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(8,076)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58,256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Mortgage loan and other related fees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2,651</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Consulting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Brokerage fees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Securities gains,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fee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12,846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Salaries and employee benefits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28,839</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28,754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Communications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Occupancy</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3,807</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Postage, printing and supplies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1,182</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Foreclosed property</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4,319</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FDIC assessments and other regulatory charges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739</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70,000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Severance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125,467</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income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(120,697)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(16,924)</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(103,773)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Preferred stock dividends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(106,327)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Basic (loss) earnings per common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earnings per common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Cash dividends per common share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dividends per common share (new shares issued per shares held)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 for 130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48,324</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47,052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48,324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47,272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86" w:gutter="0" w:footer="0" w:header="0"/>
        </w:sectPr>
      </w:pPr>
    </w:p>
    <w:bookmarkStart w:id="4" w:name="page5"/>
    <w:bookmarkEnd w:id="4"/>
    <w:p>
      <w:pPr>
        <w:ind w:left="37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3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103,707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116,395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169,538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w w:val="98"/>
              </w:rPr>
              <w:t>Federal funds sold, commercial paper and short-term investments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24,983</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368,609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134,482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493,421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182,955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1,719,033</w:t>
            </w:r>
          </w:p>
        </w:tc>
        <w:tc>
          <w:tcPr>
            <w:tcW w:w="14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1,617,187</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1,508,402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 loans held for sale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43,161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Loans, net of unearned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5,632,705</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5,704,861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5,967,839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Less allowance for loan losses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143,990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122,271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360" w:type="dxa"/>
            <w:vAlign w:val="bottom"/>
            <w:gridSpan w:val="2"/>
          </w:tcPr>
          <w:p>
            <w:pPr>
              <w:ind w:left="800"/>
              <w:spacing w:after="0"/>
              <w:rPr>
                <w:sz w:val="20"/>
                <w:szCs w:val="20"/>
                <w:color w:val="auto"/>
              </w:rPr>
            </w:pPr>
            <w:r>
              <w:rPr>
                <w:rFonts w:ascii="Arial" w:cs="Arial" w:eastAsia="Arial" w:hAnsi="Arial"/>
                <w:sz w:val="18"/>
                <w:szCs w:val="18"/>
                <w:color w:val="auto"/>
              </w:rPr>
              <w:t>Loans, net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5,488,715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5,582,590</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5,877,991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178,980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179,160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Accrued interest receivable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45,514</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46,088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59,585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and other intangible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251,060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321,798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324,041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279,964</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260,187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224,084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8,140,909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8,520,765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8,386,255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Demand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665,447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654,036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690,028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NOW</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1,284,791</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1,543,385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1,523,942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500,261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466,750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431,623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Savings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177,001</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170,275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187,911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600"/>
              <w:spacing w:after="0"/>
              <w:rPr>
                <w:sz w:val="20"/>
                <w:szCs w:val="20"/>
                <w:color w:val="auto"/>
              </w:rPr>
            </w:pPr>
            <w:r>
              <w:rPr>
                <w:rFonts w:ascii="Arial" w:cs="Arial" w:eastAsia="Arial" w:hAnsi="Arial"/>
                <w:sz w:val="18"/>
                <w:szCs w:val="18"/>
                <w:color w:val="auto"/>
              </w:rPr>
              <w:t>Less than $100,000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1,911,627</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1,953,235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1,535,742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Greater than $100,000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1,350,190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1,422,974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1,375,000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600"/>
              <w:spacing w:after="0"/>
              <w:rPr>
                <w:sz w:val="20"/>
                <w:szCs w:val="20"/>
                <w:color w:val="auto"/>
              </w:rPr>
            </w:pPr>
            <w:r>
              <w:rPr>
                <w:rFonts w:ascii="Arial" w:cs="Arial" w:eastAsia="Arial" w:hAnsi="Arial"/>
                <w:sz w:val="18"/>
                <w:szCs w:val="18"/>
                <w:color w:val="auto"/>
              </w:rPr>
              <w:t>Brokered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727,171</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792,969</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431,523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Total deposits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6,616,488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7,003,624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6,175,769</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w w:val="89"/>
              </w:rPr>
              <w:t>Federal funds purchased, repurchase agreements, and other short-term</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borrowings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158,690</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108,411</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532,896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Home Loan Bank advances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260,125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235,321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615,324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151,006</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150,986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107,996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65,747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33,041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7,252,056</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7,531,383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7,514,803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Preferred stock, $1 par value; 10,000,000 shares authorized;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w w:val="94"/>
              </w:rPr>
              <w:t>Series A; $10 stated value; 25,800 shares issued and outstanding</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Series B; $1,000 stated value; 180,000 shares issued and outstanding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173,480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173,180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Common stock, $1 par value; 100,000,000 shares authorized;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48,809,301 shares issued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48,809</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48,809</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48,809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issuable; 161,807, 129,304 and 90,505 shares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Capital surplus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452,277</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460,708</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463,095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158,201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265,405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359,248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Treasury stock; 322,603, 799,892 and 1,805,078 shares, at cost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(5,992)</w:t>
            </w: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(16,465)</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(41,351)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58,550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54,579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38,983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888,853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989,382</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871,452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8,140,909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8,520,765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8,386,255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gridSpan w:val="5"/>
          </w:tcPr>
          <w:p>
            <w:pPr>
              <w:jc w:val="right"/>
              <w:ind w:right="560"/>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 the Three Months Ended March 31,</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Series A</w:t>
            </w:r>
          </w:p>
        </w:tc>
        <w:tc>
          <w:tcPr>
            <w:tcW w:w="7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Series B</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Common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7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7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1"/>
                <w:szCs w:val="11"/>
                <w:color w:val="auto"/>
              </w:rPr>
            </w:pPr>
          </w:p>
        </w:tc>
        <w:tc>
          <w:tcPr>
            <w:tcW w:w="6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84"/>
              </w:rPr>
              <w:t>Stock</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6"/>
              </w:rPr>
              <w:t>Capital</w:t>
            </w:r>
          </w:p>
        </w:tc>
        <w:tc>
          <w:tcPr>
            <w:tcW w:w="780" w:type="dxa"/>
            <w:vAlign w:val="bottom"/>
            <w:gridSpan w:val="3"/>
          </w:tcPr>
          <w:p>
            <w:pPr>
              <w:jc w:val="right"/>
              <w:ind w:right="260"/>
              <w:spacing w:after="0" w:line="135" w:lineRule="exact"/>
              <w:rPr>
                <w:sz w:val="20"/>
                <w:szCs w:val="20"/>
                <w:color w:val="auto"/>
              </w:rPr>
            </w:pPr>
            <w:r>
              <w:rPr>
                <w:rFonts w:ascii="Arial" w:cs="Arial" w:eastAsia="Arial" w:hAnsi="Arial"/>
                <w:sz w:val="13"/>
                <w:szCs w:val="13"/>
                <w:b w:val="1"/>
                <w:bCs w:val="1"/>
                <w:color w:val="auto"/>
                <w:w w:val="90"/>
              </w:rPr>
              <w:t>Retained</w:t>
            </w:r>
          </w:p>
        </w:tc>
        <w:tc>
          <w:tcPr>
            <w:tcW w:w="7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Treasury</w:t>
            </w:r>
          </w:p>
        </w:tc>
        <w:tc>
          <w:tcPr>
            <w:tcW w:w="10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85"/>
              </w:rPr>
              <w:t>(in thousands, except share and per share data)</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4"/>
              </w:rPr>
              <w:t>Stock</w:t>
            </w:r>
          </w:p>
        </w:tc>
        <w:tc>
          <w:tcPr>
            <w:tcW w:w="2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4"/>
              </w:rPr>
              <w:t>Issuable</w:t>
            </w:r>
          </w:p>
        </w:tc>
        <w:tc>
          <w:tcPr>
            <w:tcW w:w="24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Surplus</w:t>
            </w:r>
          </w:p>
        </w:tc>
        <w:tc>
          <w:tcPr>
            <w:tcW w:w="22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Earnings</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78"/>
              </w:rPr>
              <w:t>Stock</w:t>
            </w:r>
          </w:p>
        </w:tc>
        <w:tc>
          <w:tcPr>
            <w:tcW w:w="24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2007</w:t>
            </w:r>
          </w:p>
        </w:tc>
        <w:tc>
          <w:tcPr>
            <w:tcW w:w="20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258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w w:val="95"/>
              </w:rPr>
              <w:t>48,809</w:t>
            </w: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rPr>
              <w:t>2,100</w:t>
            </w:r>
          </w:p>
        </w:tc>
        <w:tc>
          <w:tcPr>
            <w:tcW w:w="72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w w:val="82"/>
              </w:rPr>
              <w:t>$ 462,881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w w:val="93"/>
              </w:rPr>
              <w:t>347,391</w:t>
            </w: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58"/>
              <w:spacing w:after="0" w:line="129" w:lineRule="exact"/>
              <w:rPr>
                <w:sz w:val="20"/>
                <w:szCs w:val="20"/>
                <w:color w:val="auto"/>
              </w:rPr>
            </w:pPr>
            <w:r>
              <w:rPr>
                <w:rFonts w:ascii="Arial" w:cs="Arial" w:eastAsia="Arial" w:hAnsi="Arial"/>
                <w:sz w:val="13"/>
                <w:szCs w:val="13"/>
                <w:color w:val="auto"/>
                <w:w w:val="86"/>
              </w:rPr>
              <w:t>(43,798)</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rPr>
              <w:t>14,261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w w:val="93"/>
              </w:rPr>
              <w:t>831,902</w:t>
            </w:r>
          </w:p>
        </w:tc>
        <w:tc>
          <w:tcPr>
            <w:tcW w:w="0" w:type="dxa"/>
            <w:vAlign w:val="bottom"/>
          </w:tcPr>
          <w:p>
            <w:pPr>
              <w:spacing w:after="0"/>
              <w:rPr>
                <w:sz w:val="1"/>
                <w:szCs w:val="1"/>
                <w:color w:val="auto"/>
              </w:rPr>
            </w:pPr>
          </w:p>
        </w:tc>
      </w:tr>
      <w:tr>
        <w:trPr>
          <w:trHeight w:val="135"/>
        </w:trPr>
        <w:tc>
          <w:tcPr>
            <w:tcW w:w="2400" w:type="dxa"/>
            <w:vAlign w:val="bottom"/>
          </w:tcPr>
          <w:p>
            <w:pPr>
              <w:spacing w:after="0" w:line="135" w:lineRule="exact"/>
              <w:rPr>
                <w:sz w:val="20"/>
                <w:szCs w:val="20"/>
                <w:color w:val="auto"/>
              </w:rPr>
            </w:pPr>
            <w:r>
              <w:rPr>
                <w:rFonts w:ascii="Arial" w:cs="Arial" w:eastAsia="Arial" w:hAnsi="Arial"/>
                <w:sz w:val="13"/>
                <w:szCs w:val="13"/>
                <w:color w:val="auto"/>
              </w:rPr>
              <w:t>Comprehensive income: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16,078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16,078</w:t>
            </w:r>
          </w:p>
        </w:tc>
        <w:tc>
          <w:tcPr>
            <w:tcW w:w="0" w:type="dxa"/>
            <w:vAlign w:val="bottom"/>
          </w:tcPr>
          <w:p>
            <w:pPr>
              <w:spacing w:after="0"/>
              <w:rPr>
                <w:sz w:val="1"/>
                <w:szCs w:val="1"/>
                <w:color w:val="auto"/>
              </w:rPr>
            </w:pPr>
          </w:p>
        </w:tc>
      </w:tr>
      <w:tr>
        <w:trPr>
          <w:trHeight w:val="135"/>
        </w:trPr>
        <w:tc>
          <w:tcPr>
            <w:tcW w:w="2400" w:type="dxa"/>
            <w:vAlign w:val="bottom"/>
          </w:tcPr>
          <w:p>
            <w:pPr>
              <w:ind w:left="200"/>
              <w:spacing w:after="0" w:line="135" w:lineRule="exact"/>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w w:val="91"/>
              </w:rPr>
              <w:t>Unrealized holding gains on available</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w w:val="92"/>
              </w:rPr>
              <w:t>for sale securities, net of deferred</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w w:val="96"/>
              </w:rPr>
              <w:t>tax expense and reclassification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adjustment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12,341</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12,341</w:t>
            </w:r>
          </w:p>
        </w:tc>
        <w:tc>
          <w:tcPr>
            <w:tcW w:w="0" w:type="dxa"/>
            <w:vAlign w:val="bottom"/>
          </w:tcPr>
          <w:p>
            <w:pPr>
              <w:spacing w:after="0"/>
              <w:rPr>
                <w:sz w:val="1"/>
                <w:szCs w:val="1"/>
                <w:color w:val="auto"/>
              </w:rPr>
            </w:pPr>
          </w:p>
        </w:tc>
      </w:tr>
      <w:tr>
        <w:trPr>
          <w:trHeight w:val="121"/>
        </w:trPr>
        <w:tc>
          <w:tcPr>
            <w:tcW w:w="2400" w:type="dxa"/>
            <w:vAlign w:val="bottom"/>
          </w:tcPr>
          <w:p>
            <w:pPr>
              <w:ind w:left="400"/>
              <w:spacing w:after="0" w:line="121" w:lineRule="exact"/>
              <w:rPr>
                <w:sz w:val="20"/>
                <w:szCs w:val="20"/>
                <w:color w:val="auto"/>
              </w:rPr>
            </w:pPr>
            <w:r>
              <w:rPr>
                <w:rFonts w:ascii="Arial" w:cs="Arial" w:eastAsia="Arial" w:hAnsi="Arial"/>
                <w:sz w:val="13"/>
                <w:szCs w:val="13"/>
                <w:color w:val="auto"/>
              </w:rPr>
              <w:t>Unrealized gains on derivative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600"/>
              <w:spacing w:after="0" w:line="135" w:lineRule="exact"/>
              <w:rPr>
                <w:sz w:val="20"/>
                <w:szCs w:val="20"/>
                <w:color w:val="auto"/>
              </w:rPr>
            </w:pPr>
            <w:r>
              <w:rPr>
                <w:rFonts w:ascii="Arial" w:cs="Arial" w:eastAsia="Arial" w:hAnsi="Arial"/>
                <w:sz w:val="13"/>
                <w:szCs w:val="13"/>
                <w:color w:val="auto"/>
                <w:w w:val="91"/>
              </w:rPr>
              <w:t>financial instruments qualifying as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600"/>
              <w:spacing w:after="0" w:line="135" w:lineRule="exact"/>
              <w:rPr>
                <w:sz w:val="20"/>
                <w:szCs w:val="20"/>
                <w:color w:val="auto"/>
              </w:rPr>
            </w:pPr>
            <w:r>
              <w:rPr>
                <w:rFonts w:ascii="Arial" w:cs="Arial" w:eastAsia="Arial" w:hAnsi="Arial"/>
                <w:sz w:val="13"/>
                <w:szCs w:val="13"/>
                <w:color w:val="auto"/>
                <w:w w:val="92"/>
              </w:rPr>
              <w:t>cash flow hedges, net of deferred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600"/>
              <w:spacing w:after="0"/>
              <w:rPr>
                <w:sz w:val="20"/>
                <w:szCs w:val="20"/>
                <w:color w:val="auto"/>
              </w:rPr>
            </w:pPr>
            <w:r>
              <w:rPr>
                <w:rFonts w:ascii="Arial" w:cs="Arial" w:eastAsia="Arial" w:hAnsi="Arial"/>
                <w:sz w:val="13"/>
                <w:szCs w:val="13"/>
                <w:color w:val="auto"/>
              </w:rPr>
              <w:t>tax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12,381</w:t>
            </w: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12,381</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Comprehensive income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16,078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24,722</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40,800</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w w:val="96"/>
              </w:rPr>
              <w:t>Cash dividends declared on common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($.09 per 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(4,217)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(4,217)</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Exercise of stock options (60,271 shares)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(691)</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98"/>
              <w:spacing w:after="0" w:line="135" w:lineRule="exact"/>
              <w:rPr>
                <w:sz w:val="20"/>
                <w:szCs w:val="20"/>
                <w:color w:val="auto"/>
              </w:rPr>
            </w:pPr>
            <w:r>
              <w:rPr>
                <w:rFonts w:ascii="Arial" w:cs="Arial" w:eastAsia="Arial" w:hAnsi="Arial"/>
                <w:sz w:val="13"/>
                <w:szCs w:val="13"/>
                <w:color w:val="auto"/>
              </w:rPr>
              <w:t>1,470</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779</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rPr>
              <w:t>Common stock issued to Dividend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0"/>
              <w:spacing w:after="0" w:line="135" w:lineRule="exact"/>
              <w:rPr>
                <w:sz w:val="20"/>
                <w:szCs w:val="20"/>
                <w:color w:val="auto"/>
              </w:rPr>
            </w:pPr>
            <w:r>
              <w:rPr>
                <w:rFonts w:ascii="Arial" w:cs="Arial" w:eastAsia="Arial" w:hAnsi="Arial"/>
                <w:sz w:val="13"/>
                <w:szCs w:val="13"/>
                <w:color w:val="auto"/>
                <w:w w:val="91"/>
              </w:rPr>
              <w:t>Reinvestment Plan and employee benefit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plans (31,944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(266)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98"/>
              <w:spacing w:after="0"/>
              <w:rPr>
                <w:sz w:val="20"/>
                <w:szCs w:val="20"/>
                <w:color w:val="auto"/>
              </w:rPr>
            </w:pPr>
            <w:r>
              <w:rPr>
                <w:rFonts w:ascii="Arial" w:cs="Arial" w:eastAsia="Arial" w:hAnsi="Arial"/>
                <w:sz w:val="13"/>
                <w:szCs w:val="13"/>
                <w:color w:val="auto"/>
              </w:rPr>
              <w:t>769</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Amortization of stock option and restricted</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 awards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975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975</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w w:val="85"/>
              </w:rPr>
              <w:t>Vesting of restricted stock (7,912 shares issued,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3,125 shares deferred)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91</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(282)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98"/>
              <w:spacing w:after="0"/>
              <w:rPr>
                <w:sz w:val="20"/>
                <w:szCs w:val="20"/>
                <w:color w:val="auto"/>
              </w:rPr>
            </w:pPr>
            <w:r>
              <w:rPr>
                <w:rFonts w:ascii="Arial" w:cs="Arial" w:eastAsia="Arial" w:hAnsi="Arial"/>
                <w:sz w:val="13"/>
                <w:szCs w:val="13"/>
                <w:color w:val="auto"/>
              </w:rPr>
              <w:t>191</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Deferred compensation plan, net, including</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 equivalents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238</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w w:val="85"/>
              </w:rPr>
              <w:t>Shares issued from deferred compensation plan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(716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(19)</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98"/>
              <w:spacing w:after="0"/>
              <w:rPr>
                <w:sz w:val="20"/>
                <w:szCs w:val="20"/>
                <w:color w:val="auto"/>
              </w:rPr>
            </w:pPr>
            <w:r>
              <w:rPr>
                <w:rFonts w:ascii="Arial" w:cs="Arial" w:eastAsia="Arial" w:hAnsi="Arial"/>
                <w:sz w:val="13"/>
                <w:szCs w:val="13"/>
                <w:color w:val="auto"/>
              </w:rPr>
              <w:t>17</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Tax benefit from options exercised</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476</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w w:val="94"/>
              </w:rPr>
              <w:t>Dividends on Series A preferred stock ($.15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per 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March 31, 2008</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5"/>
              </w:rPr>
              <w:t>48,809</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2,410</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2"/>
              </w:rPr>
              <w:t>$ 463,095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3"/>
              </w:rPr>
              <w:t>359,248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w w:val="86"/>
              </w:rPr>
              <w:t>(41,351)</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38,983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3"/>
              </w:rPr>
              <w:t>871,452</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3"/>
                <w:szCs w:val="13"/>
                <w:b w:val="1"/>
                <w:bCs w:val="1"/>
                <w:color w:val="auto"/>
              </w:rPr>
              <w:t>Balance, December 31, 2008</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vMerge w:val="continue"/>
          </w:tcPr>
          <w:p>
            <w:pPr>
              <w:spacing w:after="0"/>
              <w:rPr>
                <w:sz w:val="22"/>
                <w:szCs w:val="2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258</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w w:val="85"/>
              </w:rPr>
              <w:t>173,180</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48,809</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2,908</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w w:val="82"/>
              </w:rPr>
              <w:t>$ 460,708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w w:val="93"/>
              </w:rPr>
              <w:t>265,405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58"/>
              <w:spacing w:after="0"/>
              <w:rPr>
                <w:sz w:val="20"/>
                <w:szCs w:val="20"/>
                <w:color w:val="auto"/>
              </w:rPr>
            </w:pPr>
            <w:r>
              <w:rPr>
                <w:rFonts w:ascii="Arial" w:cs="Arial" w:eastAsia="Arial" w:hAnsi="Arial"/>
                <w:sz w:val="13"/>
                <w:szCs w:val="13"/>
                <w:color w:val="auto"/>
                <w:w w:val="86"/>
              </w:rPr>
              <w:t>(16,465)</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54,579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989,382</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0"/>
              <w:spacing w:after="0" w:line="135" w:lineRule="exact"/>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6"/>
              </w:rPr>
              <w:t>(103,773)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86"/>
              </w:rPr>
              <w:t>(103,773)</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400"/>
              <w:spacing w:after="0" w:line="121" w:lineRule="exact"/>
              <w:rPr>
                <w:sz w:val="20"/>
                <w:szCs w:val="20"/>
                <w:color w:val="auto"/>
              </w:rPr>
            </w:pPr>
            <w:r>
              <w:rPr>
                <w:rFonts w:ascii="Arial" w:cs="Arial" w:eastAsia="Arial" w:hAnsi="Arial"/>
                <w:sz w:val="13"/>
                <w:szCs w:val="13"/>
                <w:color w:val="auto"/>
                <w:w w:val="91"/>
              </w:rPr>
              <w:t>Unrealized holding gains on available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600"/>
              <w:spacing w:after="0" w:line="135" w:lineRule="exact"/>
              <w:rPr>
                <w:sz w:val="20"/>
                <w:szCs w:val="20"/>
                <w:color w:val="auto"/>
              </w:rPr>
            </w:pPr>
            <w:r>
              <w:rPr>
                <w:rFonts w:ascii="Arial" w:cs="Arial" w:eastAsia="Arial" w:hAnsi="Arial"/>
                <w:sz w:val="13"/>
                <w:szCs w:val="13"/>
                <w:color w:val="auto"/>
                <w:w w:val="92"/>
              </w:rPr>
              <w:t>for sale securities, net of deferred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600"/>
              <w:spacing w:after="0" w:line="135" w:lineRule="exact"/>
              <w:rPr>
                <w:sz w:val="20"/>
                <w:szCs w:val="20"/>
                <w:color w:val="auto"/>
              </w:rPr>
            </w:pPr>
            <w:r>
              <w:rPr>
                <w:rFonts w:ascii="Arial" w:cs="Arial" w:eastAsia="Arial" w:hAnsi="Arial"/>
                <w:sz w:val="13"/>
                <w:szCs w:val="13"/>
                <w:color w:val="auto"/>
                <w:w w:val="96"/>
              </w:rPr>
              <w:t>tax expense and reclassification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600"/>
              <w:spacing w:after="0"/>
              <w:rPr>
                <w:sz w:val="20"/>
                <w:szCs w:val="20"/>
                <w:color w:val="auto"/>
              </w:rPr>
            </w:pPr>
            <w:r>
              <w:rPr>
                <w:rFonts w:ascii="Arial" w:cs="Arial" w:eastAsia="Arial" w:hAnsi="Arial"/>
                <w:sz w:val="13"/>
                <w:szCs w:val="13"/>
                <w:color w:val="auto"/>
              </w:rPr>
              <w:t>adjustment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8,231</w:t>
            </w: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8,231</w:t>
            </w: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Unrealized losses on derivative</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w w:val="91"/>
              </w:rPr>
              <w:t>financial instruments qualifying as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w w:val="92"/>
              </w:rPr>
              <w:t>cash flow hedges, net of deferred</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tax benefit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(4,260)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(4,260)</w:t>
            </w:r>
          </w:p>
        </w:tc>
        <w:tc>
          <w:tcPr>
            <w:tcW w:w="0" w:type="dxa"/>
            <w:vAlign w:val="bottom"/>
          </w:tcPr>
          <w:p>
            <w:pPr>
              <w:spacing w:after="0"/>
              <w:rPr>
                <w:sz w:val="1"/>
                <w:szCs w:val="1"/>
                <w:color w:val="auto"/>
              </w:rPr>
            </w:pPr>
          </w:p>
        </w:tc>
      </w:tr>
      <w:tr>
        <w:trPr>
          <w:trHeight w:val="142"/>
        </w:trPr>
        <w:tc>
          <w:tcPr>
            <w:tcW w:w="2400" w:type="dxa"/>
            <w:vAlign w:val="bottom"/>
          </w:tcPr>
          <w:p>
            <w:pPr>
              <w:ind w:left="600"/>
              <w:spacing w:after="0" w:line="143" w:lineRule="exact"/>
              <w:rPr>
                <w:sz w:val="20"/>
                <w:szCs w:val="20"/>
                <w:color w:val="auto"/>
              </w:rPr>
            </w:pPr>
            <w:r>
              <w:rPr>
                <w:rFonts w:ascii="Arial" w:cs="Arial" w:eastAsia="Arial" w:hAnsi="Arial"/>
                <w:sz w:val="13"/>
                <w:szCs w:val="13"/>
                <w:color w:val="auto"/>
              </w:rPr>
              <w:t>Comprehensive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78"/>
              </w:rPr>
              <w:t>(103,773)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3,971</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0"/>
              </w:rPr>
              <w:t>(99,802)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Stock dividends declared on common stock</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(367,081 shares)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(6,932)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7,801</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rPr>
              <w:t>Common stock issued to Dividend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0"/>
              <w:spacing w:after="0" w:line="135" w:lineRule="exact"/>
              <w:rPr>
                <w:sz w:val="20"/>
                <w:szCs w:val="20"/>
                <w:color w:val="auto"/>
              </w:rPr>
            </w:pPr>
            <w:r>
              <w:rPr>
                <w:rFonts w:ascii="Arial" w:cs="Arial" w:eastAsia="Arial" w:hAnsi="Arial"/>
                <w:sz w:val="13"/>
                <w:szCs w:val="13"/>
                <w:color w:val="auto"/>
                <w:w w:val="91"/>
              </w:rPr>
              <w:t>Reinvestment Plan and employee benefit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plans (99,604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(1,895)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98"/>
              <w:spacing w:after="0"/>
              <w:rPr>
                <w:sz w:val="20"/>
                <w:szCs w:val="20"/>
                <w:color w:val="auto"/>
              </w:rPr>
            </w:pPr>
            <w:r>
              <w:rPr>
                <w:rFonts w:ascii="Arial" w:cs="Arial" w:eastAsia="Arial" w:hAnsi="Arial"/>
                <w:sz w:val="13"/>
                <w:szCs w:val="13"/>
                <w:color w:val="auto"/>
              </w:rPr>
              <w:t>2,404</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Amortization of stock options and restricted</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935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w w:val="85"/>
              </w:rPr>
              <w:t>Vesting of restricted stock (6,268 shares issued,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11,875 shares deferred)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358</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(518)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98"/>
              <w:spacing w:after="0"/>
              <w:rPr>
                <w:sz w:val="20"/>
                <w:szCs w:val="20"/>
                <w:color w:val="auto"/>
              </w:rPr>
            </w:pPr>
            <w:r>
              <w:rPr>
                <w:rFonts w:ascii="Arial" w:cs="Arial" w:eastAsia="Arial" w:hAnsi="Arial"/>
                <w:sz w:val="13"/>
                <w:szCs w:val="13"/>
                <w:color w:val="auto"/>
              </w:rPr>
              <w:t>160</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Deferred compensation plan, net, including</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 equivalents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121</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w w:val="85"/>
              </w:rPr>
              <w:t>Shares issued from deferred compensation plan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(4,336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(117)</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98"/>
              <w:spacing w:after="0"/>
              <w:rPr>
                <w:sz w:val="20"/>
                <w:szCs w:val="20"/>
                <w:color w:val="auto"/>
              </w:rPr>
            </w:pPr>
            <w:r>
              <w:rPr>
                <w:rFonts w:ascii="Arial" w:cs="Arial" w:eastAsia="Arial" w:hAnsi="Arial"/>
                <w:sz w:val="13"/>
                <w:szCs w:val="13"/>
                <w:color w:val="auto"/>
              </w:rPr>
              <w:t>108</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Tax on option exercise and restricted stock</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vesting</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w w:val="94"/>
              </w:rPr>
              <w:t>Dividends on Series A preferred stock ($.15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rPr>
                <w:sz w:val="20"/>
                <w:szCs w:val="20"/>
                <w:color w:val="auto"/>
              </w:rPr>
            </w:pPr>
            <w:r>
              <w:rPr>
                <w:rFonts w:ascii="Arial" w:cs="Arial" w:eastAsia="Arial" w:hAnsi="Arial"/>
                <w:sz w:val="13"/>
                <w:szCs w:val="13"/>
                <w:color w:val="auto"/>
              </w:rPr>
              <w:t>per 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5"/>
              </w:rPr>
              <w:t>Dividends on Series B preferred stock (5%)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(2,550)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(2,250)</w:t>
            </w:r>
          </w:p>
        </w:tc>
        <w:tc>
          <w:tcPr>
            <w:tcW w:w="0" w:type="dxa"/>
            <w:vAlign w:val="bottom"/>
          </w:tcPr>
          <w:p>
            <w:pPr>
              <w:spacing w:after="0"/>
              <w:rPr>
                <w:sz w:val="1"/>
                <w:szCs w:val="1"/>
                <w:color w:val="auto"/>
              </w:rPr>
            </w:pPr>
          </w:p>
        </w:tc>
      </w:tr>
      <w:tr>
        <w:trPr>
          <w:trHeight w:val="142"/>
        </w:trPr>
        <w:tc>
          <w:tcPr>
            <w:tcW w:w="2400" w:type="dxa"/>
            <w:vAlign w:val="bottom"/>
          </w:tcPr>
          <w:p>
            <w:pPr>
              <w:spacing w:after="0" w:line="143" w:lineRule="exact"/>
              <w:rPr>
                <w:sz w:val="20"/>
                <w:szCs w:val="20"/>
                <w:color w:val="auto"/>
              </w:rPr>
            </w:pPr>
            <w:r>
              <w:rPr>
                <w:rFonts w:ascii="Arial" w:cs="Arial" w:eastAsia="Arial" w:hAnsi="Arial"/>
                <w:sz w:val="13"/>
                <w:szCs w:val="13"/>
                <w:b w:val="1"/>
                <w:bCs w:val="1"/>
                <w:color w:val="auto"/>
              </w:rPr>
              <w:t>Balance, March 31, 2009</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258</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173,480</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48,809</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3,270</w:t>
            </w:r>
          </w:p>
        </w:tc>
        <w:tc>
          <w:tcPr>
            <w:tcW w:w="2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$ 452,277</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158,201</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(5,992</w:t>
            </w:r>
          </w:p>
        </w:tc>
        <w:tc>
          <w:tcPr>
            <w:tcW w:w="240" w:type="dxa"/>
            <w:vAlign w:val="bottom"/>
          </w:tcPr>
          <w:p>
            <w:pPr>
              <w:jc w:val="right"/>
              <w:ind w:right="15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58,550</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888,853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(103,773)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6"/>
              </w:rPr>
              <w:t>Adjustments to reconcile net (loss) income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3,553</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Goodwill impairment charge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70,000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Gain on sale of securities available for sale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Gain on sale of 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(Gain) loss on sale of other real estate owned</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(9,332)</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49,552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600"/>
              <w:spacing w:after="0"/>
              <w:rPr>
                <w:sz w:val="20"/>
                <w:szCs w:val="20"/>
                <w:color w:val="auto"/>
              </w:rPr>
            </w:pPr>
            <w:r>
              <w:rPr>
                <w:rFonts w:ascii="Arial" w:cs="Arial" w:eastAsia="Arial" w:hAnsi="Arial"/>
                <w:sz w:val="18"/>
                <w:szCs w:val="18"/>
                <w:color w:val="auto"/>
              </w:rPr>
              <w:t>Mortgage loans held for sale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(22,827)</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52,565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30,225</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14,219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174,220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174,956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securities available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(297,645)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(296,228)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increase in loans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(9,878)</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(2,843)</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22,606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(99,219)</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change in deposits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(386,319)</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99,818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Net change in federal funds purchased, repurchase agreements, and other short-term</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50,279</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Repayments of other borrowings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FHLB advances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Repayments of FHLB advances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(55,000)</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Proceeds from issuance of common stock for dividend reinvestment and employee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benefit plans</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dividends on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dividends on preferred stock</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(1,754)</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(312,285)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86,301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(358,939)</w:t>
            </w:r>
          </w:p>
        </w:tc>
        <w:tc>
          <w:tcPr>
            <w:tcW w:w="2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493,421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219,623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134,482</w:t>
            </w:r>
          </w:p>
        </w:tc>
        <w:tc>
          <w:tcPr>
            <w:tcW w:w="36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182,955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paid (received) during the period for:</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51,207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65,789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(22,386)</w:t>
            </w: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2008 annual report filed on Form 10-K.</w:t>
      </w:r>
    </w:p>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4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Statement of Financial Accounting Standards No. 161, </w:t>
      </w:r>
      <w:r>
        <w:rPr>
          <w:rFonts w:ascii="Arial" w:cs="Arial" w:eastAsia="Arial" w:hAnsi="Arial"/>
          <w:sz w:val="17"/>
          <w:szCs w:val="17"/>
          <w:i w:val="1"/>
          <w:iCs w:val="1"/>
          <w:color w:val="auto"/>
        </w:rPr>
        <w:t>Disclosures about Derivative Instruments and Hedging Activities,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of FASB Statement No. 133 </w:t>
      </w:r>
      <w:r>
        <w:rPr>
          <w:rFonts w:ascii="Arial" w:cs="Arial" w:eastAsia="Arial" w:hAnsi="Arial"/>
          <w:sz w:val="17"/>
          <w:szCs w:val="17"/>
          <w:color w:val="auto"/>
        </w:rPr>
        <w:t>(“SFAS 161”), amends and expands the disclosure requirements of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Board (“FASB”) Statement No. 133,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xml:space="preserve"> (“SFAS 133”) with the intent to provide users of financial statements with an enhanced understanding of: (a) how and why an entity uses derivative instruments, (b) how derivative instruments and related hedged items are accounted for under SFAS 133 and its related interpretations, and (c) how derivative instruments and related hedged items affect an entity’s financial position, financial performance, and cash flows. SFAS 161 requires qualitative disclosures about objectives and strategies for using derivatives, quantitative disclosures about the fair value of and gains and losses on derivative instruments, and disclosures about credit-risk-related contingent features in derivative instruments.</w:t>
      </w:r>
    </w:p>
    <w:p>
      <w:pPr>
        <w:spacing w:after="0" w:line="141"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As required by SFAS 133, United records all derivatives on the balance sheet at fair value. The accounting for changes in the fair value of derivatives depends on the intended use of the derivative, whether United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United may enter into derivative contracts that are intended to economically hedge certain of its risks, even though hedge accounting does not apply or United elects not to apply hedge accounting under SFAS 133.</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Stock-Based Compensation</w:t>
      </w:r>
    </w:p>
    <w:p>
      <w:pPr>
        <w:spacing w:after="0" w:line="189"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March 31, 2009, approximately 1,412,000 additional awards could be granted under the plan. Through March 31, 2009, only incentive stock options, nonqualified stock options and restricted stock awards and units had been granted under the plan.</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stock option activity for the first three months of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Intrinisic</w:t>
            </w:r>
          </w:p>
        </w:tc>
      </w:t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Term (Years)</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000)</w:t>
            </w:r>
          </w:p>
        </w:tc>
      </w:tr>
      <w:tr>
        <w:trPr>
          <w:trHeight w:val="210"/>
        </w:trPr>
        <w:tc>
          <w:tcPr>
            <w:tcW w:w="3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3,350,701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19.99</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Stock dividend adjustment</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25,620</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6.04</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Exercised</w:t>
            </w:r>
          </w:p>
        </w:tc>
        <w:tc>
          <w:tcPr>
            <w:tcW w:w="2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(11,948)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17.46</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Expired</w:t>
            </w:r>
          </w:p>
        </w:tc>
        <w:tc>
          <w:tcPr>
            <w:tcW w:w="2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(27,049)</w:t>
            </w:r>
          </w:p>
        </w:tc>
        <w:tc>
          <w:tcPr>
            <w:tcW w:w="12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13.28</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2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3,342,324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19.88</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426"/>
        </w:trPr>
        <w:tc>
          <w:tcPr>
            <w:tcW w:w="3980" w:type="dxa"/>
            <w:vAlign w:val="bottom"/>
          </w:tcPr>
          <w:p>
            <w:pPr>
              <w:spacing w:after="0"/>
              <w:rPr>
                <w:sz w:val="20"/>
                <w:szCs w:val="20"/>
                <w:color w:val="auto"/>
              </w:rPr>
            </w:pPr>
            <w:r>
              <w:rPr>
                <w:rFonts w:ascii="Arial" w:cs="Arial" w:eastAsia="Arial" w:hAnsi="Arial"/>
                <w:sz w:val="18"/>
                <w:szCs w:val="18"/>
                <w:color w:val="auto"/>
              </w:rPr>
              <w:t>Exercisable at March 31, 2009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2,010,960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18.68</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92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78"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8"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weighted average fair value of stock options granted in the first three months of 2009 and 2008 was $2.54 and $3.33,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Securities and Exchange Commission in Staff Accounting Bulletin No. 107 to determine the expected life of options. The weighted average assumptions used to determine the fair value of stock options are presented in the table below.</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676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2008</w:t>
            </w:r>
          </w:p>
        </w:tc>
        <w:tc>
          <w:tcPr>
            <w:tcW w:w="180" w:type="dxa"/>
            <w:vAlign w:val="bottom"/>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Risk-free rate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bl>
    <w:p>
      <w:pPr>
        <w:spacing w:after="0" w:line="16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United’s stock trading history began in March of 2002 when United listed on the Nasdaq National Market. For 2009, expected volatility was determined using United’s historical monthly volatility for the seventy five months ended December 31, 2008. Seventy five months was chosen to correspond to the expected life of 6.25 years. For 2008, expected volatility was determined using United’s historical monthly volatility over the period beginning in March of 2002 through the end of 2007. Compensation expense for stock options was $738,000 and $771,000 for the three months ended March 31, 2009 and 2008, respectively. Deferred tax benefits of $243,000 and $222,000, respectively, were included in the determination of income tax (benefit) expense for the three-month periods ended March 31, 2009 and 2008. The amount of compensation expense for both periods was determined based on the fair value of the options at the time of grant, multiplied by the number of options granted that were expected to vest, which was then amortized over the vesting period. The forfeiture rate for options is estimated to be approximately 3% per year. The total intrinsic value of options exercised during the three months ended March 31, 2008 was $275,000. No options were exercised during the three months ended March 31, 2009.</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presents the activity in restricted stock awards for the first three months of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Weighted-</w:t>
            </w:r>
          </w:p>
        </w:tc>
      </w:tr>
      <w:tr>
        <w:trPr>
          <w:trHeight w:val="216"/>
        </w:trPr>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Average Grant-</w:t>
            </w:r>
          </w:p>
        </w:tc>
      </w:t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2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Date Fair Value</w:t>
            </w:r>
          </w:p>
        </w:tc>
      </w:tr>
      <w:tr>
        <w:trPr>
          <w:trHeight w:val="210"/>
        </w:trPr>
        <w:tc>
          <w:tcPr>
            <w:tcW w:w="6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89,498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Stock dividend adjustment</w:t>
            </w: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Vested</w:t>
            </w: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(18,143)</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28.10</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76,935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21.88</w:t>
            </w:r>
          </w:p>
        </w:tc>
      </w:tr>
      <w:tr>
        <w:trPr>
          <w:trHeight w:val="20"/>
        </w:trPr>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three months ended March 31, 2009 and 2008, compensation expense of $198,000 and $204,000, respectively, was recognized related to restricted stock awards. The total intrinsic value of the restricted stock was $320,000 at March 31, 2009.</w:t>
      </w:r>
    </w:p>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of March 31, 2009, there was $6.1 million of unrecognized compensation cost related to nonvested stock options and restricted stock awards granted under the plan. That cost is expected to be recognized over a weighted-average period of 1.2 years. The aggregate grant date fair value of options and restricted stock awards that vested during the three months ended March 31, 2009, was $526 million.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Common Stock Issued / Common Stock Issuable</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United provides a Dividend Reinvestment and Share Purchase Plan (DRIP) to its shareholders. Under the DRIP, shareholders of record can voluntarily reinvest all or a portion of their cash dividends into shares of United’s common stock, as well as purchase additional stock through the plan with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three months ended March 31, 2009 and 2008, United issued 99,604 and 31,944 shares, respectively, and increased capital by $509,000 and $503,000, respectively, through these programs.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March 31, 2009 and 2008, 161,807 and 90,505 shares, respectively, were issuable under the deferred compensation plan.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Earnings Per Share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the computation of basic and diluted earnings per share for the three months ended March 31,</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2009 and 2008</w:t>
      </w:r>
      <w:r>
        <w:rPr>
          <w:rFonts w:ascii="Arial" w:cs="Arial" w:eastAsia="Arial" w:hAnsi="Arial"/>
          <w:sz w:val="18"/>
          <w:szCs w:val="18"/>
          <w:i w:val="1"/>
          <w:iCs w:val="1"/>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(106,327)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16,074</w:t>
            </w:r>
          </w:p>
        </w:tc>
      </w:tr>
      <w:tr>
        <w:trPr>
          <w:trHeight w:val="432"/>
        </w:trPr>
        <w:tc>
          <w:tcPr>
            <w:tcW w:w="68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48,324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47,052</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r>
      <w:tr>
        <w:trPr>
          <w:trHeight w:val="216"/>
        </w:trPr>
        <w:tc>
          <w:tcPr>
            <w:tcW w:w="6860" w:type="dxa"/>
            <w:vAlign w:val="bottom"/>
          </w:tcPr>
          <w:p>
            <w:pPr>
              <w:ind w:left="400"/>
              <w:spacing w:after="0"/>
              <w:rPr>
                <w:sz w:val="20"/>
                <w:szCs w:val="20"/>
                <w:color w:val="auto"/>
              </w:rPr>
            </w:pPr>
            <w:r>
              <w:rPr>
                <w:rFonts w:ascii="Arial" w:cs="Arial" w:eastAsia="Arial" w:hAnsi="Arial"/>
                <w:sz w:val="18"/>
                <w:szCs w:val="18"/>
                <w:color w:val="auto"/>
              </w:rPr>
              <w:t>Warrants attached to trust preferred securities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 granted with Series B preferred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48,324</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47,272</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earnings per common share: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Assets and Liabilities Measured at Fair Value</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On January 1, 2008, United adopted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SFAS No. 157 defines fair value, establishes a framework for measuring fair value, and expands disclosures about fair value measurements. SFAS No. 157 applies to reported balances that are required or permitted to be measured at fair value under existing accounting pronouncements; accordingly, the standard does not require any new fair value measurements of reported balances.</w:t>
      </w:r>
    </w:p>
    <w:p>
      <w:pPr>
        <w:spacing w:after="0" w:line="14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SFAS No. 157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SFAS No. 157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left="960"/>
        <w:spacing w:after="0"/>
        <w:tabs>
          <w:tab w:leader="none" w:pos="2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 is based upon quoted prices (unadjusted) in active markets for identical assets or liabilities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that United has the ability to access.</w:t>
      </w:r>
    </w:p>
    <w:p>
      <w:pPr>
        <w:spacing w:after="0" w:line="211" w:lineRule="exact"/>
        <w:rPr>
          <w:sz w:val="20"/>
          <w:szCs w:val="20"/>
          <w:color w:val="auto"/>
        </w:rPr>
      </w:pPr>
    </w:p>
    <w:p>
      <w:pPr>
        <w:ind w:left="960"/>
        <w:spacing w:after="0"/>
        <w:tabs>
          <w:tab w:leader="none" w:pos="2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Valuation is based upon quoted prices for similar assets and liabilities in active markets, as well as</w:t>
      </w:r>
    </w:p>
    <w:p>
      <w:pPr>
        <w:spacing w:after="0" w:line="23" w:lineRule="exact"/>
        <w:rPr>
          <w:sz w:val="20"/>
          <w:szCs w:val="20"/>
          <w:color w:val="auto"/>
        </w:rPr>
      </w:pPr>
    </w:p>
    <w:p>
      <w:pPr>
        <w:ind w:left="2300" w:right="859"/>
        <w:spacing w:after="0" w:line="323" w:lineRule="auto"/>
        <w:rPr>
          <w:sz w:val="20"/>
          <w:szCs w:val="20"/>
          <w:color w:val="auto"/>
        </w:rPr>
      </w:pPr>
      <w:r>
        <w:rPr>
          <w:rFonts w:ascii="Arial" w:cs="Arial" w:eastAsia="Arial" w:hAnsi="Arial"/>
          <w:sz w:val="16"/>
          <w:szCs w:val="16"/>
          <w:color w:val="auto"/>
        </w:rPr>
        <w:t>inputs that are observable for the asset or liability (other than quoted prices), such as interest rates, foreign exchange rates, and yield curves that are observable at commonly quoted intervals.</w:t>
      </w:r>
    </w:p>
    <w:p>
      <w:pPr>
        <w:spacing w:after="0" w:line="139" w:lineRule="exact"/>
        <w:rPr>
          <w:sz w:val="20"/>
          <w:szCs w:val="20"/>
          <w:color w:val="auto"/>
        </w:rPr>
      </w:pPr>
    </w:p>
    <w:p>
      <w:pPr>
        <w:ind w:left="960"/>
        <w:spacing w:after="0"/>
        <w:tabs>
          <w:tab w:leader="none" w:pos="2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 is generated from model-based techniques that use at least one significant assumption based</w:t>
      </w:r>
    </w:p>
    <w:p>
      <w:pPr>
        <w:spacing w:after="0" w:line="23" w:lineRule="exact"/>
        <w:rPr>
          <w:sz w:val="20"/>
          <w:szCs w:val="20"/>
          <w:color w:val="auto"/>
        </w:rPr>
      </w:pPr>
    </w:p>
    <w:p>
      <w:pPr>
        <w:ind w:left="2300" w:right="559"/>
        <w:spacing w:after="0" w:line="269" w:lineRule="auto"/>
        <w:rPr>
          <w:sz w:val="20"/>
          <w:szCs w:val="20"/>
          <w:color w:val="auto"/>
        </w:rPr>
      </w:pPr>
      <w:r>
        <w:rPr>
          <w:rFonts w:ascii="Arial" w:cs="Arial" w:eastAsia="Arial" w:hAnsi="Arial"/>
          <w:sz w:val="17"/>
          <w:szCs w:val="17"/>
          <w:color w:val="auto"/>
        </w:rPr>
        <w:t>on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description of valuation methodologies used for assets and liabilities recorded at fair value.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Securities Available for Sale</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Deferred Compensation Plan Assets and Liabilities</w:t>
      </w:r>
    </w:p>
    <w:p>
      <w:pPr>
        <w:spacing w:after="0" w:line="20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Loans held for sale are carried at the lower of cost or market value. The fair value of loans held for sale is based on what secondary markets are currently offering for portfolios with similar characteristics. As such, United classifies loans subjected to nonrecurring fair value adjustments as Level 2.</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 xml:space="preserve">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in accordance with SFAS 114, </w:t>
      </w:r>
      <w:r>
        <w:rPr>
          <w:rFonts w:ascii="Arial" w:cs="Arial" w:eastAsia="Arial" w:hAnsi="Arial"/>
          <w:sz w:val="16"/>
          <w:szCs w:val="16"/>
          <w:i w:val="1"/>
          <w:iCs w:val="1"/>
          <w:color w:val="auto"/>
        </w:rPr>
        <w:t>Accounting by Creditors for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of a Loan</w:t>
      </w:r>
      <w:r>
        <w:rPr>
          <w:rFonts w:ascii="Arial" w:cs="Arial" w:eastAsia="Arial" w:hAnsi="Arial"/>
          <w:sz w:val="16"/>
          <w:szCs w:val="16"/>
          <w:color w:val="auto"/>
        </w:rPr>
        <w:t>, (SFAS 114). The fair value of impaired loans is estimated using one of several methods, including collateral value,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similar debt, enterprise value, liquidation value and discounted cash flows. Those impaired loans not requiring an allowance represent loans for which the fair value of the expected repayments or collateral exceed the recorded investments in such loans. At March 31, 2009, substantially all of the total impaired loans were evaluated based on the fair value of the collateral. In accordance with SFAS 157,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Foreclosed Assets</w:t>
      </w:r>
    </w:p>
    <w:p>
      <w:pPr>
        <w:spacing w:after="0" w:line="202"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Foreclosed assets are adjusted to fair value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89"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89"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Currently, 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ectPr>
          <w:pgSz w:w="11900" w:h="16838" w:orient="portrait"/>
          <w:cols w:equalWidth="0" w:num="1">
            <w:col w:w="10219"/>
          </w:cols>
          <w:pgMar w:left="240" w:top="419" w:right="1440" w:bottom="402"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02"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SFAS No. 157,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6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2009, United has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table below presents United’s assets and liabilities measured at fair value on a recurring basis as of March 31, 2009, aggregated by the level in the fair value hierarchy within which those measurements fall.</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Balance at</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Level 2</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March 31, 2009</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1,719,033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1,719,033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72,942</w:t>
            </w:r>
          </w:p>
        </w:tc>
        <w:tc>
          <w:tcPr>
            <w:tcW w:w="14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72,942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1,791,975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1,795,442</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89"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United may be required, from time to time, to measure certain assets at fair value on a nonrecurring basis in accordance with GAAP. These include assets that are measured at the lower of cost or market that were recognized at fair value below cost at the end of the period. The table below presents United’s assets and liabilities measured at fair value on a nonrecurring basis as of March 31, 2009, aggregated by the level in the fair value hierarchy within which those measurements fall.</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Balance at</w:t>
            </w:r>
          </w:p>
        </w:tc>
      </w:tr>
      <w:tr>
        <w:trPr>
          <w:trHeight w:val="234"/>
        </w:trPr>
        <w:tc>
          <w:tcPr>
            <w:tcW w:w="4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Level 3</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March 31, 2009</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Loans</w:t>
            </w: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148,786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148,786</w:t>
            </w: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assets</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69,256</w:t>
            </w: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235,590</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235,590</w:t>
            </w:r>
          </w:p>
        </w:tc>
      </w:tr>
      <w:tr>
        <w:trPr>
          <w:trHeight w:val="27"/>
        </w:trPr>
        <w:tc>
          <w:tcPr>
            <w:tcW w:w="4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453,632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453,632</w:t>
            </w:r>
          </w:p>
        </w:tc>
      </w:tr>
      <w:tr>
        <w:trPr>
          <w:trHeight w:val="20"/>
        </w:trPr>
        <w:tc>
          <w:tcPr>
            <w:tcW w:w="4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Stock Dividend</w:t>
      </w:r>
    </w:p>
    <w:p>
      <w:pPr>
        <w:spacing w:after="0" w:line="189"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During the first quarter of 2009, United declared a stock dividend at a rate of 1 new share for every 130 shares owned. The stock dividend has been reflected in the financial statements as an issuance of stock with no proceeds rather than a stock split and therefore prior period numbers of shares outstanding have not been adjusted. The amount of $8,000 shown in the equity statement as a reduction of capital related to the stock dividend is the amount of cash paid to shareholders for fractional shares.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Derivatives and Hedging Activities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13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table below presents the fair value of United’s derivative financial instruments as well as their classification on the balance sheet as of March 31, 2009, December 31, 2008 and March 31, 2008.</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Derivatives designated as hedging instruments under SFAS 133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w:t>
            </w:r>
          </w:p>
        </w:tc>
        <w:tc>
          <w:tcPr>
            <w:tcW w:w="260" w:type="dxa"/>
            <w:vAlign w:val="bottom"/>
          </w:tcPr>
          <w:p>
            <w:pPr>
              <w:spacing w:after="0"/>
              <w:rPr>
                <w:sz w:val="20"/>
                <w:szCs w:val="20"/>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7"/>
              </w:rPr>
              <w:t>Balance Sheet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8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March 31,</w:t>
            </w:r>
          </w:p>
        </w:tc>
        <w:tc>
          <w:tcPr>
            <w:tcW w:w="140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Location</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72,942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81,612</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48,454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There were no derivatives classified as liabilities in the balance sheet at March 31, 2009, December 31, 2008 or March 31, 2008.</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02"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United’s objectives in using interest rate derivatives are to add stability to interest revenue and to manage its exposure to interest rate movements. To accomplish this objective, United primarily uses interest rate swaps and floors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As of March 31, 2009, United had 14 interest rate swaps with an aggregate notional amount of $730 million and 5 interest rate floors with an aggregate notional amount of $300 million that were designated as cash flow hedges of interest rate risk.</w:t>
      </w:r>
    </w:p>
    <w:p>
      <w:pPr>
        <w:spacing w:after="0" w:line="157"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During the first quarter of 2009, such derivatives were used to hedge the variable cash flows associated with existing prime-based, variable-rate loans. The ineffective portion of the change in fair value of the derivatives is recognized directly in earnings. During the three months ended March 31, 2009 and March 31, 2008 no hedge ineffectiveness was recognized on derivative financial instruments designated as cash flow hedges.</w:t>
      </w:r>
    </w:p>
    <w:p>
      <w:pPr>
        <w:spacing w:after="0" w:line="13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Amounts reported in accumulated other comprehensive income related to derivatives will be reclassified to interest revenue as interest payments are received on United’s prime-based, variable-rate loans. During the remaining nine months of 2009, United estimates that an additional $34.7 million will be reclassified as an increase to interest revenue.</w:t>
      </w:r>
    </w:p>
    <w:p>
      <w:pPr>
        <w:spacing w:after="0" w:line="139"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United is hedging its exposure to the variability in future cash flows for forecasted transactions over a maximum period of fifty-two months, excluding forecasted transactions related to the payment of variable interest on existing financial instruments.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18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March 31, 2009, United had three interest rate swaps with an aggregate notional amount of $195 million that were designated as fair value hedges of interest rate risk.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 xml:space="preserve">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months ended March 31, 2009, United recognized a loss of $1,013,000 related to changes in the fair value of the swaps that were offset by a gain of $1,114,000 related to changes in the fair value of the hedged items. During the three months ended March 31, 2009, United recognized net gains of $101,000 related to ineffectiveness of the hedging relationships. The table below presents the earnings impact of the changes in fair value of the swaps and the hedged items for the three months ended March 31, 2009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Income Statement</w:t>
            </w:r>
          </w:p>
        </w:tc>
        <w:tc>
          <w:tcPr>
            <w:tcW w:w="26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 (Loss) on</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Gain (Loss) on</w:t>
            </w:r>
          </w:p>
        </w:tc>
      </w:t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Derivative</w:t>
            </w: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rPr>
              <w:t>Hedged Item</w:t>
            </w:r>
          </w:p>
        </w:tc>
      </w:tr>
      <w:tr>
        <w:trPr>
          <w:trHeight w:val="210"/>
        </w:trPr>
        <w:tc>
          <w:tcPr>
            <w:tcW w:w="6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fee revenue</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tables below present the effect of United’s derivative financial instruments on the Income Statement as of March 31,</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2009 and March 31, 2008.</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Derivatives in SFAS 133 Fair Value Hedging Relationships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Location of Gain (Loss)</w:t>
            </w:r>
          </w:p>
        </w:tc>
        <w:tc>
          <w:tcPr>
            <w:tcW w:w="3100" w:type="dxa"/>
            <w:vAlign w:val="bottom"/>
            <w:gridSpan w:val="6"/>
          </w:tcPr>
          <w:p>
            <w:pPr>
              <w:spacing w:after="0"/>
              <w:rPr>
                <w:sz w:val="20"/>
                <w:szCs w:val="20"/>
                <w:color w:val="auto"/>
              </w:rPr>
            </w:pPr>
            <w:r>
              <w:rPr>
                <w:rFonts w:ascii="Arial" w:cs="Arial" w:eastAsia="Arial" w:hAnsi="Arial"/>
                <w:sz w:val="18"/>
                <w:szCs w:val="18"/>
                <w:b w:val="1"/>
                <w:bCs w:val="1"/>
                <w:color w:val="auto"/>
                <w:w w:val="95"/>
              </w:rPr>
              <w:t>Amount of Gain (Loss) Recognized in</w:t>
            </w: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0"/>
              </w:rPr>
              <w:t>Amount of Gain (Loss) Recognized in</w:t>
            </w: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Recognized in Income on</w:t>
            </w: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8"/>
              </w:rPr>
              <w:t>Income on Derivative</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4"/>
              </w:rPr>
              <w:t>Income on Hedged Item</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Derivative</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March 31, 2009</w:t>
            </w: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2"/>
              </w:rPr>
              <w:t>March 31, 2008</w:t>
            </w:r>
          </w:p>
        </w:tc>
        <w:tc>
          <w:tcPr>
            <w:tcW w:w="26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March 31, 2009</w:t>
            </w: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0"/>
              </w:rPr>
              <w:t>March 31, 2008</w:t>
            </w:r>
          </w:p>
        </w:tc>
        <w:tc>
          <w:tcPr>
            <w:tcW w:w="80" w:type="dxa"/>
            <w:vAlign w:val="bottom"/>
          </w:tcPr>
          <w:p>
            <w:pPr>
              <w:spacing w:after="0"/>
              <w:rPr>
                <w:sz w:val="18"/>
                <w:szCs w:val="18"/>
                <w:color w:val="auto"/>
              </w:rPr>
            </w:pPr>
          </w:p>
        </w:tc>
      </w:tr>
      <w:tr>
        <w:trPr>
          <w:trHeight w:val="210"/>
        </w:trPr>
        <w:tc>
          <w:tcPr>
            <w:tcW w:w="3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 revenue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(1,013)</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1,114</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Derivatives in SFAS 133 Cash Flow Hedging Relationships </w:t>
      </w:r>
      <w:r>
        <w:rPr>
          <w:rFonts w:ascii="Arial" w:cs="Arial" w:eastAsia="Arial" w:hAnsi="Arial"/>
          <w:sz w:val="18"/>
          <w:szCs w:val="18"/>
          <w:i w:val="1"/>
          <w:iCs w:val="1"/>
          <w:color w:val="auto"/>
        </w:rPr>
        <w:t>(in thousands).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Amount of Gain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1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Location of Gain</w:t>
            </w: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4"/>
              </w:rPr>
              <w:t>(Loss) Recognized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17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Amount of Gain</w:t>
            </w: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Location of Gain</w:t>
            </w:r>
          </w:p>
        </w:tc>
        <w:tc>
          <w:tcPr>
            <w:tcW w:w="172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Amount of Gain</w:t>
            </w: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(Loss) Recognized</w:t>
            </w: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in Income 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17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(Loss) Recognized</w:t>
            </w: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1"/>
              </w:rPr>
              <w:t>(Loss)</w:t>
            </w:r>
          </w:p>
        </w:tc>
        <w:tc>
          <w:tcPr>
            <w:tcW w:w="172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in Income on</w:t>
            </w: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17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in Other</w:t>
            </w: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172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from Accumulated</w:t>
            </w: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Derivative</w:t>
            </w: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17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540" w:type="dxa"/>
            <w:vAlign w:val="bottom"/>
          </w:tcPr>
          <w:p>
            <w:pPr>
              <w:spacing w:after="0"/>
              <w:rPr>
                <w:sz w:val="11"/>
                <w:szCs w:val="11"/>
                <w:color w:val="auto"/>
              </w:rPr>
            </w:pPr>
          </w:p>
        </w:tc>
        <w:tc>
          <w:tcPr>
            <w:tcW w:w="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(Ineffective</w:t>
            </w: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and 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17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Income on</w:t>
            </w: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72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Portion and</w:t>
            </w: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17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Derivative</w:t>
            </w: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72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Income into Income</w:t>
            </w: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Amount Excluded</w:t>
            </w:r>
          </w:p>
        </w:tc>
        <w:tc>
          <w:tcPr>
            <w:tcW w:w="10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3"/>
              </w:rPr>
              <w:t>Effectiveness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840" w:type="dxa"/>
            <w:vAlign w:val="bottom"/>
          </w:tcPr>
          <w:p>
            <w:pPr>
              <w:spacing w:after="0"/>
              <w:rPr>
                <w:sz w:val="13"/>
                <w:szCs w:val="13"/>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9"/>
              </w:rPr>
              <w:t>(Effective Portion)</w:t>
            </w: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Income into</w:t>
            </w:r>
          </w:p>
        </w:tc>
        <w:tc>
          <w:tcPr>
            <w:tcW w:w="17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9"/>
              </w:rPr>
              <w:t>(Effective Portion)</w:t>
            </w: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from</w:t>
            </w:r>
          </w:p>
        </w:tc>
        <w:tc>
          <w:tcPr>
            <w:tcW w:w="100" w:type="dxa"/>
            <w:vAlign w:val="bottom"/>
          </w:tcPr>
          <w:p>
            <w:pPr>
              <w:spacing w:after="0"/>
              <w:rPr>
                <w:sz w:val="13"/>
                <w:szCs w:val="13"/>
                <w:color w:val="auto"/>
              </w:rPr>
            </w:pP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Testing)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0"/>
        </w:trPr>
        <w:tc>
          <w:tcPr>
            <w:tcW w:w="1840" w:type="dxa"/>
            <w:vAlign w:val="bottom"/>
          </w:tcPr>
          <w:p>
            <w:pPr>
              <w:spacing w:after="0"/>
              <w:rPr>
                <w:sz w:val="9"/>
                <w:szCs w:val="9"/>
                <w:color w:val="auto"/>
              </w:rPr>
            </w:pPr>
          </w:p>
        </w:tc>
        <w:tc>
          <w:tcPr>
            <w:tcW w:w="86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2"/>
                <w:szCs w:val="12"/>
                <w:b w:val="1"/>
                <w:bCs w:val="1"/>
                <w:color w:val="auto"/>
              </w:rPr>
              <w:t>March 31,</w:t>
            </w:r>
          </w:p>
        </w:tc>
        <w:tc>
          <w:tcPr>
            <w:tcW w:w="5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b w:val="1"/>
                <w:bCs w:val="1"/>
                <w:color w:val="auto"/>
                <w:w w:val="93"/>
              </w:rPr>
              <w:t>March 31,</w:t>
            </w:r>
          </w:p>
        </w:tc>
        <w:tc>
          <w:tcPr>
            <w:tcW w:w="300" w:type="dxa"/>
            <w:vAlign w:val="bottom"/>
          </w:tcPr>
          <w:p>
            <w:pPr>
              <w:spacing w:after="0"/>
              <w:rPr>
                <w:sz w:val="9"/>
                <w:szCs w:val="9"/>
                <w:color w:val="auto"/>
              </w:rPr>
            </w:pPr>
          </w:p>
        </w:tc>
        <w:tc>
          <w:tcPr>
            <w:tcW w:w="128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6"/>
              </w:rPr>
              <w:t>Income (Effective</w:t>
            </w:r>
          </w:p>
        </w:tc>
        <w:tc>
          <w:tcPr>
            <w:tcW w:w="86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2"/>
                <w:szCs w:val="12"/>
                <w:b w:val="1"/>
                <w:bCs w:val="1"/>
                <w:color w:val="auto"/>
              </w:rPr>
              <w:t>March 31,</w:t>
            </w:r>
          </w:p>
        </w:tc>
        <w:tc>
          <w:tcPr>
            <w:tcW w:w="5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b w:val="1"/>
                <w:bCs w:val="1"/>
                <w:color w:val="auto"/>
                <w:w w:val="93"/>
              </w:rPr>
              <w:t>March 31,</w:t>
            </w:r>
          </w:p>
        </w:tc>
        <w:tc>
          <w:tcPr>
            <w:tcW w:w="320" w:type="dxa"/>
            <w:vAlign w:val="bottom"/>
          </w:tcPr>
          <w:p>
            <w:pPr>
              <w:spacing w:after="0"/>
              <w:rPr>
                <w:sz w:val="9"/>
                <w:szCs w:val="9"/>
                <w:color w:val="auto"/>
              </w:rPr>
            </w:pPr>
          </w:p>
        </w:tc>
        <w:tc>
          <w:tcPr>
            <w:tcW w:w="130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0"/>
              </w:rPr>
              <w:t>Effectiveness</w:t>
            </w:r>
          </w:p>
        </w:tc>
        <w:tc>
          <w:tcPr>
            <w:tcW w:w="86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March 31,</w:t>
            </w:r>
          </w:p>
        </w:tc>
        <w:tc>
          <w:tcPr>
            <w:tcW w:w="54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2"/>
                <w:szCs w:val="12"/>
                <w:b w:val="1"/>
                <w:bCs w:val="1"/>
                <w:color w:val="auto"/>
                <w:w w:val="93"/>
              </w:rPr>
              <w:t>March 31,</w:t>
            </w:r>
          </w:p>
        </w:tc>
        <w:tc>
          <w:tcPr>
            <w:tcW w:w="80" w:type="dxa"/>
            <w:vAlign w:val="bottom"/>
          </w:tcPr>
          <w:p>
            <w:pPr>
              <w:spacing w:after="0"/>
              <w:rPr>
                <w:sz w:val="9"/>
                <w:szCs w:val="9"/>
                <w:color w:val="auto"/>
              </w:rPr>
            </w:pPr>
          </w:p>
        </w:tc>
      </w:tr>
      <w:tr>
        <w:trPr>
          <w:trHeight w:val="153"/>
        </w:trPr>
        <w:tc>
          <w:tcPr>
            <w:tcW w:w="1840" w:type="dxa"/>
            <w:vAlign w:val="bottom"/>
          </w:tcPr>
          <w:p>
            <w:pPr>
              <w:spacing w:after="0"/>
              <w:rPr>
                <w:sz w:val="13"/>
                <w:szCs w:val="13"/>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3"/>
                <w:szCs w:val="13"/>
                <w:color w:val="auto"/>
              </w:rPr>
            </w:pPr>
          </w:p>
        </w:tc>
        <w:tc>
          <w:tcPr>
            <w:tcW w:w="540" w:type="dxa"/>
            <w:vAlign w:val="bottom"/>
          </w:tcPr>
          <w:p>
            <w:pPr>
              <w:jc w:val="right"/>
              <w:ind w:right="79"/>
              <w:spacing w:after="0"/>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Portion)</w:t>
            </w:r>
          </w:p>
        </w:tc>
        <w:tc>
          <w:tcPr>
            <w:tcW w:w="540" w:type="dxa"/>
            <w:vAlign w:val="bottom"/>
          </w:tcPr>
          <w:p>
            <w:pPr>
              <w:jc w:val="right"/>
              <w:ind w:right="78"/>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3"/>
                <w:szCs w:val="13"/>
                <w:color w:val="auto"/>
              </w:rPr>
            </w:pPr>
          </w:p>
        </w:tc>
        <w:tc>
          <w:tcPr>
            <w:tcW w:w="540" w:type="dxa"/>
            <w:vAlign w:val="bottom"/>
          </w:tcPr>
          <w:p>
            <w:pPr>
              <w:jc w:val="right"/>
              <w:ind w:right="79"/>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Testing)</w:t>
            </w:r>
          </w:p>
        </w:tc>
        <w:tc>
          <w:tcPr>
            <w:tcW w:w="100" w:type="dxa"/>
            <w:vAlign w:val="bottom"/>
          </w:tcPr>
          <w:p>
            <w:pPr>
              <w:spacing w:after="0"/>
              <w:rPr>
                <w:sz w:val="13"/>
                <w:szCs w:val="13"/>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2009</w:t>
            </w:r>
          </w:p>
        </w:tc>
        <w:tc>
          <w:tcPr>
            <w:tcW w:w="3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9"/>
        </w:trPr>
        <w:tc>
          <w:tcPr>
            <w:tcW w:w="18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1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rate products</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   3,118</w:t>
            </w:r>
          </w:p>
        </w:tc>
        <w:tc>
          <w:tcPr>
            <w:tcW w:w="8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w w:val="95"/>
              </w:rPr>
              <w:t>$  24,748</w:t>
            </w:r>
          </w:p>
        </w:tc>
        <w:tc>
          <w:tcPr>
            <w:tcW w:w="1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revenue</w:t>
            </w:r>
          </w:p>
        </w:tc>
        <w:tc>
          <w:tcPr>
            <w:tcW w:w="860" w:type="dxa"/>
            <w:vAlign w:val="bottom"/>
            <w:gridSpan w:val="2"/>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w w:val="95"/>
              </w:rPr>
              <w:t>$  10,990</w:t>
            </w: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   4,483</w:t>
            </w:r>
          </w:p>
        </w:tc>
        <w:tc>
          <w:tcPr>
            <w:tcW w:w="13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Other fee revenue</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r>
      <w:tr>
        <w:trPr>
          <w:trHeight w:val="20"/>
        </w:trPr>
        <w:tc>
          <w:tcPr>
            <w:tcW w:w="1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w:t>
      </w:r>
    </w:p>
    <w:p>
      <w:pPr>
        <w:spacing w:after="0" w:line="13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the United fails to maintain its status as a well-capitalized institution, it could be declared in default on its derivative obligations. United has an agreement with one counterparty that contains a provision where if United fails to maintain a minimum shareholders’ equity of $300 million, it could be declared in default on its derivative obligations. An agreement with another counterparty contains a provision where if United fails to maintain a minimum tier 1 leverage ratio of 5.0%, a minimum tier 1 risk-based capital ratio of 6.0%, and a minimum total risk-based capital ratio of 10%, it could be declared in default on its derivative obligations.</w:t>
      </w: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Recent Accounting Pronouncements</w:t>
      </w:r>
    </w:p>
    <w:p>
      <w:pPr>
        <w:spacing w:after="0" w:line="202"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In April 2009, the FASB issued FASB Staff Position No. FAS 157-4 (“FSP FAS 157-4”), </w:t>
      </w:r>
      <w:r>
        <w:rPr>
          <w:rFonts w:ascii="Arial" w:cs="Arial" w:eastAsia="Arial" w:hAnsi="Arial"/>
          <w:sz w:val="17"/>
          <w:szCs w:val="17"/>
          <w:i w:val="1"/>
          <w:iCs w:val="1"/>
          <w:color w:val="auto"/>
        </w:rPr>
        <w:t>Determining Fair Value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Volume and Level of Activity for the Asset or Liability Have Significantly Decreased and Identifying Transactions That Are Not Orderly</w:t>
      </w:r>
      <w:r>
        <w:rPr>
          <w:rFonts w:ascii="Arial" w:cs="Arial" w:eastAsia="Arial" w:hAnsi="Arial"/>
          <w:sz w:val="17"/>
          <w:szCs w:val="17"/>
          <w:color w:val="auto"/>
        </w:rPr>
        <w:t>. FSP FAS 157-4 provides additional guidance for estimating fair value in accordance with FASB Statement No. 157,</w:t>
      </w:r>
      <w:r>
        <w:rPr>
          <w:rFonts w:ascii="Arial" w:cs="Arial" w:eastAsia="Arial" w:hAnsi="Arial"/>
          <w:sz w:val="17"/>
          <w:szCs w:val="17"/>
          <w:i w:val="1"/>
          <w:iCs w:val="1"/>
          <w:color w:val="auto"/>
        </w:rPr>
        <w:t xml:space="preserve"> Fair Value Measurements</w:t>
      </w:r>
      <w:r>
        <w:rPr>
          <w:rFonts w:ascii="Arial" w:cs="Arial" w:eastAsia="Arial" w:hAnsi="Arial"/>
          <w:sz w:val="17"/>
          <w:szCs w:val="17"/>
          <w:color w:val="auto"/>
        </w:rPr>
        <w:t>, when the volume and level of activity for the asset or liability have significantly decreased. This FSP</w:t>
      </w:r>
      <w:r>
        <w:rPr>
          <w:rFonts w:ascii="Arial" w:cs="Arial" w:eastAsia="Arial" w:hAnsi="Arial"/>
          <w:sz w:val="17"/>
          <w:szCs w:val="17"/>
          <w:i w:val="1"/>
          <w:iCs w:val="1"/>
          <w:color w:val="auto"/>
        </w:rPr>
        <w:t xml:space="preserve"> </w:t>
      </w:r>
      <w:r>
        <w:rPr>
          <w:rFonts w:ascii="Arial" w:cs="Arial" w:eastAsia="Arial" w:hAnsi="Arial"/>
          <w:sz w:val="17"/>
          <w:szCs w:val="17"/>
          <w:color w:val="auto"/>
        </w:rPr>
        <w:t>also includes guidance on identifying circumstances that indicate a transaction is not orderly. This FSP emphasizes that even if there has been a significant decrease in the volume and level of activity for the asset or liability and regardless of the valuation technique(s) used, the objective of a fair value measurement remains the same. Fair value is the price that would be received to sell an asset or paid to transfer a liability in an orderly transaction (that is, not a forced liquidation or distressed sale) between market participants at the measurement date under current market conditions. This accounting standard will be effective for United for the second quarter of 2009. United does not anticipate a significant impact on results of operations or financial position upon its adoption in the second quarter.</w:t>
      </w:r>
    </w:p>
    <w:p>
      <w:pPr>
        <w:spacing w:after="0" w:line="14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 xml:space="preserve">In April 2009, the FASB issued FASB Staff Position No. FAS 107-1 and APB 28-1 (“FSP FAS 107-1 and APB 28-1”), </w:t>
      </w:r>
      <w:r>
        <w:rPr>
          <w:rFonts w:ascii="Arial" w:cs="Arial" w:eastAsia="Arial" w:hAnsi="Arial"/>
          <w:sz w:val="17"/>
          <w:szCs w:val="17"/>
          <w:i w:val="1"/>
          <w:iCs w:val="1"/>
          <w:color w:val="auto"/>
        </w:rPr>
        <w:t>Interim Disclosures about Fair Value of Financial Instruments</w:t>
      </w:r>
      <w:r>
        <w:rPr>
          <w:rFonts w:ascii="Arial" w:cs="Arial" w:eastAsia="Arial" w:hAnsi="Arial"/>
          <w:sz w:val="17"/>
          <w:szCs w:val="17"/>
          <w:color w:val="auto"/>
        </w:rPr>
        <w:t>. FSP FAS 107-1 and APB 28-1 amends FASB Statement No. 107,</w:t>
      </w:r>
      <w:r>
        <w:rPr>
          <w:rFonts w:ascii="Arial" w:cs="Arial" w:eastAsia="Arial" w:hAnsi="Arial"/>
          <w:sz w:val="17"/>
          <w:szCs w:val="17"/>
          <w:i w:val="1"/>
          <w:iCs w:val="1"/>
          <w:color w:val="auto"/>
        </w:rPr>
        <w:t xml:space="preserve"> Disclosures about Fair Value of Financial Instruments</w:t>
      </w:r>
      <w:r>
        <w:rPr>
          <w:rFonts w:ascii="Arial" w:cs="Arial" w:eastAsia="Arial" w:hAnsi="Arial"/>
          <w:sz w:val="17"/>
          <w:szCs w:val="17"/>
          <w:color w:val="auto"/>
        </w:rPr>
        <w:t>, to require disclosures about fair value of financial instruments for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reporting periods of publicly traded companies as well as in annual financial statements. This FSP also amends APB No. 28,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to require those disclosures in summarized financial information at interim reporting periods. This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 will be effective for United for the second quarter of 2009. It will not have any impact on results of operations or financial position since it is for disclosure purposes only.</w:t>
      </w:r>
    </w:p>
    <w:p>
      <w:pPr>
        <w:spacing w:after="0" w:line="137"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In April 2009, the FASB issued FASB Staff Position No. FAS 115-2 and FAS 124-2 (“FSP FAS 115-2 and FAS 124-2”), </w:t>
      </w:r>
      <w:r>
        <w:rPr>
          <w:rFonts w:ascii="Arial" w:cs="Arial" w:eastAsia="Arial" w:hAnsi="Arial"/>
          <w:sz w:val="17"/>
          <w:szCs w:val="17"/>
          <w:i w:val="1"/>
          <w:iCs w:val="1"/>
          <w:color w:val="auto"/>
        </w:rPr>
        <w:t>Recognition and Presentation of Other-Than-Temporary-Impairments</w:t>
      </w:r>
      <w:r>
        <w:rPr>
          <w:rFonts w:ascii="Arial" w:cs="Arial" w:eastAsia="Arial" w:hAnsi="Arial"/>
          <w:sz w:val="17"/>
          <w:szCs w:val="17"/>
          <w:color w:val="auto"/>
        </w:rPr>
        <w:t>. The objective of an other-than-temporary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under existing GAAP is to determine whether the holder of an investment in a debt or equity security for which changes in fair value are not regularly recognized in earnings (such as securities classified as held-to-maturity or available-for-sale) should recognize a loss in earnings when the investment is impaired. An investment is impaired if the fair value of the investment is less than its amortized cost basis. This FSP amends the other-than-temporary impairment guidance in GAAP for debt securities to make the guidance more operational and to improve the presentation and disclosure of other-than-temporary impairments on debt and equity securities in the financial statements. This FSP does not amend existing recognition and measurement guidance related to other-than-temporary impairments of equity securities. This accounting standard will be effective for United for the second quarter of 2009. United does not anticipate a significant impact on results of operations or financial position upon its adoption in the second quarter.</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Reclassifications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2008 amounts have been reclassified to conform to the 2009 presentation.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Goodwill</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 xml:space="preserve">A summary of the changes in goodwill for the three-months ended March 31, 2009 and 2008 is presented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305,590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306,086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Purchase adjustments</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(70,000)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235,590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During the first quarter of 2009, United updated its annual goodwill impairment assessment as a result of its stock price falling significantly below tangible book value. As a result of the updated assessment, goodwill was found to be impaired and was written down to its estimated fair value. The impairment charge of $70 million was recognized as an expense in the first quarter 2009 consolidated statement of income.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This Form 10-Q contains forward-looking statements regarding United Community Banks, Inc.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138" w:lineRule="exact"/>
        <w:rPr>
          <w:sz w:val="20"/>
          <w:szCs w:val="20"/>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condition of the banking system and financial markets;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limited ability to raise capital or maintain liquidity;</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pay dividends;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past operating results may not be indicative of future operating results;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business is subject to the success of the local economies in which we operate;</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face risks with respect to future expansion and acquisitions or mergers;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 earnings would decrease;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competition from financial institutions and other financial service providers may adversely affect our profitability;</w:t>
      </w:r>
    </w:p>
    <w:p>
      <w:pPr>
        <w:spacing w:after="0" w:line="169" w:lineRule="exact"/>
        <w:rPr>
          <w:rFonts w:ascii="Arial" w:cs="Arial" w:eastAsia="Arial" w:hAnsi="Arial"/>
          <w:sz w:val="17"/>
          <w:szCs w:val="17"/>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02"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competitive pressures among financial services companies increase significantly;</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success of our business strategy;</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strength of the United States economy in general;</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in trade, monetary and fiscal policies and laws, including interest rate policies of the Board of Governors of the Federal Reserve System;</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inflation or market conditions fluctuate;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technology changes and United fails to adapt to those changes;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consumer spending and saving habits change;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occur; and</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United is unsuccessful at managing the risks involved in the foregoing.</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following discussion is intended to provide insight into the results of operations and financial condition of United and its subsidiaries and should be read in conjunction with the consolidated financial statements and accompanying notes.</w:t>
      </w:r>
    </w:p>
    <w:p>
      <w:pPr>
        <w:spacing w:after="0" w:line="10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March 31, 2009, United had total consolidated assets of $8.1 billion, total loans of $5.6 billion, total deposits of $6.6 billion and stockholders’ equity of $889 million.</w:t>
      </w:r>
    </w:p>
    <w:p>
      <w:pPr>
        <w:spacing w:after="0" w:line="14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United’s activities are primarily conducted by its wholly owned Georgia banking subsidiary (the “Bank”) and Brintech, Inc., a consulting firm providing professional services to the financial services industry. The Bank operations are conducted under a community bank model that operates 27 “community banks” with local bank presidents and boards in north Georgia, the Atlanta metropolitan statistical area (“MSA”), the Gainesville MSA, coastal Georgia, western North Carolina, and east Tennessee.</w:t>
      </w:r>
    </w:p>
    <w:p>
      <w:pPr>
        <w:spacing w:after="0" w:line="127"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United reported a net loss of $103.8 million for the first quarter of 2009, which included a non-recurring, non-cash charge of $70 million for goodwill impairment and severance costs of $2.9 million for a reduction in workforce. United’s net operating loss, which excludes the non-recurring goodwill impairment and severance charges was $32.0 million for the first quarter of 2009. This compared with net income of $16.1 million for the first quarter of 2008. Diluted operating loss per common share was $.71 for the first quarter of 2009, compared with diluted earnings per common share of $.34 for the first quarter of 2008. The goodwill impairment charge and severance costs in the first quarter of 2009 represented $1.45 and $.04, respectively, of the per share loss for the quarter of 2009 bringing the net loss per diluted share to $2.20. The first quarter of 2009 operating loss reflects the current recessionary economic environment and credit losses primarily resulting from the weak housing market.</w:t>
      </w:r>
    </w:p>
    <w:p>
      <w:pPr>
        <w:spacing w:after="0" w:line="12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Operating loss and operating loss per diluted share are non-GAAP performance measures. United’s management believes that operating performance is useful in analyzing the company’s financial performance trends since it excludes items that are non-recurring in nature. A reconciliation of these operating performance measures to GAAP performance measures is included in the financial highlights table on page 16.</w:t>
      </w:r>
    </w:p>
    <w:p>
      <w:pPr>
        <w:spacing w:after="0" w:line="14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Earnings decreased primarily as a result of the goodwill impairment charge, severance costs and a higher provision for loan losses related to the increase in charge-offs within the loan portfolio combined with margin compression due to an increase in non-performing assets, competitive deposit pricing and the ongoing effect of efforts to maintain liquidity. Although the margin was down from a year ago, it was up 38 basis points from the fourth quarter of 2008, reflecting improvement in loan and deposit pricing. Housing sales remain at low levels, leaving a surplus of finished housing and lot inventory in our markets, most notably in the Atlanta MSA. This decline in housing sales negatively affects both the cash flows of our residential construction and land development customers, and the demand for new land development loans.</w:t>
      </w:r>
    </w:p>
    <w:p>
      <w:pPr>
        <w:spacing w:after="0" w:line="15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Nonperforming assets, of $334.5 million, increased to 4.11% of total assets as of March 31, 2009, compared to 1.07 % as of March 31, 2008 and 2.94% as of December 31, 2008. This increase is a reflection of the continuing effects of declining home sales in the Atlanta MSA, which itself is indicative of the regional economic slowdown that is occurring in much of the Southeast.</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Fee revenue decreased $1.4 million, or 10%, from the first quarter of 2008. With the exception of mortgage fees, all other fee revenue sources decreased from the first quarter of 2008. Mortgage fees were up $688,000, or 35%, reflecting higher refinancing activity resulting from the low interest rate environment. In terms of mortgage production, United closed 996 loans totaling $174 million in the first quarter of 2009 which set a new company record. The decrease in the other fee revenue categories primarily reflects the weak economy.</w:t>
      </w:r>
    </w:p>
    <w:p>
      <w:pPr>
        <w:spacing w:after="0" w:line="14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Operating expenses, excluding the $70 million goodwill impairment charge and $2.9 million in severance costs, increased $5.0 million, or 11%, from the first quarter of 2008, primarily due to higher expenses associated with and writedowns on foreclosed real estate properties and higher FDIC insurance premiums. Effective January 1, 2009, the FDIC raised deposit insurance rates on all insured depository institutions by seven basis points on the balance of insured deposits. United’s first quarter expenses do not contain any provision for the one-time special assessment that is currently proposed by the FDIC.</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intangible assets and income taxes. In particular, United’s accounting policies related to allowance for loan losses, intangibles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Financial Information</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2"/>
              </w:rPr>
              <w:t>2009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First</w:t>
            </w: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93"/>
              </w:rPr>
              <w:t>Quarter</w:t>
            </w: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ind w:right="57"/>
              <w:spacing w:after="0" w:line="110" w:lineRule="exact"/>
              <w:rPr>
                <w:sz w:val="20"/>
                <w:szCs w:val="20"/>
                <w:color w:val="auto"/>
              </w:rPr>
            </w:pPr>
            <w:r>
              <w:rPr>
                <w:rFonts w:ascii="Arial" w:cs="Arial" w:eastAsia="Arial" w:hAnsi="Arial"/>
                <w:sz w:val="12"/>
                <w:szCs w:val="12"/>
                <w:b w:val="1"/>
                <w:bCs w:val="1"/>
                <w:color w:val="auto"/>
                <w:w w:val="99"/>
              </w:rPr>
              <w:t>First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rPr>
              <w:t>Fourth</w:t>
            </w:r>
          </w:p>
        </w:tc>
        <w:tc>
          <w:tcPr>
            <w:tcW w:w="100" w:type="dxa"/>
            <w:vAlign w:val="bottom"/>
          </w:tcPr>
          <w:p>
            <w:pPr>
              <w:spacing w:after="0"/>
              <w:rPr>
                <w:sz w:val="9"/>
                <w:szCs w:val="9"/>
                <w:color w:val="auto"/>
              </w:rPr>
            </w:pPr>
          </w:p>
        </w:tc>
        <w:tc>
          <w:tcPr>
            <w:tcW w:w="960" w:type="dxa"/>
            <w:vAlign w:val="bottom"/>
            <w:gridSpan w:val="2"/>
          </w:tcPr>
          <w:p>
            <w:pPr>
              <w:jc w:val="right"/>
              <w:ind w:right="560"/>
              <w:spacing w:after="0" w:line="110" w:lineRule="exact"/>
              <w:rPr>
                <w:sz w:val="20"/>
                <w:szCs w:val="20"/>
                <w:color w:val="auto"/>
              </w:rPr>
            </w:pPr>
            <w:r>
              <w:rPr>
                <w:rFonts w:ascii="Arial" w:cs="Arial" w:eastAsia="Arial" w:hAnsi="Arial"/>
                <w:sz w:val="12"/>
                <w:szCs w:val="12"/>
                <w:b w:val="1"/>
                <w:bCs w:val="1"/>
                <w:color w:val="auto"/>
              </w:rPr>
              <w:t>Third</w:t>
            </w:r>
          </w:p>
        </w:tc>
        <w:tc>
          <w:tcPr>
            <w:tcW w:w="100" w:type="dxa"/>
            <w:vAlign w:val="bottom"/>
          </w:tcPr>
          <w:p>
            <w:pPr>
              <w:spacing w:after="0"/>
              <w:rPr>
                <w:sz w:val="9"/>
                <w:szCs w:val="9"/>
                <w:color w:val="auto"/>
              </w:rPr>
            </w:pPr>
          </w:p>
        </w:tc>
        <w:tc>
          <w:tcPr>
            <w:tcW w:w="98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rPr>
              <w:t>Second</w:t>
            </w:r>
          </w:p>
        </w:tc>
        <w:tc>
          <w:tcPr>
            <w:tcW w:w="100" w:type="dxa"/>
            <w:vAlign w:val="bottom"/>
          </w:tcPr>
          <w:p>
            <w:pPr>
              <w:spacing w:after="0"/>
              <w:rPr>
                <w:sz w:val="9"/>
                <w:szCs w:val="9"/>
                <w:color w:val="auto"/>
              </w:rPr>
            </w:pPr>
          </w:p>
        </w:tc>
        <w:tc>
          <w:tcPr>
            <w:tcW w:w="620" w:type="dxa"/>
            <w:vAlign w:val="bottom"/>
          </w:tcPr>
          <w:p>
            <w:pPr>
              <w:jc w:val="right"/>
              <w:ind w:right="177"/>
              <w:spacing w:after="0" w:line="110" w:lineRule="exact"/>
              <w:rPr>
                <w:sz w:val="20"/>
                <w:szCs w:val="20"/>
                <w:color w:val="auto"/>
              </w:rPr>
            </w:pPr>
            <w:r>
              <w:rPr>
                <w:rFonts w:ascii="Arial" w:cs="Arial" w:eastAsia="Arial" w:hAnsi="Arial"/>
                <w:sz w:val="12"/>
                <w:szCs w:val="12"/>
                <w:b w:val="1"/>
                <w:bCs w:val="1"/>
                <w:color w:val="auto"/>
              </w:rPr>
              <w:t>First</w:t>
            </w:r>
          </w:p>
        </w:tc>
        <w:tc>
          <w:tcPr>
            <w:tcW w:w="36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2009-2008</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100" w:type="dxa"/>
            <w:vAlign w:val="bottom"/>
            <w:gridSpan w:val="2"/>
          </w:tcPr>
          <w:p>
            <w:pPr>
              <w:spacing w:after="0"/>
              <w:rPr>
                <w:sz w:val="20"/>
                <w:szCs w:val="20"/>
                <w:color w:val="auto"/>
              </w:rPr>
            </w:pPr>
            <w:r>
              <w:rPr>
                <w:rFonts w:ascii="Arial" w:cs="Arial" w:eastAsia="Arial" w:hAnsi="Arial"/>
                <w:sz w:val="13"/>
                <w:szCs w:val="13"/>
                <w:i w:val="1"/>
                <w:iCs w:val="1"/>
                <w:color w:val="auto"/>
                <w:w w:val="94"/>
              </w:rPr>
              <w:t>(in thousands, except per share data; taxable equivalent)</w:t>
            </w:r>
          </w:p>
        </w:tc>
        <w:tc>
          <w:tcPr>
            <w:tcW w:w="100" w:type="dxa"/>
            <w:vAlign w:val="bottom"/>
          </w:tcPr>
          <w:p>
            <w:pPr>
              <w:spacing w:after="0"/>
              <w:rPr>
                <w:sz w:val="13"/>
                <w:szCs w:val="13"/>
                <w:color w:val="auto"/>
              </w:rPr>
            </w:pPr>
          </w:p>
        </w:tc>
        <w:tc>
          <w:tcPr>
            <w:tcW w:w="960" w:type="dxa"/>
            <w:vAlign w:val="bottom"/>
            <w:gridSpan w:val="2"/>
          </w:tcPr>
          <w:p>
            <w:pPr>
              <w:jc w:val="center"/>
              <w:ind w:right="398"/>
              <w:spacing w:after="0"/>
              <w:rPr>
                <w:sz w:val="20"/>
                <w:szCs w:val="20"/>
                <w:color w:val="auto"/>
              </w:rPr>
            </w:pPr>
            <w:r>
              <w:rPr>
                <w:rFonts w:ascii="Arial" w:cs="Arial" w:eastAsia="Arial" w:hAnsi="Arial"/>
                <w:sz w:val="13"/>
                <w:szCs w:val="13"/>
                <w:b w:val="1"/>
                <w:bCs w:val="1"/>
                <w:color w:val="auto"/>
                <w:w w:val="93"/>
              </w:rPr>
              <w:t>Quarter</w:t>
            </w:r>
          </w:p>
        </w:tc>
        <w:tc>
          <w:tcPr>
            <w:tcW w:w="10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7"/>
              </w:rPr>
              <w:t>Quarter</w:t>
            </w:r>
          </w:p>
        </w:tc>
        <w:tc>
          <w:tcPr>
            <w:tcW w:w="10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7"/>
              </w:rPr>
              <w:t>Quarter</w:t>
            </w:r>
          </w:p>
        </w:tc>
        <w:tc>
          <w:tcPr>
            <w:tcW w:w="10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7"/>
              </w:rPr>
              <w:t>Quarter</w:t>
            </w:r>
          </w:p>
        </w:tc>
        <w:tc>
          <w:tcPr>
            <w:tcW w:w="10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7"/>
              </w:rPr>
              <w:t>Quarter</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129"/>
        </w:trPr>
        <w:tc>
          <w:tcPr>
            <w:tcW w:w="28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INCOME SUMMARY</w:t>
            </w:r>
          </w:p>
        </w:tc>
        <w:tc>
          <w:tcPr>
            <w:tcW w:w="2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color w:val="auto"/>
              </w:rPr>
              <w:t>Interest revenue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103,562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108,434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112,510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116,984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129,041</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46,150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56,561</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53,719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55,231</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62,754</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gridSpan w:val="2"/>
          </w:tcPr>
          <w:p>
            <w:pPr>
              <w:ind w:left="400"/>
              <w:spacing w:after="0" w:line="143" w:lineRule="exact"/>
              <w:rPr>
                <w:sz w:val="20"/>
                <w:szCs w:val="20"/>
                <w:color w:val="auto"/>
              </w:rPr>
            </w:pPr>
            <w:r>
              <w:rPr>
                <w:rFonts w:ascii="Arial" w:cs="Arial" w:eastAsia="Arial" w:hAnsi="Arial"/>
                <w:sz w:val="13"/>
                <w:szCs w:val="13"/>
                <w:color w:val="auto"/>
              </w:rPr>
              <w:t>Net interest revenue</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57,412</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51,873</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58,791</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61,753</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66,287</w:t>
            </w:r>
          </w:p>
        </w:tc>
        <w:tc>
          <w:tcPr>
            <w:tcW w:w="360" w:type="dxa"/>
            <w:vAlign w:val="bottom"/>
          </w:tcPr>
          <w:p>
            <w:pPr>
              <w:spacing w:after="0"/>
              <w:rPr>
                <w:sz w:val="12"/>
                <w:szCs w:val="12"/>
                <w:color w:val="auto"/>
              </w:rPr>
            </w:pPr>
          </w:p>
        </w:tc>
        <w:tc>
          <w:tcPr>
            <w:tcW w:w="8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Provision for loan losses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65,000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85,000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76,000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15,500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7,500</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color w:val="auto"/>
              </w:rPr>
              <w:t>Fee revenue</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12,846</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10,718</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13,121</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15,105</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14,197</w:t>
            </w: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b w:val="1"/>
                <w:bCs w:val="1"/>
                <w:color w:val="auto"/>
              </w:rPr>
              <w:t>Total revenue</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5,258</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(22,409)</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(4,088)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61,358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72,984</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Operating expenses </w:t>
            </w: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52,569</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52,439</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56,970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49,761</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47,529</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Operating (loss) income before taxes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(47,311)</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(74,848)</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(61,058)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11,597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25,455</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color w:val="auto"/>
              </w:rPr>
              <w:t>Income tax (benefit) expense</w:t>
            </w:r>
          </w:p>
        </w:tc>
        <w:tc>
          <w:tcPr>
            <w:tcW w:w="100" w:type="dxa"/>
            <w:vAlign w:val="bottom"/>
          </w:tcPr>
          <w:p>
            <w:pPr>
              <w:spacing w:after="0"/>
              <w:rPr>
                <w:sz w:val="11"/>
                <w:szCs w:val="11"/>
                <w:color w:val="auto"/>
              </w:rPr>
            </w:pPr>
          </w:p>
        </w:tc>
        <w:tc>
          <w:tcPr>
            <w:tcW w:w="960" w:type="dxa"/>
            <w:vAlign w:val="bottom"/>
            <w:gridSpan w:val="2"/>
          </w:tcPr>
          <w:p>
            <w:pPr>
              <w:jc w:val="right"/>
              <w:ind w:right="258"/>
              <w:spacing w:after="0" w:line="135" w:lineRule="exact"/>
              <w:rPr>
                <w:sz w:val="20"/>
                <w:szCs w:val="20"/>
                <w:color w:val="auto"/>
              </w:rPr>
            </w:pPr>
            <w:r>
              <w:rPr>
                <w:rFonts w:ascii="Arial" w:cs="Arial" w:eastAsia="Arial" w:hAnsi="Arial"/>
                <w:sz w:val="13"/>
                <w:szCs w:val="13"/>
                <w:color w:val="auto"/>
              </w:rPr>
              <w:t>(15,335)</w:t>
            </w:r>
          </w:p>
        </w:tc>
        <w:tc>
          <w:tcPr>
            <w:tcW w:w="100" w:type="dxa"/>
            <w:vAlign w:val="bottom"/>
          </w:tcPr>
          <w:p>
            <w:pPr>
              <w:spacing w:after="0"/>
              <w:rPr>
                <w:sz w:val="11"/>
                <w:szCs w:val="11"/>
                <w:color w:val="auto"/>
              </w:rPr>
            </w:pPr>
          </w:p>
        </w:tc>
        <w:tc>
          <w:tcPr>
            <w:tcW w:w="9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(28,101)</w:t>
            </w:r>
          </w:p>
        </w:tc>
        <w:tc>
          <w:tcPr>
            <w:tcW w:w="100" w:type="dxa"/>
            <w:vAlign w:val="bottom"/>
          </w:tcPr>
          <w:p>
            <w:pPr>
              <w:spacing w:after="0"/>
              <w:rPr>
                <w:sz w:val="11"/>
                <w:szCs w:val="11"/>
                <w:color w:val="auto"/>
              </w:rPr>
            </w:pPr>
          </w:p>
        </w:tc>
        <w:tc>
          <w:tcPr>
            <w:tcW w:w="9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(21,184)</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4,504</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9,377</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b w:val="1"/>
                <w:bCs w:val="1"/>
                <w:color w:val="auto"/>
              </w:rPr>
              <w:t xml:space="preserve">Net operating (loss) income </w:t>
            </w: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(31,976)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(46,747)</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(39,874)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7,093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16,078</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color w:val="auto"/>
              </w:rPr>
              <w:t>Noncash goodwill impairment charge</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70,000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Severance costs, net of tax benefit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1,797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gridSpan w:val="2"/>
          </w:tcPr>
          <w:p>
            <w:pPr>
              <w:ind w:left="400"/>
              <w:spacing w:after="0" w:line="143" w:lineRule="exact"/>
              <w:rPr>
                <w:sz w:val="20"/>
                <w:szCs w:val="20"/>
                <w:color w:val="auto"/>
              </w:rPr>
            </w:pPr>
            <w:r>
              <w:rPr>
                <w:rFonts w:ascii="Arial" w:cs="Arial" w:eastAsia="Arial" w:hAnsi="Arial"/>
                <w:sz w:val="13"/>
                <w:szCs w:val="13"/>
                <w:b w:val="1"/>
                <w:bCs w:val="1"/>
                <w:color w:val="auto"/>
              </w:rPr>
              <w:t>Net (loss) income</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(103,773)</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(46,747)</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(39,874)</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7,093</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16,078</w:t>
            </w:r>
          </w:p>
        </w:tc>
        <w:tc>
          <w:tcPr>
            <w:tcW w:w="360" w:type="dxa"/>
            <w:vAlign w:val="bottom"/>
          </w:tcPr>
          <w:p>
            <w:pPr>
              <w:spacing w:after="0"/>
              <w:rPr>
                <w:sz w:val="12"/>
                <w:szCs w:val="12"/>
                <w:color w:val="auto"/>
              </w:rPr>
            </w:pPr>
          </w:p>
        </w:tc>
        <w:tc>
          <w:tcPr>
            <w:tcW w:w="8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Preferred dividends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2,554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712</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4"/>
              </w:rPr>
              <w:t>Net (loss) income available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(106,327</w:t>
            </w:r>
          </w:p>
        </w:tc>
        <w:tc>
          <w:tcPr>
            <w:tcW w:w="340" w:type="dxa"/>
            <w:vAlign w:val="bottom"/>
          </w:tcPr>
          <w:p>
            <w:pPr>
              <w:jc w:val="right"/>
              <w:ind w:right="25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(47,459)</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(39,878)</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7,089</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16,074</w:t>
            </w:r>
          </w:p>
        </w:tc>
        <w:tc>
          <w:tcPr>
            <w:tcW w:w="360" w:type="dxa"/>
            <w:vAlign w:val="bottom"/>
          </w:tcPr>
          <w:p>
            <w:pPr>
              <w:spacing w:after="0"/>
              <w:rPr>
                <w:sz w:val="12"/>
                <w:szCs w:val="12"/>
                <w:color w:val="auto"/>
              </w:rPr>
            </w:pPr>
          </w:p>
        </w:tc>
        <w:tc>
          <w:tcPr>
            <w:tcW w:w="8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PERFORMANCE MEASURES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Per common share: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 xml:space="preserve">Diluted operating (loss) earnings </w:t>
            </w:r>
            <w:r>
              <w:rPr>
                <w:rFonts w:ascii="Arial" w:cs="Arial" w:eastAsia="Arial" w:hAnsi="Arial"/>
                <w:sz w:val="10"/>
                <w:szCs w:val="10"/>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.34</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21"/>
        </w:trPr>
        <w:tc>
          <w:tcPr>
            <w:tcW w:w="3100" w:type="dxa"/>
            <w:vAlign w:val="bottom"/>
            <w:gridSpan w:val="2"/>
          </w:tcPr>
          <w:p>
            <w:pPr>
              <w:ind w:left="600"/>
              <w:spacing w:after="0" w:line="121" w:lineRule="exact"/>
              <w:rPr>
                <w:sz w:val="20"/>
                <w:szCs w:val="20"/>
                <w:color w:val="auto"/>
              </w:rPr>
            </w:pPr>
            <w:r>
              <w:rPr>
                <w:rFonts w:ascii="Arial" w:cs="Arial" w:eastAsia="Arial" w:hAnsi="Arial"/>
                <w:sz w:val="13"/>
                <w:szCs w:val="13"/>
                <w:color w:val="auto"/>
              </w:rPr>
              <w:t>Per share impact of goodwill impairment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ind w:left="800"/>
              <w:spacing w:after="0"/>
              <w:rPr>
                <w:sz w:val="20"/>
                <w:szCs w:val="20"/>
                <w:color w:val="auto"/>
              </w:rPr>
            </w:pPr>
            <w:r>
              <w:rPr>
                <w:rFonts w:ascii="Arial" w:cs="Arial" w:eastAsia="Arial" w:hAnsi="Arial"/>
                <w:sz w:val="13"/>
                <w:szCs w:val="13"/>
                <w:color w:val="auto"/>
              </w:rPr>
              <w:t>charge</w:t>
            </w:r>
          </w:p>
        </w:tc>
        <w:tc>
          <w:tcPr>
            <w:tcW w:w="100" w:type="dxa"/>
            <w:vAlign w:val="bottom"/>
          </w:tcPr>
          <w:p>
            <w:pPr>
              <w:spacing w:after="0"/>
              <w:rPr>
                <w:sz w:val="12"/>
                <w:szCs w:val="12"/>
                <w:color w:val="auto"/>
              </w:rPr>
            </w:pPr>
          </w:p>
        </w:tc>
        <w:tc>
          <w:tcPr>
            <w:tcW w:w="960" w:type="dxa"/>
            <w:vAlign w:val="bottom"/>
            <w:gridSpan w:val="2"/>
          </w:tcPr>
          <w:p>
            <w:pPr>
              <w:jc w:val="right"/>
              <w:ind w:right="258"/>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600"/>
              <w:spacing w:after="0" w:line="135" w:lineRule="exact"/>
              <w:rPr>
                <w:sz w:val="20"/>
                <w:szCs w:val="20"/>
                <w:color w:val="auto"/>
              </w:rPr>
            </w:pPr>
            <w:r>
              <w:rPr>
                <w:rFonts w:ascii="Arial" w:cs="Arial" w:eastAsia="Arial" w:hAnsi="Arial"/>
                <w:sz w:val="13"/>
                <w:szCs w:val="13"/>
                <w:color w:val="auto"/>
              </w:rPr>
              <w:t>Per share impact of severance costs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58"/>
              <w:spacing w:after="0" w:line="135" w:lineRule="exact"/>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Diluted (loss) earnings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NM</w:t>
            </w:r>
          </w:p>
        </w:tc>
        <w:tc>
          <w:tcPr>
            <w:tcW w:w="0" w:type="dxa"/>
            <w:vAlign w:val="bottom"/>
          </w:tcPr>
          <w:p>
            <w:pPr>
              <w:spacing w:after="0" w:line="20" w:lineRule="exact"/>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58"/>
              <w:spacing w:after="0" w:line="143" w:lineRule="exact"/>
              <w:rPr>
                <w:sz w:val="20"/>
                <w:szCs w:val="20"/>
                <w:color w:val="auto"/>
              </w:rPr>
            </w:pPr>
            <w:r>
              <w:rPr>
                <w:rFonts w:ascii="Arial" w:cs="Arial" w:eastAsia="Arial" w:hAnsi="Arial"/>
                <w:sz w:val="13"/>
                <w:szCs w:val="13"/>
                <w:color w:val="auto"/>
              </w:rPr>
              <w:t>(2.20)</w:t>
            </w:r>
          </w:p>
        </w:tc>
        <w:tc>
          <w:tcPr>
            <w:tcW w:w="10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(.99)</w:t>
            </w: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(.84)</w:t>
            </w: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.15</w:t>
            </w: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.34</w:t>
            </w:r>
          </w:p>
        </w:tc>
        <w:tc>
          <w:tcPr>
            <w:tcW w:w="3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Cash dividends declared</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.09</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 xml:space="preserve">Stock dividends declared </w:t>
            </w: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1 for 130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 for 130</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 for 130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Book value</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14.70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16.95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17.12</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17.75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18.50</w:t>
            </w: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9.65</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10.39</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10.48</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11.03</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11.76</w:t>
            </w: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Key performance ratios: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 xml:space="preserve">Return on tangible equity </w:t>
            </w:r>
            <w:r>
              <w:rPr>
                <w:rFonts w:ascii="Arial" w:cs="Arial" w:eastAsia="Arial" w:hAnsi="Arial"/>
                <w:sz w:val="10"/>
                <w:szCs w:val="10"/>
                <w:color w:val="auto"/>
              </w:rPr>
              <w:t>(2)(3)</w:t>
            </w:r>
          </w:p>
        </w:tc>
        <w:tc>
          <w:tcPr>
            <w:tcW w:w="100" w:type="dxa"/>
            <w:vAlign w:val="bottom"/>
          </w:tcPr>
          <w:p>
            <w:pPr>
              <w:spacing w:after="0"/>
              <w:rPr>
                <w:sz w:val="11"/>
                <w:szCs w:val="11"/>
                <w:color w:val="auto"/>
              </w:rPr>
            </w:pPr>
          </w:p>
        </w:tc>
        <w:tc>
          <w:tcPr>
            <w:tcW w:w="96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NM%</w:t>
            </w:r>
          </w:p>
        </w:tc>
        <w:tc>
          <w:tcPr>
            <w:tcW w:w="10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NM%</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NM%</w:t>
            </w:r>
          </w:p>
        </w:tc>
        <w:tc>
          <w:tcPr>
            <w:tcW w:w="10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5.86%</w:t>
            </w:r>
          </w:p>
        </w:tc>
        <w:tc>
          <w:tcPr>
            <w:tcW w:w="10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13.16%</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 xml:space="preserve">Return on equity </w:t>
            </w:r>
            <w:r>
              <w:rPr>
                <w:rFonts w:ascii="Arial" w:cs="Arial" w:eastAsia="Arial" w:hAnsi="Arial"/>
                <w:sz w:val="10"/>
                <w:szCs w:val="10"/>
                <w:color w:val="auto"/>
              </w:rPr>
              <w:t>(2)(4)</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NM</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NM</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NM</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7.85</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 xml:space="preserve">Return on assets </w:t>
            </w: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NM</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NM</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NM</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.78</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0"/>
                <w:szCs w:val="10"/>
                <w:color w:val="auto"/>
              </w:rPr>
              <w:t>(4)</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3.55</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 xml:space="preserve">Operating efficiency ratio </w:t>
            </w: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79.29</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81.34</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79.35</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65.05</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59.03</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Equity to assets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11.64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10.08</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10.28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10.33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10.30</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 xml:space="preserve">Tangible equity to assets </w:t>
            </w: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8.30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6.59</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6.65</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6.77</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6.73</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 xml:space="preserve">Tangible common equity to assets </w:t>
            </w:r>
            <w:r>
              <w:rPr>
                <w:rFonts w:ascii="Arial" w:cs="Arial" w:eastAsia="Arial" w:hAnsi="Arial"/>
                <w:sz w:val="10"/>
                <w:szCs w:val="10"/>
                <w:color w:val="auto"/>
              </w:rPr>
              <w:t>(3)</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6.13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6.65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6.77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6.73</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ASSET QUALITY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Net charge-offs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43,281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74,028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55,736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14,313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7,075</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Non-performing loans (NPLs)</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259,155</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190,723</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139,266</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123,786</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67,728</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Foreclosed properties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75,383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59,768</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38,438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28,378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22,136</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gridSpan w:val="2"/>
          </w:tcPr>
          <w:p>
            <w:pPr>
              <w:ind w:left="600"/>
              <w:spacing w:after="0" w:line="143" w:lineRule="exact"/>
              <w:rPr>
                <w:sz w:val="20"/>
                <w:szCs w:val="20"/>
                <w:color w:val="auto"/>
              </w:rPr>
            </w:pPr>
            <w:r>
              <w:rPr>
                <w:rFonts w:ascii="Arial" w:cs="Arial" w:eastAsia="Arial" w:hAnsi="Arial"/>
                <w:sz w:val="13"/>
                <w:szCs w:val="13"/>
                <w:color w:val="auto"/>
              </w:rPr>
              <w:t>Total non-performing assets (NPAs)</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334,538</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250,491</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177,704</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152,164</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89,864</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Allowance for loan losses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143,990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122,271</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111,299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91,035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89,848</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Allowance for loan losses to loans</w:t>
            </w:r>
          </w:p>
        </w:tc>
        <w:tc>
          <w:tcPr>
            <w:tcW w:w="100" w:type="dxa"/>
            <w:vAlign w:val="bottom"/>
          </w:tcPr>
          <w:p>
            <w:pPr>
              <w:spacing w:after="0"/>
              <w:rPr>
                <w:sz w:val="11"/>
                <w:szCs w:val="11"/>
                <w:color w:val="auto"/>
              </w:rPr>
            </w:pPr>
          </w:p>
        </w:tc>
        <w:tc>
          <w:tcPr>
            <w:tcW w:w="960" w:type="dxa"/>
            <w:vAlign w:val="bottom"/>
            <w:gridSpan w:val="2"/>
          </w:tcPr>
          <w:p>
            <w:pPr>
              <w:jc w:val="right"/>
              <w:ind w:right="198"/>
              <w:spacing w:after="0" w:line="135" w:lineRule="exact"/>
              <w:rPr>
                <w:sz w:val="20"/>
                <w:szCs w:val="20"/>
                <w:color w:val="auto"/>
              </w:rPr>
            </w:pPr>
            <w:r>
              <w:rPr>
                <w:rFonts w:ascii="Arial" w:cs="Arial" w:eastAsia="Arial" w:hAnsi="Arial"/>
                <w:sz w:val="13"/>
                <w:szCs w:val="13"/>
                <w:color w:val="auto"/>
              </w:rPr>
              <w:t>2.56%</w:t>
            </w:r>
          </w:p>
        </w:tc>
        <w:tc>
          <w:tcPr>
            <w:tcW w:w="10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2.14%</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1.91%</w:t>
            </w:r>
          </w:p>
        </w:tc>
        <w:tc>
          <w:tcPr>
            <w:tcW w:w="10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1.53%</w:t>
            </w:r>
          </w:p>
        </w:tc>
        <w:tc>
          <w:tcPr>
            <w:tcW w:w="10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1.51%</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 xml:space="preserve">Net charge-offs to average loans </w:t>
            </w:r>
            <w:r>
              <w:rPr>
                <w:rFonts w:ascii="Arial" w:cs="Arial" w:eastAsia="Arial" w:hAnsi="Arial"/>
                <w:sz w:val="10"/>
                <w:szCs w:val="10"/>
                <w:color w:val="auto"/>
              </w:rPr>
              <w:t>(4)</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.48</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NPAs to loans and foreclosed properties</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5.86</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4.35</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3.03</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2.55</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1.50</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NPAs to total assets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1.07</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AVERAGE BALANCES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Loans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5,675,054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5,784,139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5,889,168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5,933,143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5,958,296</w:t>
            </w: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Investment securities</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1,712,654</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1,508,808</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1,454,740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1,507,240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1,485,515</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Earning assets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7,530,230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7,662,536</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7,384,287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7,478,018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7,491,480</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8,312,648</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8,449,097</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8,146,880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8,295,748</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8,305,621</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Deposits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6,780,531</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6,982,229</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6,597,339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6,461,361</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6,051,069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Shareholders’ equity</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967,505</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851,956</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837,487</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856,727</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855,659</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Common shares — basic</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48,324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47,844</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47,417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47,158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47,052</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Common shares — diluted</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48,324</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47,844</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47,417</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47,249</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47,272</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AT PERIOD END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Loans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5,632,705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5,704,861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5,829,937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5,933,141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5,967,839</w:t>
            </w: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1,719,033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1,617,187</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1,400,827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1,430,588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1,508,402</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8,140,909</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8,520,765</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8,072,543</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8,264,051</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8,386,255</w:t>
            </w: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Deposits</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6,616,488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7,003,624</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6,689,335</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6,696,456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6,175,769</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31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Shareholders’ equity</w:t>
            </w:r>
          </w:p>
        </w:tc>
        <w:tc>
          <w:tcPr>
            <w:tcW w:w="100" w:type="dxa"/>
            <w:vAlign w:val="bottom"/>
          </w:tcPr>
          <w:p>
            <w:pPr>
              <w:spacing w:after="0"/>
              <w:rPr>
                <w:sz w:val="11"/>
                <w:szCs w:val="11"/>
                <w:color w:val="auto"/>
              </w:rPr>
            </w:pPr>
          </w:p>
        </w:tc>
        <w:tc>
          <w:tcPr>
            <w:tcW w:w="960" w:type="dxa"/>
            <w:vAlign w:val="bottom"/>
            <w:gridSpan w:val="2"/>
          </w:tcPr>
          <w:p>
            <w:pPr>
              <w:jc w:val="right"/>
              <w:ind w:right="298"/>
              <w:spacing w:after="0" w:line="135" w:lineRule="exact"/>
              <w:rPr>
                <w:sz w:val="20"/>
                <w:szCs w:val="20"/>
                <w:color w:val="auto"/>
              </w:rPr>
            </w:pPr>
            <w:r>
              <w:rPr>
                <w:rFonts w:ascii="Arial" w:cs="Arial" w:eastAsia="Arial" w:hAnsi="Arial"/>
                <w:sz w:val="13"/>
                <w:szCs w:val="13"/>
                <w:color w:val="auto"/>
              </w:rPr>
              <w:t>888,853</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989,382</w:t>
            </w:r>
          </w:p>
        </w:tc>
        <w:tc>
          <w:tcPr>
            <w:tcW w:w="10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816,880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837,890</w:t>
            </w: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871,452</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Common shares outstanding</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48,487</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48,009</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47,596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47,096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47,004</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559" w:hanging="388"/>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the non-recurring goodwill impairment charge of $70 million and severance costs of $2.9 million, net of income tax benefit of $1.1 million in the first quarter of 2009.</w:t>
      </w:r>
    </w:p>
    <w:p>
      <w:pPr>
        <w:spacing w:after="0" w:line="21"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available to common shareholders, which excludes preferred stock dividends, divided by average realized common equity, which excludes accumulated other comprehensive income (loss).</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new shares issued for shares currently held.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United reported a net loss of $103.8 million for the first quarter of 2009, which included a non-recurring, non-cash goodwill impairment charge of $70 million and severance costs of $2.9 million. This compared to net income of $16.1 million for the same period in 2008. The first quarter 2009 diluted loss per share was $2.20, of which $1.45 related to the goodwill impairment charge. This compared to diluted earnings per share of $.34 for the first quarter of 2008. The loss in the first quarter of 2009 reflects the continuing effect of the economic recession and the weak housing market.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189"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Net interest revenue for the three months ended March 31, 2009 was $57.4 million, down $8.9 million, or 13%, from last year but up $5.5 million from the fourth quarter of 2008. Average loans decreased $283 million, or 5%, from the first quarter last year. The decrease in the loan portfolio was a result of the slowdown in the housing market, particularly in the Atlanta MSA where period-end loans decreased $318 million from March 31, 2008. Much of the decrease was intentional as management sought to rebalance the loan portfolio by reducing the concentration of residential construction loans, particularly in the Atlanta MSA where the housing market has been under considerable stress. Period-end loans in north Georgia and North Carolina decreased $57 million and $8 million, respectively. In contrast, coastal Georgia increased $21 million, the Gainesville MSA increased $7 million and east Tennessee increased $20 million from the first quarter of 2008.</w:t>
      </w:r>
    </w:p>
    <w:p>
      <w:pPr>
        <w:spacing w:after="0" w:line="15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Average interest-earning assets for the first quarter 2009 increased $38.8 million, or 1%, over the same period in 2008. The increase in interest-earning assets, which was primarily in the investment securities portfolio and other short-term investments, was partially funded by interest-bearing sources. Average interest-bearing liabilities decreased $63.4 million from the first quarter of 2008 with the Series B preferred stock of $180 million, issued in the fourth quarter as part of the U.S. Treasury’s Capital Purchase Program funding the balance sheet growth and replacing a portion of the borrowed funds. Dividends on the Series B preferred shares are not included in net income (loss) but are subtracted from net income (loss) in the determination of net income (loss) available to common shareholders.</w:t>
      </w:r>
    </w:p>
    <w:p>
      <w:pPr>
        <w:spacing w:after="0" w:line="137"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defined as net interest revenue as a percent of average total interest-earning assets and takes into account the positive effect of investing non-interest-bearing deposits and capital.</w:t>
      </w:r>
    </w:p>
    <w:p>
      <w:pPr>
        <w:spacing w:after="0" w:line="118"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For the three months ended March 31, 2009 and 2008, the net interest spread was 2.74% and 3.15%, respectively, while the net interest margin was 3.08% and 3.55%, respectively. The compression of the spread and margin was primarily the result of a rise in non-performing assets and higher than normal deposit pricing resulting from competition for deposits due to liquidity pressures affecting the banking industry as a whole. The compression of the spread and margin was also due to the lowering of the prime interest rate initiated by actions of the Federal Reserve beginning in September 2007 and the resulting decrease in the repricing of our interest earning assets faster than our interest-bearing liabilities. Also contributing to the lower spread and net interest margin was a shift in earning-asset mix from loans to investment securities. These factors continued to compress the net interest margin and the net interest spread through most of the fourth quarter of 2008 leading to a net interest margin of 2.70% in the fourth quarter. Deposit pricing competition began to ease late in the fourth quarter and United intensified its focus on loan pricing to ensure that it was being adequately compensated for the credit risk it was taking. The combined effect of the easing of deposit pricing competition and widening credit spreads in United’s loan portfolio led to the 38 basis point increase in the net interest margin from the fourth quarter of 2008 to the first quarter of 2009.</w:t>
      </w:r>
    </w:p>
    <w:p>
      <w:pPr>
        <w:spacing w:after="0" w:line="14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average yield on interest-earning assets for the first quarter of 2009 was 5.56%, compared with 6.92% in the first quarter of 2008. Loan yields were down 153 basis points compared with the first quarter of 2008, due to the effect of the Federal Reserve’s policy of lowering interest rates to stimulate the economy on United’s primarily prime-based loan portfolio and the higher level of non-performing loans.</w:t>
      </w:r>
    </w:p>
    <w:p>
      <w:pPr>
        <w:spacing w:after="0" w:line="14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average cost of interest-bearing liabilities for the first quarter was 2.82% compared to 3.77% from the same period of 2008. Throughout much of early 2008, United was unable to reduce deposit rates commensurate with the rate declines in its loan portfolio. This trend became more visible in the third and fourth quarters of 2008 when industry liquidity pressures led to increased competition for deposits and did not allow United to reduce deposit rates to correspond with the Federal Reserve’s actions to lower interest rates. Late in the fourth quarter of 2008, liquidity pressures began to ease, allowing United to lower its deposit rates and still maintain its liquidity position.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March 31, 2009 and 2008.</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2 — Average Consolidated Balance Sheets and Net Interest Analysis </w:t>
      </w:r>
      <w:r>
        <w:rPr>
          <w:rFonts w:ascii="Arial" w:cs="Arial" w:eastAsia="Arial" w:hAnsi="Arial"/>
          <w:sz w:val="18"/>
          <w:szCs w:val="18"/>
          <w:color w:val="auto"/>
        </w:rPr>
        <w:t>For the Three Months Ended March 31,</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2009</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w:t>
            </w: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88"/>
              </w:rPr>
              <w:t>$5,675,054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81,749</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88"/>
              </w:rPr>
              <w:t>$5,958,296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2"/>
              </w:rPr>
              <w:t>109,252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(2)</w:t>
            </w:r>
          </w:p>
        </w:tc>
        <w:tc>
          <w:tcPr>
            <w:tcW w:w="2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1,682,603</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20,433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4.86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1,448,224</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18,628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2"/>
        </w:trPr>
        <w:tc>
          <w:tcPr>
            <w:tcW w:w="32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Federal funds sold and other</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142,522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858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47,669</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513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7,530,230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103,562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7,491,480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129,041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(92,025)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104,411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154,706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179,495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181,355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8,312,648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8,305,621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$1,358,149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$ 1,462,116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8,587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477,325</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2,237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439,049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2,913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172,708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184,812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1,942,897</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17,217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3.59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1,553,313</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18,223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1,393,188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12,825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1,365,307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16,370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786,171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6,011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3.10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374,402</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4,291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6,130,438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41,754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5,378,999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50,611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9"/>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150,517</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551,812</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4,318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204,941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661,498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150,997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2,769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107,996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2,080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1,321,306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12,143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5"/>
        </w:trPr>
        <w:tc>
          <w:tcPr>
            <w:tcW w:w="320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6,636,893</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46,150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6,700,305</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62,754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650,093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672,070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58,157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7,345,143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7,449,962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967,505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855,659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8,312,648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8,305,621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57,412</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66,287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2.74%</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5"/>
          <w:szCs w:val="15"/>
          <w:color w:val="auto"/>
        </w:rPr>
      </w:pPr>
    </w:p>
    <w:p>
      <w:pPr>
        <w:ind w:left="680" w:hanging="348"/>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4"/>
          <w:szCs w:val="14"/>
          <w:color w:val="auto"/>
        </w:rPr>
      </w:pPr>
    </w:p>
    <w:p>
      <w:pPr>
        <w:ind w:left="680" w:right="559" w:hanging="348"/>
        <w:spacing w:after="0" w:line="277"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Securities available for sale are shown at amortized cost. Pretax unrealized gains of $10.6 million in 2009 and $15.9 million in 2008 are included in other assets for purposes of this presentation.</w:t>
      </w:r>
    </w:p>
    <w:p>
      <w:pPr>
        <w:spacing w:after="0" w:line="21" w:lineRule="exact"/>
        <w:rPr>
          <w:rFonts w:ascii="Arial" w:cs="Arial" w:eastAsia="Arial" w:hAnsi="Arial"/>
          <w:sz w:val="15"/>
          <w:szCs w:val="15"/>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027"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27"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right="3559"/>
        <w:spacing w:after="0" w:line="282"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1"/>
              </w:rPr>
              <w:t>Three Months Ended March 31, 2009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Compared to 2008</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Increase (decrease)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Due to Changes in</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Volume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(4,991)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(22,512)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(27,503)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Tax-exempt securities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5700" w:type="dxa"/>
            <w:vAlign w:val="bottom"/>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(23,904)</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NOW accounts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(4,678)</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(3,873)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(16,353)</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&amp; other borrowings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(2,967)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(1,704)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Decrease in net interest revenue</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(4,720)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(4,155)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Provision for Loan 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provision for loan losses was $65.0 million for the first quarter of 2009, compared with $7.5 million for the same period in 2008. Net loan charge-offs as an annualized percentage of average outstanding loans for the three months ended March 31, 2009 were 3.09%, compared to .48% for the first quarter of 2008. As the housing market in United’s markets has struggled, most notably in the Atlanta MSA, it has been difficult for many builders and developers to obtain cash flow from selling lots and houses needed to service debt. This deterioration of the residential construction and housing market has affected the Southeast and resulted in higher credit losses and an increase in non-performing assets.</w:t>
      </w:r>
    </w:p>
    <w:p>
      <w:pPr>
        <w:spacing w:after="0" w:line="151"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provision for loan losses is based on management’s evaluation of losses inherent in the loan portfolio and corresponding analysis of the allowance for loan losses at quarter-end. The amount of provision recorded in the first quarter was the amount required such that the total allowance for loan losses reflects, in the estimation of management, the appropriate balance and is adequate to cover inherent losses in the loan portfolio. The increase in the allowance was a result of further credit deterioration within United’s loan portfolio. Although a majority of the losses have been within the residential construction and development portion of the portfolio in the Atlanta MSA, credit quality deterioration has been observed in other markets and loan categories. Additional discussion on loan quality and the allowance for loan losses is included in the Asset Quality section of this report.</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Although United continues to focus on increasing fee revenue through new products and services, fee revenue for the three months ended March 31, 2009 was $12.8 million, a decrease of $1.4 million, or 10%, from the first quarter of 2008. The following table presents the components of fee revenue for the first quarters of 2009 and 2008.</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4 — Fee Revenue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6"/>
              </w:rPr>
              <w:t>Three Months Ended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3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2,651</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1,963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Brokerage fees</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1,093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14,197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Service charges and fees of $7.0 million were down $779,000, or 10%, from the first quarter of 2008, primarily due to lower overdraft fees.</w:t>
      </w:r>
    </w:p>
    <w:p>
      <w:pPr>
        <w:spacing w:after="0" w:line="143"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Mortgage loans and related fees for the first quarter were up $688,000, or 35%, from the first quarter of 2008. The increase is due to a much higher level of refinancing activity as mortgage rates fell to historical lows. In the first quarter of 2009, United closed 996 loans totaling $174.3 million compared with 552 loans totaling $96.8 million in the first quarter of 2008. The first quarter 2009 origination activity was at a record level for United. Substantially all originated residential mortgages were sold into the secondary market including the right to service these loans.</w:t>
      </w:r>
    </w:p>
    <w:p>
      <w:pPr>
        <w:spacing w:after="0" w:line="14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Consulting fees decreased $786,000, or 43%, compared to the first three months of 2008. This decrease is a direct result of the current economic stress affecting the financial services industry which has limited sales of new consulting projects. During the first quarter, several consultants were engaged in United’s internal project to improve financial performance through revenue enhancement and cost savings initiatives. This project allowed United to maintain the consultants’ productivity while providing a valuable service to United, however, these services do not result in the recognition of consolidated consulting fee revenue for financial reporting purposes since the services were performed by a wholly-owned subsidiary.</w:t>
      </w:r>
    </w:p>
    <w:p>
      <w:pPr>
        <w:spacing w:after="0" w:line="12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Brokerage fees of $689,000 were down $404,000, or 37%, from the first quarter of 2008 due to the continuing weak market conditions.</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Other fee revenue of $1.1 million decreased $373,000 or 25%, from the first quarter of 2008. This decline is due to lower revenue generated by United’s bank owned life insurance assets.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For the three months ended March 31, 2009, total operating expenses were $125.5 million, which included a $70 million charge for goodwill impairment and $2.9 million in severance costs relating to a reduction in force. Excluding those non-recurring charges, operating expenses for the first quarter of 2009 were $52.6 million, an increase of $5.0 million, or 11%, compared with $47.5 million for the same period in 2008. The following table presents the components of operating expenses for the three months ended March 31, 2009 and 2008.</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Operating Expenses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6"/>
              </w:rPr>
              <w:t>March 31,</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2008</w:t>
            </w:r>
          </w:p>
        </w:tc>
        <w:tc>
          <w:tcPr>
            <w:tcW w:w="3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3,729</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3,832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1,109</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1,351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2,293</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1,921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FDIC assessments and other regulatory charges</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2,682</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1,266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70,000</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3,870</w:t>
            </w:r>
          </w:p>
        </w:tc>
        <w:tc>
          <w:tcPr>
            <w:tcW w:w="2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3,419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125,467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47,529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Salaries and employee benefits for the first quarter 2009 totaled $28.8 million, unchanged from the same period of 2008. Although United reduced headcount in the first quarter of 2009 through a reduction in force, the positions were eliminated late in the quarter so the reduction in expense will occur in the second quarter and beyond. Through the reduction in force, United reduced headcount from 1,994 employees at December 31, 2008 to 1,851 at March 31, 2009.</w:t>
      </w:r>
    </w:p>
    <w:p>
      <w:pPr>
        <w:spacing w:after="0" w:line="14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Professional fees for the first quarter of 2009 of $2.3 million were up $372,000, or 19%, from the same period in 2008. The increase is primarily related to legal fees incurred in the loan workout process.</w:t>
      </w:r>
    </w:p>
    <w:p>
      <w:pPr>
        <w:spacing w:after="0" w:line="13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Foreclosed property expense of $4.3 million for the first quarter of 2009 was up $3.4 million from the first quarter of 2008 reflecting the increase in the number of foreclosed properties. This expense category includes legal fees, property taxes, marketing costs, utility services, maintenance and repair charges as well as realized losses and write downs associated with foreclosed properties.</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FDIC assessments and other regulatory charges of $2.7 million for the first quarter of 2009 increased $1.4 million from the first quarter of 2008 reflecting the seven basis point increase in FDIC insurance premiums charged to all insured depository institutions beginning on January 1, 2009. United did not record any expense associated with the FDIC’s proposed special assessment during the first quarter.</w:t>
      </w:r>
    </w:p>
    <w:p>
      <w:pPr>
        <w:spacing w:after="0" w:line="160"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Other expense of $3.9 million for the first three months of 2009 increased $451,000 from the first quarter of 2008. The increase was primarily due to a loss of $405,000 on an equity investment in a bank that failed during the first quarter.</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Income tax benefit for the first quarter 2009 was $16.9 million as compared with income tax expense of $8.8 million for the first quarter of 2008, representing an effective tax rate of 14.0% and 35.5%, respectively. The effective tax rates were lower than the statutory tax rates primarily due to interest revenue on certain investment securities and loans that are exempt from income taxes, tax exempt fee revenue, tax credits received on affordable housing investments, the goodwill impairment charge and the change in valuation allowance on deferred tax assets as discussed below. Additional information regarding income taxes can be found in Note 14 to the consolidated financial statements filed with United’s 2008 Form 10-K.</w:t>
      </w:r>
    </w:p>
    <w:p>
      <w:pPr>
        <w:spacing w:after="0" w:line="13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effective tax rate for the first quarter of 2009 reflects the tax treatment of the $70 million goodwill impairment charge. Since the majority of United’s goodwill originated from acquisitions that were treated as tax-free exchanges, no goodwill was recognized for tax reporting purposes and therefore no tax deduction is allowed for the impairment charge. Likewise, no tax benefit is recognized in the financial statements relating to the $70 million charge. The first quarter 2009 effective tax rate also reflects a valuation allowance established for deferred tax assets. Management determined that it is more likely than not that approximately $2.3 million, net of Federal benefit, in state low income housing tax credits will expire unused due to their very short three year carry forward period.</w:t>
      </w:r>
    </w:p>
    <w:p>
      <w:pPr>
        <w:sectPr>
          <w:pgSz w:w="11900" w:h="16838" w:orient="portrait"/>
          <w:cols w:equalWidth="0" w:num="1">
            <w:col w:w="10219"/>
          </w:cols>
          <w:pgMar w:left="240" w:top="419" w:right="1440" w:bottom="568"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68"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Total assets at March 31, 2009 and 2008 were $8.1 billion and $8.4 billion, respectively. Average total assets for the first quarter of 2009 were $8.3 billion, unchanged from the first quarter of 2008.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 reviews its goodwill for impairment annually, or more frequently if circumstances indicate that goodwill has been impaired. United completed its annual goodwill impairment assessment as of December 31, 2008. In completing the annual assessment, United engaged an international accounting firm to assist with the valuation. United’s year-end goodwill impairment assessment indicated that there was no goodwill impairment.</w:t>
      </w:r>
    </w:p>
    <w:p>
      <w:pPr>
        <w:spacing w:after="0" w:line="16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Since year-end, United’s stock price fell from $13.58 at December 31, 2008 to a low of $2.28 in the first quarter and ended the first quarter of 2009 at $4.16 which management believes reflects uncertainty about the economic cycle. Additionally, the stock prices of the peer group used as part of the valuation analysis in the year-end goodwill impairment assessment experienced similar declines. The current economic environment has resulted in lower earnings with higher credit costs and those costs have been reflected in the income statement as well as valuation adjustments to the loan balances through increases to the level of the allowance for loan losses. With the stock price trading at a significant discount to book value and tangible book value and these other factors, management believed that goodwill should be re-assessed for impairment. United engaged the same international accounting firm to update their year-end valuation analysis, which included several commonly accepted valuation techniques, including a discounted cash flows analysis and several techniques involving comparisons to peer company valuations. The conclusion from the updated impairment analysis was that impairment was present and a $70 million charge to earnings was taken.</w:t>
      </w:r>
    </w:p>
    <w:p>
      <w:pPr>
        <w:spacing w:after="0" w:line="14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Because goodwill is an intangible asset that cannot be sold separately or otherwise disposed of, it is not recognized in determining capital adequacy for regulatory purposes. Therefore the goodwill impairment charge had no effect on United’s regulatory capital ratios.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Loans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0" w:type="dxa"/>
            <w:vAlign w:val="bottom"/>
          </w:tcPr>
          <w:p>
            <w:pPr>
              <w:ind w:left="360"/>
              <w:spacing w:after="0"/>
              <w:rPr>
                <w:sz w:val="20"/>
                <w:szCs w:val="20"/>
                <w:color w:val="auto"/>
              </w:rPr>
            </w:pPr>
            <w:r>
              <w:rPr>
                <w:rFonts w:ascii="Arial" w:cs="Arial" w:eastAsia="Arial" w:hAnsi="Arial"/>
                <w:sz w:val="18"/>
                <w:szCs w:val="18"/>
                <w:color w:val="auto"/>
              </w:rPr>
              <w:t>The following table presents a summary of the loan portfolio.</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400" w:type="dxa"/>
            <w:vAlign w:val="bottom"/>
          </w:tcPr>
          <w:p>
            <w:pPr>
              <w:spacing w:after="0"/>
              <w:rPr>
                <w:sz w:val="20"/>
                <w:szCs w:val="20"/>
                <w:color w:val="auto"/>
              </w:rPr>
            </w:pPr>
            <w:r>
              <w:rPr>
                <w:rFonts w:ascii="Arial" w:cs="Arial" w:eastAsia="Arial" w:hAnsi="Arial"/>
                <w:sz w:val="18"/>
                <w:szCs w:val="18"/>
                <w:b w:val="1"/>
                <w:bCs w:val="1"/>
                <w:color w:val="auto"/>
              </w:rPr>
              <w:t>Table 6 — Loans Outstanding</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0" w:type="dxa"/>
            <w:vAlign w:val="bottom"/>
          </w:tcPr>
          <w:p>
            <w:pPr>
              <w:spacing w:after="0"/>
              <w:rPr>
                <w:sz w:val="24"/>
                <w:szCs w:val="24"/>
                <w:color w:val="auto"/>
              </w:rPr>
            </w:pPr>
          </w:p>
        </w:tc>
        <w:tc>
          <w:tcPr>
            <w:tcW w:w="13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1,778,691</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1,626,966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1,526,282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376,682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499,663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548,063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387,344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410,529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437,220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2,542,717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2,511,565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1,430,319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1,478,679</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1,791,338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1,503,893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1,526,388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1,490,951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155,776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162,636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173,985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5,632,705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5,704,861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5,967,839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40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Atlanta MSA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1,660,177</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1,705,561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1,978,047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421,420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420,169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414,743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North Georgia</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2,013,458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2,040,082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2,070,551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Western North Carolina</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808,127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809,863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816,389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Coastal Georgia</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460,122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463,642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439,116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269,401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265,544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248,993</w:t>
            </w:r>
          </w:p>
        </w:tc>
        <w:tc>
          <w:tcPr>
            <w:tcW w:w="0" w:type="dxa"/>
            <w:vAlign w:val="bottom"/>
          </w:tcPr>
          <w:p>
            <w:pPr>
              <w:spacing w:after="0"/>
              <w:rPr>
                <w:sz w:val="1"/>
                <w:szCs w:val="1"/>
                <w:color w:val="auto"/>
              </w:rPr>
            </w:pPr>
          </w:p>
        </w:tc>
      </w:tr>
      <w:tr>
        <w:trPr>
          <w:trHeight w:val="223"/>
        </w:trPr>
        <w:tc>
          <w:tcPr>
            <w:tcW w:w="5400" w:type="dxa"/>
            <w:vAlign w:val="bottom"/>
          </w:tcPr>
          <w:p>
            <w:pPr>
              <w:ind w:left="400"/>
              <w:spacing w:after="0"/>
              <w:rPr>
                <w:sz w:val="20"/>
                <w:szCs w:val="20"/>
                <w:color w:val="auto"/>
              </w:rPr>
            </w:pPr>
            <w:r>
              <w:rPr>
                <w:rFonts w:ascii="Arial" w:cs="Arial" w:eastAsia="Arial" w:hAnsi="Arial"/>
                <w:sz w:val="18"/>
                <w:szCs w:val="18"/>
                <w:color w:val="auto"/>
              </w:rPr>
              <w:t>Total loans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5,632,705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5,967,839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933"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33"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Substantially all of United’s loans are to customers located in the immediate market areas of its community banks in Georgia, North Carolina, and Tennessee. At March 31, 2009, total loans were $5.6 billion, a decrease of $335 million, or 6%, from March 31, 2008. The rate of loan growth began to decline in the first quarter of 2007 and the balances have continued to decline through 2008 and into 2009. The decline in loan growth was due to deterioration in the residential construction and housing markets. This deterioration resulted in part in an oversupply of lot inventory within United’s markets, which further slowed construction activities and acquisition and development projects. To date, the decline in the housing market has been most severe in the Atlanta MSA although there has been some migration of deterioration into United’s other markets.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w:t>
      </w:r>
    </w:p>
    <w:p>
      <w:pPr>
        <w:spacing w:after="0" w:line="153"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provision for loan losses charged to earnings was based upon management’s judgment of the amount necessary to maintain the allowance at a level appropriate to absorb losses inherent in the loan portfolio at quarter-end. The amount each period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increase in the allowance for loan losses during the first quarter of 2009 was due to an increase in classified assets, deterioration in the collateral values leading to an expectation of higher charge-offs upon default, further weakening of the housing market, and the recessionary economic environment.</w:t>
      </w:r>
    </w:p>
    <w:p>
      <w:pPr>
        <w:spacing w:after="0" w:line="152"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Reviews of non-performing loans, past due loans and larger credits, designed to identify potential charges to the allowance for loan losses, as well as determine the adequacy of the allowance, are conducted on a regular basis during the quarter. These reviews are performed by the responsible lending officers, as well as by a separate loan review department, and consider such factors as the financial strength of borrowers, the value of the applicable collateral, past loan loss experience, anticipated loan losses, growth in the loan portfolio, prevailing economic conditions and other factors. United also uses external loan review to supplement the activities of United’s internal loan review and to ensure the independence of the loan review process.</w:t>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three-month periods ended March 31, 2009 and 2008.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7 — Allowance for Loan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122,271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89,423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Commercial (commercial and industrial)</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(secured by real estate)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37,967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4,808</w:t>
            </w: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3,111</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1,073</w:t>
            </w: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r>
      <w:tr>
        <w:trPr>
          <w:trHeight w:val="230"/>
        </w:trPr>
        <w:tc>
          <w:tcPr>
            <w:tcW w:w="6740" w:type="dxa"/>
            <w:vAlign w:val="bottom"/>
          </w:tcPr>
          <w:p>
            <w:pPr>
              <w:ind w:left="600"/>
              <w:spacing w:after="0"/>
              <w:rPr>
                <w:sz w:val="20"/>
                <w:szCs w:val="20"/>
                <w:color w:val="auto"/>
              </w:rPr>
            </w:pPr>
            <w:r>
              <w:rPr>
                <w:rFonts w:ascii="Arial" w:cs="Arial" w:eastAsia="Arial" w:hAnsi="Arial"/>
                <w:sz w:val="18"/>
                <w:szCs w:val="18"/>
                <w:color w:val="auto"/>
              </w:rPr>
              <w:t>Total loans charged-off</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44,131</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18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Commercial (commercial and industrial)</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(secured by real estate)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r>
      <w:tr>
        <w:trPr>
          <w:trHeight w:val="216"/>
        </w:trPr>
        <w:tc>
          <w:tcPr>
            <w:tcW w:w="6740" w:type="dxa"/>
            <w:vAlign w:val="bottom"/>
          </w:tcPr>
          <w:p>
            <w:pPr>
              <w:ind w:left="400"/>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16"/>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r>
      <w:tr>
        <w:trPr>
          <w:trHeight w:val="230"/>
        </w:trPr>
        <w:tc>
          <w:tcPr>
            <w:tcW w:w="6740" w:type="dxa"/>
            <w:vAlign w:val="bottom"/>
          </w:tcPr>
          <w:p>
            <w:pPr>
              <w:ind w:left="600"/>
              <w:spacing w:after="0"/>
              <w:rPr>
                <w:sz w:val="20"/>
                <w:szCs w:val="20"/>
                <w:color w:val="auto"/>
              </w:rPr>
            </w:pPr>
            <w:r>
              <w:rPr>
                <w:rFonts w:ascii="Arial" w:cs="Arial" w:eastAsia="Arial" w:hAnsi="Arial"/>
                <w:sz w:val="18"/>
                <w:szCs w:val="18"/>
                <w:color w:val="auto"/>
              </w:rPr>
              <w:t>Total recoveries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20"/>
                <w:szCs w:val="20"/>
                <w:color w:val="auto"/>
              </w:rPr>
            </w:pPr>
          </w:p>
        </w:tc>
      </w:tr>
      <w:tr>
        <w:trPr>
          <w:trHeight w:val="216"/>
        </w:trPr>
        <w:tc>
          <w:tcPr>
            <w:tcW w:w="6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charge-offs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43,281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7,075</w:t>
            </w:r>
          </w:p>
        </w:tc>
      </w:tr>
      <w:tr>
        <w:trPr>
          <w:trHeight w:val="223"/>
        </w:trPr>
        <w:tc>
          <w:tcPr>
            <w:tcW w:w="6740" w:type="dxa"/>
            <w:vAlign w:val="bottom"/>
          </w:tcPr>
          <w:p>
            <w:pPr>
              <w:ind w:left="600"/>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143,990</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89,848</w:t>
            </w:r>
          </w:p>
        </w:tc>
        <w:tc>
          <w:tcPr>
            <w:tcW w:w="1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At period-end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5,632,705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5,967,839</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5,675,054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5,958,296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 (annualized):</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18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r>
    </w:tbl>
    <w:p>
      <w:pPr>
        <w:spacing w:after="0" w:line="93"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Excluding impaired loans with no allocated reserve, the coverage ratio was 117% at March 31, 2009.</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Management believes that the allowance for loan losses at March 31, 2009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Non-performing Assets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400" w:type="dxa"/>
            <w:vAlign w:val="bottom"/>
            <w:gridSpan w:val="2"/>
          </w:tcPr>
          <w:p>
            <w:pPr>
              <w:ind w:left="360"/>
              <w:spacing w:after="0"/>
              <w:rPr>
                <w:sz w:val="20"/>
                <w:szCs w:val="20"/>
                <w:color w:val="auto"/>
              </w:rPr>
            </w:pPr>
            <w:r>
              <w:rPr>
                <w:rFonts w:ascii="Arial" w:cs="Arial" w:eastAsia="Arial" w:hAnsi="Arial"/>
                <w:sz w:val="18"/>
                <w:szCs w:val="18"/>
                <w:color w:val="auto"/>
              </w:rPr>
              <w:t>The table below summarizes non-performing assets.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Table 8 — Non-Performing Assets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6"/>
              </w:rPr>
              <w:t>March 31,</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259,155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190,723</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Loans past due 90 days or more and still accruing</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259,155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190,723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real estate owned (OREO)</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75,383</w:t>
            </w: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59,768</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22,136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334,538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250,491</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89,864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Non-performing loans as a percentage of total loans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Non-performing loans totaled $259.2 million, compared with $190.7 million at December 31, 2008 and $67.7 million at March 31, 2008. The ratio of non-performing loans to total loans increased substantially from March 31, 2008 and December 31, 2008 reflecting continued deterioration in United’s residential construction and development portfolio primarily in the Atlanta MSA. Non-performing assets, which include non-performing loans and foreclosed real estate, totaled $334.5 million at March 31, 2009, compared with $250.5 million at December 31, 2008 and $89.9 million at March 31, 2008. United’s position throughout the recession has been to actively and aggressively work to dispose of problem assets quickly. In the latter half of 2008, with the rising number of foreclosed properties saturating the market and driving prices down, United made a strategic decision to hold certain foreclosed properties that have strong prospects for a recovery in value upon market stabilization. By holding those properties, United expects to realize more value upon disposition, thereby maximizing returns to shareholders. The strategy to hold selected properties will result in elevated levels of nonperforming assets over the next few quarters.</w:t>
      </w:r>
    </w:p>
    <w:p>
      <w:pPr>
        <w:spacing w:after="0" w:line="142"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United’s policy is to classify loans as non-accrual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Payments received on a non-accrual loan are applied to reduce outstanding principal.</w:t>
      </w:r>
    </w:p>
    <w:p>
      <w:pPr>
        <w:spacing w:after="0" w:line="11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At March 31, 2009 and 2008 there were $200.9 million and $64.5 million, respectively, of loans classified as impaired under the definition outlined in SFAS No. 114 </w:t>
      </w:r>
      <w:r>
        <w:rPr>
          <w:rFonts w:ascii="Arial" w:cs="Arial" w:eastAsia="Arial" w:hAnsi="Arial"/>
          <w:sz w:val="18"/>
          <w:szCs w:val="18"/>
          <w:i w:val="1"/>
          <w:iCs w:val="1"/>
          <w:color w:val="auto"/>
        </w:rPr>
        <w:t>Accounting By Creditors For Impairment of a Loan</w:t>
      </w:r>
      <w:r>
        <w:rPr>
          <w:rFonts w:ascii="Arial" w:cs="Arial" w:eastAsia="Arial" w:hAnsi="Arial"/>
          <w:sz w:val="18"/>
          <w:szCs w:val="18"/>
          <w:color w:val="auto"/>
        </w:rPr>
        <w:t>. Of these, $136.2 million and $8.0 million, respectively, did not have a specific reserve allocated. At March 31, 2009, $64.7 million had specific reserves allocated totaling $22.6 million. At March 31, 2008, $56.4 million had specific reserves allocated totaling $12.0 million. The average recorded investment in impaired loans for the quarters ended March 31, 2009 and 2008 was $206.0 million and $38.8 million, respectively. There was no interest revenue recognized on loans while they were impaired for the first three months of 2009.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9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w:t>
      </w:r>
    </w:p>
    <w:p>
      <w:pPr>
        <w:spacing w:after="0" w:line="114"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Total investment securities available for sale at quarter-end increased $210.6 million from a year ago. The investment portfolio is used as a supplemental tool to stabilize interest rate sensitivity and increase net interest revenue. At March 31, 2009 and 2008, the securities portfolio represented approximately 21% and 18% of total assets, respectively.</w:t>
      </w:r>
    </w:p>
    <w:p>
      <w:pPr>
        <w:spacing w:after="0" w:line="12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investment securities portfolio primarily consists of U.S. Government sponsored agency mortgage-backed securities, non-agency mortgage-backed securities, U.S. Government agency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time period.</w:t>
      </w:r>
    </w:p>
    <w:p>
      <w:pPr>
        <w:sectPr>
          <w:pgSz w:w="11900" w:h="16838" w:orient="portrait"/>
          <w:cols w:equalWidth="0" w:num="1">
            <w:col w:w="10219"/>
          </w:cols>
          <w:pgMar w:left="240" w:top="405" w:right="1440" w:bottom="946"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46"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Total deposits as of March 31, 2009 were $6.6 billion, an increase of $441 million, or 7%, from March 31, 2008. Total non-interest-bearing demand deposit accounts of $665 million decreased $25 million, or 4%, and NOW, money market and savings accounts of $2.0 billion decreased $181 million, or 8%. Management believes the decreases were primarily caused by seasonal timing, the slowdown in the local economy and the resultant increase in the use of funds by United’s customers because average balances per account have declined over the past year. Since December 31, 2008, United has seen increases in balances of non-interest bearing-demand, NOW (excluding public funds), money market and savings balances as a result of internal efforts to raise core deposits.</w:t>
      </w:r>
    </w:p>
    <w:p>
      <w:pPr>
        <w:spacing w:after="0" w:line="14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Total time deposits, excluding brokered deposits, as of March 31, 2009 were $3.3 billion, an increase of $351 million, or 12%, from March 31, 2008. Time deposits less than $100,000 totaled $1.9 billion, an increase of $376 million, or 24%, from a year ago. Time deposits of $100,000 and greater totaled $1.4 billion as of March 31, 2009, a decrease of $25 million, or 2%, from March 31, 2008. During the second quarter of 2008, United made a decision to actively pursue time deposits by offering a 15 month certificate of deposit at an attractive rate, in order to increase liquidity. The program was successful in adding over $400 million of customer deposits. United also takes advantage of “brokered” time deposits, issued in certificates of less than $100,000, as an alternate source of cost-effective funding. Brokered time deposits as of March 31, 2009 were $727 million, compared with $432 million at March 31, 2008.</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9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Bank is a shareholder in a Federal Home Loan Bank (“FHLB”) of Atlanta. Through this affiliation, FHLB secured advances totaled $260 million and $615 million as of March 31, 2009 and 2008, respectively. This decline was the result of a successful CD program during the second quarter of 2008 and use of brokered deposits in order to keep collateral available for liquidity purposes. United anticipates continued use of this short- and long-term source of funds. FHLB advances outstanding at March 31, 2009 had both fixed and floating interest rates from 0% to 4.49%. Additional information regarding FHLB advances, is provided in Note 10 to the consolidated financial statements included in United’s 2008 Form 10-K.</w:t>
      </w:r>
    </w:p>
    <w:p>
      <w:pPr>
        <w:spacing w:after="0" w:line="12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At March 31, 2009, United had $159 million in Federal funds purchased, repurchase agreements, and other short-term borrowings outstanding, compared to $533 million outstanding at March 31, 2008. United takes advantage of these additional sources of liquidity when rates are favorable compared to other forms of short-term borrowings, such as FHLB advances and brokered deposits.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0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3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131"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One of the tools management uses to estimate the sensitivity of net interest revenue to changes in interest rates is an interest rate simulation model. Such estimates are based upon a number of assumptions for each scenario, including maintaining current balance sheet levels, deposit repricing characteristics and the rate of prepayments. The simulation model measures the potential change in net interest revenue over a twelve-month period under multiple interest rate scenarios. The base scenario assumes rates remain flat over the next twelve months and is the scenario to which all others are compared to in order to measure the change in net interest revenue. A second commonly analyzed scenario is a most likely scenario that projects the most likely change in rates over the next twelve months based on the slope of the yield curve. Other scenarios analyzed may include rate shocks, narrowing or widening spreads, and yield curve steepening or flattening.</w:t>
      </w:r>
    </w:p>
    <w:p>
      <w:pPr>
        <w:spacing w:after="0" w:line="139"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United’s policy is based on the 12-month impact on net interest revenue of interest rate ramps that increase 200 basis points and decrease 200 basis points from the flat-rate scenario. In the ramp scenarios, rates change 25 basis points per month over the initial eight months. The policy limits the change in net interest revenue over the next 12 months to a 10% decrease in either scenario. Historically low rates on March 31, 2009 made use of the down 200 basis point scenario problematic. At March 31, 2009 United’s simulation model indicated that a 200 basis point increase in rates over the next twelve months would cause an approximate 3.2% decrease in net interest revenue and a 25 basis point decrease in rates over the next twelve months would cause an approximate .8% increase in net interest revenue. The shift to a liability sensitive position is primarily due to the inclusion of floors in most new floating rate loans which causes the balance sheet to be liability sensitive for the first 200 basis point increase in rates.</w:t>
      </w:r>
    </w:p>
    <w:p>
      <w:pPr>
        <w:spacing w:after="0" w:line="15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March 31, 2009,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4763"/>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type w:val="continuous"/>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interest rate derivative contracts outstanding.</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9 — Derivative Financial Instruments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 of March 31, 2009 </w:t>
      </w: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Notional</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Rate</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Fair</w:t>
            </w: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Type/Maturity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Received</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5"/>
                <w:szCs w:val="15"/>
                <w:color w:val="auto"/>
                <w:w w:val="92"/>
              </w:rPr>
              <w:t>(5)</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August 27, 2010 </w:t>
            </w:r>
            <w:r>
              <w:rPr>
                <w:rFonts w:ascii="Arial" w:cs="Arial" w:eastAsia="Arial" w:hAnsi="Arial"/>
                <w:sz w:val="15"/>
                <w:szCs w:val="15"/>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4.30%</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1,596</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 xml:space="preserve">September 22, 2010 </w:t>
            </w:r>
            <w:r>
              <w:rPr>
                <w:rFonts w:ascii="Arial" w:cs="Arial" w:eastAsia="Arial" w:hAnsi="Arial"/>
                <w:sz w:val="15"/>
                <w:szCs w:val="15"/>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4.25</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1,492</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September 30, 2010 </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4.25</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3,095</w:t>
            </w:r>
          </w:p>
        </w:tc>
      </w:tr>
      <w:tr>
        <w:trPr>
          <w:trHeight w:val="230"/>
        </w:trPr>
        <w:tc>
          <w:tcPr>
            <w:tcW w:w="4060" w:type="dxa"/>
            <w:vAlign w:val="bottom"/>
          </w:tcPr>
          <w:p>
            <w:pPr>
              <w:ind w:left="600"/>
              <w:spacing w:after="0"/>
              <w:rPr>
                <w:sz w:val="20"/>
                <w:szCs w:val="20"/>
                <w:color w:val="auto"/>
              </w:rPr>
            </w:pPr>
            <w:r>
              <w:rPr>
                <w:rFonts w:ascii="Arial" w:cs="Arial" w:eastAsia="Arial" w:hAnsi="Arial"/>
                <w:sz w:val="18"/>
                <w:szCs w:val="18"/>
                <w:color w:val="auto"/>
              </w:rPr>
              <w:t>Total Fair Value Hedges:</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195,000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4.26</w:t>
            </w:r>
          </w:p>
        </w:tc>
        <w:tc>
          <w:tcPr>
            <w:tcW w:w="44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5"/>
              </w:rPr>
              <w:t>1.64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80" w:type="dxa"/>
            <w:vAlign w:val="bottom"/>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Hedges: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15"/>
                <w:szCs w:val="15"/>
                <w:b w:val="1"/>
                <w:bCs w:val="1"/>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4, 2009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8.29</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June 9, 2010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5.82</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2,894</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11, 2010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8.26</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June 13, 2011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6.72</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1,605</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12, 2011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6.86</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January 2, 2012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6.71</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7,277</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12, 2012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6.87</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4,028</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March 27, 2012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6.76</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3,896</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27, 2012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6.72</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3,705</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January 31, 2013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6.26</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3,355</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6, 2013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7.21</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5,324</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July 22, 2013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6.88</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9,295</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25, 2013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6.92</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4,880</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July 25, 2013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6.91</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2,477</w:t>
            </w: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730,000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6.77</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52,255</w:t>
            </w:r>
          </w:p>
        </w:tc>
      </w:tr>
      <w:tr>
        <w:trPr>
          <w:trHeight w:val="223"/>
        </w:trPr>
        <w:tc>
          <w:tcPr>
            <w:tcW w:w="4060" w:type="dxa"/>
            <w:vAlign w:val="bottom"/>
          </w:tcPr>
          <w:p>
            <w:pPr>
              <w:ind w:left="200"/>
              <w:spacing w:after="0"/>
              <w:rPr>
                <w:sz w:val="20"/>
                <w:szCs w:val="20"/>
                <w:color w:val="auto"/>
              </w:rPr>
            </w:pPr>
            <w:r>
              <w:rPr>
                <w:rFonts w:ascii="Arial" w:cs="Arial" w:eastAsia="Arial" w:hAnsi="Arial"/>
                <w:sz w:val="18"/>
                <w:szCs w:val="18"/>
                <w:b w:val="1"/>
                <w:bCs w:val="1"/>
                <w:color w:val="auto"/>
              </w:rPr>
              <w:t xml:space="preserve">Prime Floors (Prime Loans) </w:t>
            </w:r>
            <w:r>
              <w:rPr>
                <w:rFonts w:ascii="Arial" w:cs="Arial" w:eastAsia="Arial" w:hAnsi="Arial"/>
                <w:sz w:val="15"/>
                <w:szCs w:val="15"/>
                <w:b w:val="1"/>
                <w:bCs w:val="1"/>
                <w:color w:val="auto"/>
              </w:rPr>
              <w:t>(4)</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2009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November 1, 2009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75,000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8.75</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2,483</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4, 2010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4,702</w:t>
            </w:r>
          </w:p>
        </w:tc>
      </w:tr>
      <w:tr>
        <w:trPr>
          <w:trHeight w:val="216"/>
        </w:trPr>
        <w:tc>
          <w:tcPr>
            <w:tcW w:w="4060" w:type="dxa"/>
            <w:vAlign w:val="bottom"/>
          </w:tcPr>
          <w:p>
            <w:pPr>
              <w:ind w:left="200"/>
              <w:spacing w:after="0"/>
              <w:rPr>
                <w:sz w:val="20"/>
                <w:szCs w:val="20"/>
                <w:color w:val="auto"/>
              </w:rPr>
            </w:pPr>
            <w:r>
              <w:rPr>
                <w:rFonts w:ascii="Arial" w:cs="Arial" w:eastAsia="Arial" w:hAnsi="Arial"/>
                <w:sz w:val="18"/>
                <w:szCs w:val="18"/>
                <w:color w:val="auto"/>
              </w:rPr>
              <w:t>August 1, 2010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8.75</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3,579</w:t>
            </w: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4, 2010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3,592</w:t>
            </w:r>
          </w:p>
        </w:tc>
      </w:tr>
      <w:tr>
        <w:trPr>
          <w:trHeight w:val="230"/>
        </w:trPr>
        <w:tc>
          <w:tcPr>
            <w:tcW w:w="4060" w:type="dxa"/>
            <w:vAlign w:val="bottom"/>
          </w:tcPr>
          <w:p>
            <w:pPr>
              <w:ind w:left="6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80" w:type="dxa"/>
            <w:vAlign w:val="bottom"/>
          </w:tcPr>
          <w:p>
            <w:pPr>
              <w:spacing w:after="0"/>
              <w:rPr>
                <w:sz w:val="20"/>
                <w:szCs w:val="20"/>
                <w:color w:val="auto"/>
              </w:rPr>
            </w:pPr>
          </w:p>
        </w:tc>
      </w:tr>
      <w:tr>
        <w:trPr>
          <w:trHeight w:val="216"/>
        </w:trPr>
        <w:tc>
          <w:tcPr>
            <w:tcW w:w="4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Cash Flow Hedges: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1,030,000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66,759</w:t>
            </w:r>
          </w:p>
        </w:tc>
      </w:tr>
      <w:tr>
        <w:trPr>
          <w:trHeight w:val="223"/>
        </w:trPr>
        <w:tc>
          <w:tcPr>
            <w:tcW w:w="4060" w:type="dxa"/>
            <w:vAlign w:val="bottom"/>
          </w:tcPr>
          <w:p>
            <w:pPr>
              <w:ind w:left="400"/>
              <w:spacing w:after="0"/>
              <w:rPr>
                <w:sz w:val="20"/>
                <w:szCs w:val="20"/>
                <w:color w:val="auto"/>
              </w:rPr>
            </w:pPr>
            <w:r>
              <w:rPr>
                <w:rFonts w:ascii="Arial" w:cs="Arial" w:eastAsia="Arial" w:hAnsi="Arial"/>
                <w:sz w:val="18"/>
                <w:szCs w:val="18"/>
                <w:b w:val="1"/>
                <w:bCs w:val="1"/>
                <w:color w:val="auto"/>
              </w:rPr>
              <w:t>Total Derivative Contracts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1,225,000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72,942</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plus 1.075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plus 1.2435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Prime rate as of March 31, 2009</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accrued interest</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March 31, 2009, United had interest rate swap contracts with a total notional amount of $730 million that were designated as cash flow hedges of prime-based loans. United had interest rate floor contracts with a total notional of $300 million and a remaining unamortized premium balance of $2.4 million that were also designated as cash flow hedges of prime-based loans. United also had receive fixed, pay LIBOR swap contracts with a total notional of $195 million that were accounted for as fair value hedges of brokered deposits.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18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12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6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Mortgage loans held for sale totaled $43 million at March 31, 2009, and typically turn over every 45 days as the closed loans are sold to investors in the secondary market.</w:t>
      </w:r>
    </w:p>
    <w:p>
      <w:pPr>
        <w:spacing w:after="0" w:line="14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United had sufficient qualifying collateral to increase FHLB advances by $1.0 billion at March 31, 2009. United’s internal policy limits brokered deposits to 25% of total assets. At March 31, 2009, United had the capacity to increase brokered deposits by $1.3 billion and still remain within this limit. Also, United had sufficient qualifying assets pledged to the Federal Reserve under the Term Auction Facility, Term Investment Option and Discount Window to increase short-term borrowings by $471 million.</w:t>
      </w:r>
    </w:p>
    <w:p>
      <w:pPr>
        <w:spacing w:after="0" w:line="161"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$52.6 million for the three months ended March 31, 2009. The net loss of $103.8 million for the quarter included non-cash expenses for provision for loan losses of $65 million and goodwill impairment of $70 million. Also included in cash provided from operating activities was a $49.6 million net increase in accrued expenses other liabilities that primarily related to a federal tax refund received in the first quarter and cash collateral received from counterparties to derivatives contracts. This was offset by a net increase in mortgage loans held for sale of $22.8 million and a net increase in other assets of $9.3 million. Net cash used by investing activities of $99.2 million consisted primarily of purchases of securities of $297.6 million, a net increase in loans of $9.9 million and purchases of premises and equipment of $2.8 million, which were partially offset by proceeds from sales of securities of $14.2 million, maturities and calls of investment securities of $174.2 million, and proceeds from sales of other real estate of $22.6 million. Net cash used by financing activities of $312.3 million consisted primarily of a net decrease of $386.3 million in deposits. This was offset by a $50.3 million increase in federal funds and other short-term borrowings and a net increase of $25 million in Federal Home Loan Bank advances.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18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Shareholders’ equity at March 31, 2009 was $888.9 million, a decrease of $100.5 million from December 31, 2008. The non-cash goodwill impairment charge accounted for $70 million of the decrease. Accumulated other comprehensive income is not included in the calculation of regulatory capital adequacy ratios. Excluding the change in the accumulated other comprehensive income, shareholders’ equity decreased $104.5 million from December 31, 2008. The decrease in equity is primarily due to the $103.8 million net loss for the first quarter which included the $70 million goodwill impairment charge. In order to preserve capital, United’s board of directors declared a 1 for 130 stock dividend during the first quarter of 2009 in lieu of a cash dividend on the outstanding common shares. United reported $2.6 million in dividends on Series A and Series B preferred stock. United recognizes that cash dividends are an important component of shareholder value, and therefore, intends to provide for cash dividends when earnings, capital levels and other factors permit.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2009 and 2008.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10 — Stock Price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4"/>
              </w:rPr>
              <w:t>2009</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4"/>
              </w:rPr>
              <w:t>2008</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80" w:type="dxa"/>
            <w:vAlign w:val="bottom"/>
          </w:tcPr>
          <w:p>
            <w:pPr>
              <w:spacing w:after="0"/>
              <w:rPr>
                <w:sz w:val="16"/>
                <w:szCs w:val="16"/>
                <w:color w:val="auto"/>
              </w:rPr>
            </w:pPr>
          </w:p>
        </w:tc>
      </w:tr>
      <w:tr>
        <w:trPr>
          <w:trHeight w:val="234"/>
        </w:trPr>
        <w:tc>
          <w:tcPr>
            <w:tcW w:w="20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High</w:t>
            </w:r>
          </w:p>
        </w:tc>
        <w:tc>
          <w:tcPr>
            <w:tcW w:w="3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Low</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Close</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Volume</w:t>
            </w:r>
          </w:p>
        </w:tc>
        <w:tc>
          <w:tcPr>
            <w:tcW w:w="34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20"/>
                <w:szCs w:val="20"/>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Close</w:t>
            </w:r>
          </w:p>
        </w:tc>
        <w:tc>
          <w:tcPr>
            <w:tcW w:w="3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Volume</w:t>
            </w:r>
          </w:p>
        </w:tc>
        <w:tc>
          <w:tcPr>
            <w:tcW w:w="80" w:type="dxa"/>
            <w:vAlign w:val="bottom"/>
          </w:tcPr>
          <w:p>
            <w:pPr>
              <w:spacing w:after="0"/>
              <w:rPr>
                <w:sz w:val="20"/>
                <w:szCs w:val="20"/>
                <w:color w:val="auto"/>
              </w:rPr>
            </w:pPr>
          </w:p>
        </w:tc>
      </w:tr>
      <w:tr>
        <w:trPr>
          <w:trHeight w:val="210"/>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$ 13.87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  2.28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4.16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524,492</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$ 20.80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$ 13.38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$ 16.98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441,659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Second quarter</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18.51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8.53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464,566</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359,971</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Fourth quarter</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15.82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13.58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319,534</w:t>
            </w:r>
          </w:p>
        </w:tc>
      </w:tr>
    </w:tbl>
    <w:p>
      <w:pPr>
        <w:spacing w:after="0" w:line="14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presents the quarterly cash and stock dividends declared in 2009 and 2008 and the respective cash dividend payout ratios as a percentage of basic operating earnings per share.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11 — Dividend Payout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w w:val="90"/>
              </w:rPr>
              <w:t>Cash</w:t>
            </w:r>
          </w:p>
        </w:tc>
        <w:tc>
          <w:tcPr>
            <w:tcW w:w="11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Stock</w:t>
            </w: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Payout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w w:val="90"/>
              </w:rPr>
              <w:t>Cash</w:t>
            </w:r>
          </w:p>
        </w:tc>
        <w:tc>
          <w:tcPr>
            <w:tcW w:w="10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Stock</w:t>
            </w:r>
          </w:p>
        </w:tc>
        <w:tc>
          <w:tcPr>
            <w:tcW w:w="720" w:type="dxa"/>
            <w:vAlign w:val="bottom"/>
          </w:tcPr>
          <w:p>
            <w:pPr>
              <w:ind w:left="80"/>
              <w:spacing w:after="0" w:line="191" w:lineRule="exact"/>
              <w:rPr>
                <w:sz w:val="20"/>
                <w:szCs w:val="20"/>
                <w:color w:val="auto"/>
              </w:rPr>
            </w:pPr>
            <w:r>
              <w:rPr>
                <w:rFonts w:ascii="Arial" w:cs="Arial" w:eastAsia="Arial" w:hAnsi="Arial"/>
                <w:sz w:val="18"/>
                <w:szCs w:val="18"/>
                <w:b w:val="1"/>
                <w:bCs w:val="1"/>
                <w:color w:val="auto"/>
              </w:rPr>
              <w:t>Payout</w:t>
            </w:r>
          </w:p>
        </w:tc>
        <w:tc>
          <w:tcPr>
            <w:tcW w:w="16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Dividend</w:t>
            </w: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Dividend</w:t>
            </w: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Ratio</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Dividend</w:t>
            </w: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Dividend</w:t>
            </w: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Ratio</w:t>
            </w:r>
          </w:p>
        </w:tc>
      </w:tr>
      <w:tr>
        <w:trPr>
          <w:trHeight w:val="210"/>
        </w:trPr>
        <w:tc>
          <w:tcPr>
            <w:tcW w:w="2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 for 130</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8"/>
              </w:rPr>
              <w:t>26%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60</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 for 130</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 for 130</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NA</w:t>
            </w: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dividends are presented as the dollar amount declared per share.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dividends are presented as the number of new shares issued for shares already owned.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payout ratio is presented for cash dividends only.</w:t>
      </w:r>
    </w:p>
    <w:p>
      <w:pPr>
        <w:spacing w:after="0" w:line="19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risk-adjusted assets to determine the risk based capital ratios. The guidelines require an 8% total risk-based capital ratio, of which 4% must be Tier I capital. To be considered well-capitalized under the guidelines, a 10% total risk-based capital ratio is required, of which 6% must be Tier I capital.</w:t>
      </w:r>
    </w:p>
    <w:p>
      <w:pPr>
        <w:spacing w:after="0" w:line="124"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United’s capital ratios, as calculated under regulatory guidelines, at March 31, 2009 and 2008.</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Capital Ratios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Actual</w:t>
            </w:r>
          </w:p>
        </w:tc>
        <w:tc>
          <w:tcPr>
            <w:tcW w:w="9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3"/>
              </w:rPr>
              <w:t>Regulatory</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Actual</w:t>
            </w:r>
          </w:p>
        </w:tc>
        <w:tc>
          <w:tcPr>
            <w:tcW w:w="9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Regulatory</w:t>
            </w:r>
          </w:p>
        </w:tc>
        <w:tc>
          <w:tcPr>
            <w:tcW w:w="160" w:type="dxa"/>
            <w:vAlign w:val="bottom"/>
          </w:tcPr>
          <w:p>
            <w:pPr>
              <w:spacing w:after="0"/>
              <w:rPr>
                <w:sz w:val="16"/>
                <w:szCs w:val="16"/>
                <w:color w:val="auto"/>
              </w:rPr>
            </w:pP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1"/>
              </w:rPr>
              <w:t>Amount</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Minimum</w:t>
            </w:r>
          </w:p>
        </w:tc>
        <w:tc>
          <w:tcPr>
            <w:tcW w:w="12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4"/>
              </w:rPr>
              <w:t>Amount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Minimum</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637,727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242,040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555,126</w:t>
            </w:r>
          </w:p>
        </w:tc>
        <w:tc>
          <w:tcPr>
            <w:tcW w:w="22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239,641</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Tier I Risk-Based: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637,727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234,473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555,126</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252,806</w:t>
            </w: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Ratio</w:t>
            </w:r>
          </w:p>
        </w:tc>
        <w:tc>
          <w:tcPr>
            <w:tcW w:w="1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02"/>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Risk-Based: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795,772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468,946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694,462</w:t>
            </w:r>
          </w:p>
        </w:tc>
        <w:tc>
          <w:tcPr>
            <w:tcW w:w="22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505,613</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r>
    </w:tbl>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capital ratios of United and the Banks currently exceed the minimum ratios as defined by federal regulators. United monitors these ratios to ensure that United and the Banks remain above regulatory minimum guidelines.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There have been no material changes in United’s quantitative and qualitative disclosures about market risk as of March 31, 2009 from that presented in the Annual Report on Form 10-K for the year ended December 31, 2008. The interest rate sensitivity position at March 31, 2009 is included in management’s discussion and analysis on page 26 of this report.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March 31, 2009.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Form 10-K for the year ended December 31, 2008.</w:t>
      </w:r>
    </w:p>
    <w:p>
      <w:pPr>
        <w:spacing w:after="0" w:line="126" w:lineRule="exact"/>
        <w:rPr>
          <w:sz w:val="20"/>
          <w:szCs w:val="20"/>
          <w:color w:val="auto"/>
        </w:rPr>
      </w:pPr>
    </w:p>
    <w:p>
      <w:pPr>
        <w:ind w:left="340" w:right="4059"/>
        <w:spacing w:after="0" w:line="461" w:lineRule="auto"/>
        <w:rPr>
          <w:sz w:val="20"/>
          <w:szCs w:val="20"/>
          <w:color w:val="auto"/>
        </w:rPr>
      </w:pPr>
      <w:r>
        <w:rPr>
          <w:rFonts w:ascii="Arial" w:cs="Arial" w:eastAsia="Arial" w:hAnsi="Arial"/>
          <w:sz w:val="18"/>
          <w:szCs w:val="18"/>
          <w:b w:val="1"/>
          <w:bCs w:val="1"/>
          <w:color w:val="auto"/>
        </w:rPr>
        <w:t>Item 2. Unregistered Sales of Equity Securities and Use of Proceeds — None Item 3. Defaults upon Senior Securities — None</w:t>
      </w:r>
    </w:p>
    <w:p>
      <w:pPr>
        <w:spacing w:after="0" w:line="2" w:lineRule="exact"/>
        <w:rPr>
          <w:sz w:val="20"/>
          <w:szCs w:val="20"/>
          <w:color w:val="auto"/>
        </w:rPr>
      </w:pPr>
    </w:p>
    <w:p>
      <w:pPr>
        <w:ind w:left="340" w:right="4639"/>
        <w:spacing w:after="0" w:line="546" w:lineRule="auto"/>
        <w:rPr>
          <w:sz w:val="20"/>
          <w:szCs w:val="20"/>
          <w:color w:val="auto"/>
        </w:rPr>
      </w:pPr>
      <w:r>
        <w:rPr>
          <w:rFonts w:ascii="Arial" w:cs="Arial" w:eastAsia="Arial" w:hAnsi="Arial"/>
          <w:sz w:val="18"/>
          <w:szCs w:val="18"/>
          <w:b w:val="1"/>
          <w:bCs w:val="1"/>
          <w:color w:val="auto"/>
        </w:rPr>
        <w:t>Item 4. Submission of Matters to a Vote of Security Holders — None Item 5. Other Information — None Item 6. Exhibits</w:t>
      </w: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8140" w:type="dxa"/>
            <w:vAlign w:val="bottom"/>
          </w:tcPr>
          <w:p>
            <w:pPr>
              <w:ind w:left="400"/>
              <w:spacing w:after="0"/>
              <w:rPr>
                <w:sz w:val="20"/>
                <w:szCs w:val="20"/>
                <w:color w:val="auto"/>
              </w:rPr>
            </w:pPr>
            <w:r>
              <w:rPr>
                <w:rFonts w:ascii="Arial" w:cs="Arial" w:eastAsia="Arial" w:hAnsi="Arial"/>
                <w:sz w:val="18"/>
                <w:szCs w:val="18"/>
                <w:color w:val="auto"/>
                <w:w w:val="93"/>
              </w:rPr>
              <w:t>Restated Articles of Incorporation of United Community Banks, Inc., (incorporated herein by reference to</w:t>
            </w:r>
          </w:p>
        </w:tc>
      </w:tr>
      <w:tr>
        <w:trPr>
          <w:trHeight w:val="216"/>
        </w:trPr>
        <w:tc>
          <w:tcPr>
            <w:tcW w:w="70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7"/>
              </w:rPr>
              <w:t>Exhibit 3.1 to United Community Banks, Inc.’s Quarterly Report on Form 10-Q for the quarter ended</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June 30, 2001, File No. 0-21656, filed with the Commission on August 14, 2001).</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8140" w:type="dxa"/>
            <w:vAlign w:val="bottom"/>
          </w:tcPr>
          <w:p>
            <w:pPr>
              <w:ind w:left="400"/>
              <w:spacing w:after="0"/>
              <w:rPr>
                <w:sz w:val="20"/>
                <w:szCs w:val="20"/>
                <w:color w:val="auto"/>
              </w:rPr>
            </w:pPr>
            <w:r>
              <w:rPr>
                <w:rFonts w:ascii="Arial" w:cs="Arial" w:eastAsia="Arial" w:hAnsi="Arial"/>
                <w:sz w:val="18"/>
                <w:szCs w:val="18"/>
                <w:color w:val="auto"/>
                <w:w w:val="96"/>
              </w:rPr>
              <w:t>Amendment to the Restated Articles of Incorporation of United Community Banks, Inc. (incorporated</w:t>
            </w:r>
          </w:p>
        </w:tc>
      </w:tr>
      <w:tr>
        <w:trPr>
          <w:trHeight w:val="216"/>
        </w:trPr>
        <w:tc>
          <w:tcPr>
            <w:tcW w:w="70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1"/>
              </w:rPr>
              <w:t>herein by reference to Exhibit 3.3 to United Community Banks, Inc.’s Registration Statement on Form S-4,</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File No. 333-118893, filed with the Commission on September 9, 2004).</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8140" w:type="dxa"/>
            <w:vAlign w:val="bottom"/>
          </w:tcPr>
          <w:p>
            <w:pPr>
              <w:ind w:left="400"/>
              <w:spacing w:after="0"/>
              <w:rPr>
                <w:sz w:val="20"/>
                <w:szCs w:val="20"/>
                <w:color w:val="auto"/>
              </w:rPr>
            </w:pPr>
            <w:r>
              <w:rPr>
                <w:rFonts w:ascii="Arial" w:cs="Arial" w:eastAsia="Arial" w:hAnsi="Arial"/>
                <w:sz w:val="18"/>
                <w:szCs w:val="18"/>
                <w:color w:val="auto"/>
                <w:w w:val="90"/>
              </w:rPr>
              <w:t>Amended and Restated Bylaws of United Community Banks, Inc., dated September 12, 1997 (incorporated</w:t>
            </w:r>
          </w:p>
        </w:tc>
      </w:tr>
      <w:tr>
        <w:trPr>
          <w:trHeight w:val="216"/>
        </w:trPr>
        <w:tc>
          <w:tcPr>
            <w:tcW w:w="70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5"/>
              </w:rPr>
              <w:t>herein by reference to Exhibit 3.1 to United Community Banks, Inc.’s Annual Report on Form 10-K, for</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w w:val="95"/>
              </w:rPr>
              <w:t>the year ended December 31, 1997, File No. 0-21656, filed with the Commission on March 27, 1998).</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8140" w:type="dxa"/>
            <w:vAlign w:val="bottom"/>
          </w:tcPr>
          <w:p>
            <w:pPr>
              <w:ind w:left="400"/>
              <w:spacing w:after="0"/>
              <w:rPr>
                <w:sz w:val="20"/>
                <w:szCs w:val="20"/>
                <w:color w:val="auto"/>
              </w:rPr>
            </w:pPr>
            <w:r>
              <w:rPr>
                <w:rFonts w:ascii="Arial" w:cs="Arial" w:eastAsia="Arial" w:hAnsi="Arial"/>
                <w:sz w:val="18"/>
                <w:szCs w:val="18"/>
                <w:color w:val="auto"/>
                <w:w w:val="95"/>
              </w:rPr>
              <w:t>See Exhibits 3.1, 3.2 and 3.3 for provisions of the Restated Articles of Incorporation, as amended, and</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Amended and Restated Bylaws, which define the rights of the Shareholders.</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31.1</w:t>
            </w:r>
          </w:p>
        </w:tc>
        <w:tc>
          <w:tcPr>
            <w:tcW w:w="8140" w:type="dxa"/>
            <w:vAlign w:val="bottom"/>
          </w:tcPr>
          <w:p>
            <w:pPr>
              <w:ind w:left="400"/>
              <w:spacing w:after="0"/>
              <w:rPr>
                <w:sz w:val="20"/>
                <w:szCs w:val="20"/>
                <w:color w:val="auto"/>
              </w:rPr>
            </w:pPr>
            <w:r>
              <w:rPr>
                <w:rFonts w:ascii="Arial" w:cs="Arial" w:eastAsia="Arial" w:hAnsi="Arial"/>
                <w:sz w:val="18"/>
                <w:szCs w:val="18"/>
                <w:color w:val="auto"/>
                <w:w w:val="96"/>
              </w:rPr>
              <w:t>Certification by Jimmy C. Tallent, President and Chief Executive Officer of United Community Banks,</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Inc., as adopted pursuant to Section 302 of the Sarbanes-Oxley Act of 2002.</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31.2</w:t>
            </w:r>
          </w:p>
        </w:tc>
        <w:tc>
          <w:tcPr>
            <w:tcW w:w="8140" w:type="dxa"/>
            <w:vAlign w:val="bottom"/>
          </w:tcPr>
          <w:p>
            <w:pPr>
              <w:ind w:left="400"/>
              <w:spacing w:after="0"/>
              <w:rPr>
                <w:sz w:val="20"/>
                <w:szCs w:val="20"/>
                <w:color w:val="auto"/>
              </w:rPr>
            </w:pPr>
            <w:r>
              <w:rPr>
                <w:rFonts w:ascii="Arial" w:cs="Arial" w:eastAsia="Arial" w:hAnsi="Arial"/>
                <w:sz w:val="18"/>
                <w:szCs w:val="18"/>
                <w:color w:val="auto"/>
              </w:rPr>
              <w:t>Certification by Rex S. Schuette, Executive Vice President and Chief Financial Officer of United</w:t>
            </w:r>
          </w:p>
        </w:tc>
      </w:tr>
      <w:tr>
        <w:trPr>
          <w:trHeight w:val="230"/>
        </w:trPr>
        <w:tc>
          <w:tcPr>
            <w:tcW w:w="70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Community Banks, Inc., as adopted pursuant to Section 302 of the Sarbanes-Oxley Act of 2002.</w:t>
            </w:r>
          </w:p>
        </w:tc>
      </w:tr>
    </w:tbl>
    <w:p>
      <w:pPr>
        <w:spacing w:after="0" w:line="202" w:lineRule="exact"/>
        <w:rPr>
          <w:sz w:val="20"/>
          <w:szCs w:val="20"/>
          <w:color w:val="auto"/>
        </w:rPr>
      </w:pPr>
    </w:p>
    <w:p>
      <w:pPr>
        <w:ind w:left="1920" w:right="559" w:hanging="956"/>
        <w:spacing w:after="0" w:line="277" w:lineRule="auto"/>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-130810</wp:posOffset>
            </wp:positionV>
            <wp:extent cx="2418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-130810</wp:posOffset>
            </wp:positionV>
            <wp:extent cx="2418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-130810</wp:posOffset>
            </wp:positionV>
            <wp:extent cx="2418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Date: May 7, 2009</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5925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4" w:lineRule="exact"/>
        <w:rPr>
          <w:sz w:val="20"/>
          <w:szCs w:val="20"/>
          <w:color w:val="auto"/>
        </w:rPr>
      </w:pPr>
    </w:p>
    <w:p>
      <w:pPr>
        <w:ind w:left="1920" w:right="559" w:hanging="994"/>
        <w:spacing w:after="0" w:line="277" w:lineRule="auto"/>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See Exhibits 3.1, 3.2 and 3.3 for provisions of the Restated Articles of Incorporation, as amended, and Amended and Restated Bylaws, which define the rights of the Shareholders.</w:t>
      </w:r>
    </w:p>
    <w:p>
      <w:pPr>
        <w:spacing w:after="0" w:line="170" w:lineRule="exact"/>
        <w:rPr>
          <w:sz w:val="20"/>
          <w:szCs w:val="20"/>
          <w:color w:val="auto"/>
        </w:rPr>
      </w:pPr>
    </w:p>
    <w:p>
      <w:pPr>
        <w:ind w:left="1920" w:right="559" w:hanging="1084"/>
        <w:spacing w:after="0" w:line="277" w:lineRule="auto"/>
        <w:tabs>
          <w:tab w:leader="none" w:pos="1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by Jimmy C. Tallent, President and Chief Executive Officer of United Community Banks, Inc., as adopted pursuant to Section 302 of the Sarbanes-Oxley Act of 2002.</w:t>
      </w:r>
    </w:p>
    <w:p>
      <w:pPr>
        <w:spacing w:after="0" w:line="170" w:lineRule="exact"/>
        <w:rPr>
          <w:sz w:val="20"/>
          <w:szCs w:val="20"/>
          <w:color w:val="auto"/>
        </w:rPr>
      </w:pPr>
    </w:p>
    <w:p>
      <w:pPr>
        <w:ind w:left="1920" w:right="559" w:hanging="1084"/>
        <w:spacing w:after="0" w:line="277" w:lineRule="auto"/>
        <w:tabs>
          <w:tab w:leader="none" w:pos="1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by Rex S. Schuette, Executive Vice President and Chief Financial Officer of United Community Banks, Inc., as adopted pursuant to Section 302 of the Sarbanes-Oxley Act of 2002.</w:t>
      </w:r>
    </w:p>
    <w:p>
      <w:pPr>
        <w:spacing w:after="0" w:line="170" w:lineRule="exact"/>
        <w:rPr>
          <w:sz w:val="20"/>
          <w:szCs w:val="20"/>
          <w:color w:val="auto"/>
        </w:rPr>
      </w:pPr>
    </w:p>
    <w:p>
      <w:pPr>
        <w:ind w:left="1920" w:right="559" w:hanging="956"/>
        <w:spacing w:after="0" w:line="277" w:lineRule="auto"/>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19" w:right="1440" w:bottom="1440" w:gutter="0" w:footer="0" w:header="0"/>
        </w:sectPr>
      </w:pPr>
    </w:p>
    <w:bookmarkStart w:id="37" w:name="page38"/>
    <w:bookmarkEnd w:id="37"/>
    <w:p>
      <w:pPr>
        <w:ind w:left="4208"/>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Jimmy C. Tallent, certify that:</w:t>
      </w:r>
    </w:p>
    <w:p>
      <w:pPr>
        <w:spacing w:after="0" w:line="198" w:lineRule="exact"/>
        <w:rPr>
          <w:sz w:val="20"/>
          <w:szCs w:val="20"/>
          <w:color w:val="auto"/>
        </w:rPr>
      </w:pPr>
    </w:p>
    <w:p>
      <w:pPr>
        <w:ind w:left="188" w:hanging="188"/>
        <w:spacing w:after="0"/>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376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-130810</wp:posOffset>
            </wp:positionV>
            <wp:extent cx="2555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President and Chief Executive Officer of the Registrant</w:t>
      </w:r>
    </w:p>
    <w:p>
      <w:pPr>
        <w:spacing w:after="0" w:line="211" w:lineRule="exact"/>
        <w:rPr>
          <w:sz w:val="20"/>
          <w:szCs w:val="20"/>
          <w:color w:val="auto"/>
        </w:rPr>
      </w:pPr>
    </w:p>
    <w:p>
      <w:pPr>
        <w:ind w:left="3768"/>
        <w:spacing w:after="0"/>
        <w:rPr>
          <w:sz w:val="20"/>
          <w:szCs w:val="20"/>
          <w:color w:val="auto"/>
        </w:rPr>
      </w:pPr>
      <w:r>
        <w:rPr>
          <w:rFonts w:ascii="Arial" w:cs="Arial" w:eastAsia="Arial" w:hAnsi="Arial"/>
          <w:sz w:val="18"/>
          <w:szCs w:val="18"/>
          <w:color w:val="auto"/>
        </w:rPr>
        <w:t>Date: May 7, 2009</w:t>
      </w:r>
    </w:p>
    <w:p>
      <w:pPr>
        <w:sectPr>
          <w:pgSz w:w="11900" w:h="16838" w:orient="portrait"/>
          <w:cols w:equalWidth="0" w:num="1">
            <w:col w:w="9887"/>
          </w:cols>
          <w:pgMar w:left="572" w:top="121" w:right="1440" w:bottom="1440" w:gutter="0" w:footer="0" w:header="0"/>
        </w:sectPr>
      </w:pPr>
    </w:p>
    <w:bookmarkStart w:id="38" w:name="page39"/>
    <w:bookmarkEnd w:id="38"/>
    <w:p>
      <w:pPr>
        <w:ind w:left="4208"/>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Rex S. Schuette, certify that:</w:t>
      </w:r>
    </w:p>
    <w:p>
      <w:pPr>
        <w:spacing w:after="0" w:line="198" w:lineRule="exact"/>
        <w:rPr>
          <w:sz w:val="20"/>
          <w:szCs w:val="20"/>
          <w:color w:val="auto"/>
        </w:rPr>
      </w:pPr>
    </w:p>
    <w:p>
      <w:pPr>
        <w:ind w:left="188" w:hanging="188"/>
        <w:spacing w:after="0"/>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92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3288"/>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2084070</wp:posOffset>
            </wp:positionH>
            <wp:positionV relativeFrom="paragraph">
              <wp:posOffset>-130810</wp:posOffset>
            </wp:positionV>
            <wp:extent cx="32499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3288"/>
        <w:spacing w:after="0"/>
        <w:rPr>
          <w:sz w:val="20"/>
          <w:szCs w:val="20"/>
          <w:color w:val="auto"/>
        </w:rPr>
      </w:pPr>
      <w:r>
        <w:rPr>
          <w:rFonts w:ascii="Arial" w:cs="Arial" w:eastAsia="Arial" w:hAnsi="Arial"/>
          <w:sz w:val="18"/>
          <w:szCs w:val="18"/>
          <w:color w:val="auto"/>
        </w:rPr>
        <w:t>Executive Vice President and Chief Financial Officer of the Registrant</w:t>
      </w:r>
    </w:p>
    <w:p>
      <w:pPr>
        <w:spacing w:after="0" w:line="211" w:lineRule="exact"/>
        <w:rPr>
          <w:sz w:val="20"/>
          <w:szCs w:val="20"/>
          <w:color w:val="auto"/>
        </w:rPr>
      </w:pPr>
    </w:p>
    <w:p>
      <w:pPr>
        <w:ind w:left="2928"/>
        <w:spacing w:after="0"/>
        <w:rPr>
          <w:sz w:val="20"/>
          <w:szCs w:val="20"/>
          <w:color w:val="auto"/>
        </w:rPr>
      </w:pPr>
      <w:r>
        <w:rPr>
          <w:rFonts w:ascii="Arial" w:cs="Arial" w:eastAsia="Arial" w:hAnsi="Arial"/>
          <w:sz w:val="18"/>
          <w:szCs w:val="18"/>
          <w:color w:val="auto"/>
        </w:rPr>
        <w:t>Date: May 7, 2009</w:t>
      </w:r>
    </w:p>
    <w:p>
      <w:pPr>
        <w:sectPr>
          <w:pgSz w:w="11900" w:h="16838" w:orient="portrait"/>
          <w:cols w:equalWidth="0" w:num="1">
            <w:col w:w="9887"/>
          </w:cols>
          <w:pgMar w:left="572" w:top="121" w:right="1440" w:bottom="1440" w:gutter="0" w:footer="0" w:header="0"/>
        </w:sectPr>
      </w:pPr>
    </w:p>
    <w:bookmarkStart w:id="39" w:name="page40"/>
    <w:bookmarkEnd w:id="39"/>
    <w:p>
      <w:pPr>
        <w:ind w:left="42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In connection with the Quarterly Report of United Community Banks, Inc. (“United”) on Form 10-Q for the period ending March 31, 2009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14" w:lineRule="exact"/>
        <w:rPr>
          <w:sz w:val="20"/>
          <w:szCs w:val="20"/>
          <w:color w:val="auto"/>
        </w:rPr>
      </w:pPr>
    </w:p>
    <w:p>
      <w:pPr>
        <w:ind w:left="700" w:hanging="343"/>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101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101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Date: May 7, 2009</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2019-12-10T07:57:42Z</dcterms:created>
  <dcterms:modified xsi:type="dcterms:W3CDTF">2019-12-10T07:57:42Z</dcterms:modified>
</cp:coreProperties>
</file>