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2760"/>
        <w:spacing w:after="0"/>
        <w:tabs>
          <w:tab w:leader="none" w:pos="6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0-21656</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78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Georgia</w:t>
            </w:r>
          </w:p>
        </w:tc>
        <w:tc>
          <w:tcPr>
            <w:tcW w:w="5540" w:type="dxa"/>
            <w:vAlign w:val="bottom"/>
            <w:gridSpan w:val="5"/>
          </w:tcPr>
          <w:p>
            <w:pPr>
              <w:jc w:val="right"/>
              <w:ind w:right="16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378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91"/>
              </w:rPr>
              <w:t>(State of Incorporation)</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09"/>
        </w:trPr>
        <w:tc>
          <w:tcPr>
            <w:tcW w:w="378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125 Highway 515</w:t>
            </w:r>
          </w:p>
        </w:tc>
        <w:tc>
          <w:tcPr>
            <w:tcW w:w="5540" w:type="dxa"/>
            <w:vAlign w:val="bottom"/>
            <w:gridSpan w:val="5"/>
          </w:tcPr>
          <w:p>
            <w:pPr>
              <w:jc w:val="right"/>
              <w:ind w:right="1910"/>
              <w:spacing w:after="0"/>
              <w:rPr>
                <w:sz w:val="20"/>
                <w:szCs w:val="20"/>
                <w:color w:val="auto"/>
              </w:rPr>
            </w:pPr>
            <w:r>
              <w:rPr>
                <w:rFonts w:ascii="Arial" w:cs="Arial" w:eastAsia="Arial" w:hAnsi="Arial"/>
                <w:sz w:val="18"/>
                <w:szCs w:val="18"/>
                <w:b w:val="1"/>
                <w:bCs w:val="1"/>
                <w:color w:val="auto"/>
              </w:rPr>
              <w:t>30512</w:t>
            </w:r>
          </w:p>
        </w:tc>
      </w:tr>
      <w:tr>
        <w:trPr>
          <w:trHeight w:val="234"/>
        </w:trPr>
        <w:tc>
          <w:tcPr>
            <w:tcW w:w="378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91"/>
              </w:rPr>
              <w:t>Blairsville, Georgia</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r>
      <w:tr>
        <w:trPr>
          <w:trHeight w:val="228"/>
        </w:trPr>
        <w:tc>
          <w:tcPr>
            <w:tcW w:w="378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80" w:type="dxa"/>
            <w:vAlign w:val="bottom"/>
          </w:tcPr>
          <w:p>
            <w:pPr>
              <w:jc w:val="center"/>
              <w:ind w:right="470"/>
              <w:spacing w:after="0"/>
              <w:rPr>
                <w:sz w:val="20"/>
                <w:szCs w:val="20"/>
                <w:color w:val="auto"/>
              </w:rPr>
            </w:pPr>
            <w:r>
              <w:rPr>
                <w:rFonts w:ascii="Arial" w:cs="Arial" w:eastAsia="Arial" w:hAnsi="Arial"/>
                <w:sz w:val="18"/>
                <w:szCs w:val="18"/>
                <w:b w:val="1"/>
                <w:bCs w:val="1"/>
                <w:color w:val="auto"/>
                <w:w w:val="94"/>
              </w:rPr>
              <w:t>(Zip Code)</w:t>
            </w:r>
          </w:p>
        </w:tc>
      </w:tr>
      <w:tr>
        <w:trPr>
          <w:trHeight w:val="387"/>
        </w:trPr>
        <w:tc>
          <w:tcPr>
            <w:tcW w:w="3780" w:type="dxa"/>
            <w:vAlign w:val="bottom"/>
          </w:tcPr>
          <w:p>
            <w:pPr>
              <w:spacing w:after="0"/>
              <w:rPr>
                <w:sz w:val="24"/>
                <w:szCs w:val="24"/>
                <w:color w:val="auto"/>
              </w:rPr>
            </w:pPr>
          </w:p>
        </w:tc>
        <w:tc>
          <w:tcPr>
            <w:tcW w:w="16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(706) 781-2265</w:t>
            </w:r>
          </w:p>
        </w:tc>
        <w:tc>
          <w:tcPr>
            <w:tcW w:w="3880" w:type="dxa"/>
            <w:vAlign w:val="bottom"/>
          </w:tcPr>
          <w:p>
            <w:pPr>
              <w:spacing w:after="0"/>
              <w:rPr>
                <w:sz w:val="24"/>
                <w:szCs w:val="24"/>
                <w:color w:val="auto"/>
              </w:rPr>
            </w:pPr>
          </w:p>
        </w:tc>
      </w:tr>
      <w:tr>
        <w:trPr>
          <w:trHeight w:val="228"/>
        </w:trPr>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(Telephone Number)</w:t>
            </w:r>
          </w:p>
        </w:tc>
        <w:tc>
          <w:tcPr>
            <w:tcW w:w="3880" w:type="dxa"/>
            <w:vAlign w:val="bottom"/>
          </w:tcPr>
          <w:p>
            <w:pPr>
              <w:spacing w:after="0"/>
              <w:rPr>
                <w:sz w:val="19"/>
                <w:szCs w:val="19"/>
                <w:color w:val="auto"/>
              </w:rPr>
            </w:pPr>
          </w:p>
        </w:tc>
      </w:tr>
    </w:tbl>
    <w:p>
      <w:pPr>
        <w:spacing w:after="0" w:line="139"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7"/>
          <w:szCs w:val="17"/>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0"/>
          <w:szCs w:val="20"/>
          <w:color w:val="auto"/>
        </w:rPr>
      </w:pPr>
    </w:p>
    <w:p>
      <w:pPr>
        <w:jc w:val="center"/>
        <w:ind w:right="219"/>
        <w:spacing w:after="0" w:line="207" w:lineRule="exact"/>
        <w:tabs>
          <w:tab w:leader="none" w:pos="30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NO o</w:t>
      </w:r>
    </w:p>
    <w:p>
      <w:pPr>
        <w:spacing w:after="0" w:line="227" w:lineRule="exact"/>
        <w:rPr>
          <w:sz w:val="20"/>
          <w:szCs w:val="20"/>
          <w:color w:val="auto"/>
        </w:rPr>
      </w:pPr>
    </w:p>
    <w:p>
      <w:pPr>
        <w:jc w:val="both"/>
        <w:ind w:left="340" w:right="559"/>
        <w:spacing w:after="0" w:line="261"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0" w:lineRule="exact"/>
        <w:rPr>
          <w:sz w:val="20"/>
          <w:szCs w:val="20"/>
          <w:color w:val="auto"/>
        </w:rPr>
      </w:pPr>
    </w:p>
    <w:p>
      <w:pPr>
        <w:jc w:val="center"/>
        <w:ind w:right="219"/>
        <w:spacing w:after="0"/>
        <w:tabs>
          <w:tab w:leader="none" w:pos="300" w:val="left"/>
        </w:tabs>
        <w:rPr>
          <w:sz w:val="20"/>
          <w:szCs w:val="20"/>
          <w:color w:val="auto"/>
        </w:rPr>
      </w:pPr>
      <w:r>
        <w:rPr>
          <w:rFonts w:ascii="Arial" w:cs="Arial" w:eastAsia="Arial" w:hAnsi="Arial"/>
          <w:sz w:val="18"/>
          <w:szCs w:val="18"/>
          <w:b w:val="1"/>
          <w:bCs w:val="1"/>
          <w:color w:val="auto"/>
        </w:rPr>
        <w:t>YES o</w:t>
      </w:r>
      <w:r>
        <w:rPr>
          <w:sz w:val="20"/>
          <w:szCs w:val="20"/>
          <w:color w:val="auto"/>
        </w:rPr>
        <w:tab/>
      </w:r>
      <w:r>
        <w:rPr>
          <w:rFonts w:ascii="Arial" w:cs="Arial" w:eastAsia="Arial" w:hAnsi="Arial"/>
          <w:sz w:val="16"/>
          <w:szCs w:val="16"/>
          <w:b w:val="1"/>
          <w:bCs w:val="1"/>
          <w:color w:val="auto"/>
        </w:rPr>
        <w:t>NO o</w:t>
      </w:r>
    </w:p>
    <w:p>
      <w:pPr>
        <w:spacing w:after="0" w:line="185" w:lineRule="exact"/>
        <w:rPr>
          <w:sz w:val="20"/>
          <w:szCs w:val="20"/>
          <w:color w:val="auto"/>
        </w:rPr>
      </w:pPr>
    </w:p>
    <w:p>
      <w:pPr>
        <w:jc w:val="both"/>
        <w:ind w:left="340" w:right="559"/>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ectPr>
          <w:pgSz w:w="11900" w:h="16838" w:orient="portrait"/>
          <w:cols w:equalWidth="0" w:num="1">
            <w:col w:w="10219"/>
          </w:cols>
          <w:pgMar w:left="240" w:top="122" w:right="1440" w:bottom="1440" w:gutter="0" w:footer="0" w:header="0"/>
        </w:sectPr>
      </w:pPr>
    </w:p>
    <w:p>
      <w:pPr>
        <w:spacing w:after="0" w:line="147"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b w:val="1"/>
          <w:bCs w:val="1"/>
          <w:color w:val="auto"/>
        </w:rPr>
        <w:t xml:space="preserve">Large acceleratred filer </w:t>
      </w:r>
      <w:r>
        <w:rPr>
          <w:rFonts w:ascii="Arial" w:cs="Arial" w:eastAsia="Arial" w:hAnsi="Arial"/>
          <w:sz w:val="16"/>
          <w:szCs w:val="16"/>
          <w:color w:val="auto"/>
        </w:rPr>
        <w:t>o</w:t>
      </w:r>
      <w:r>
        <w:rPr>
          <w:rFonts w:ascii="Arial" w:cs="Arial" w:eastAsia="Arial" w:hAnsi="Arial"/>
          <w:sz w:val="16"/>
          <w:szCs w:val="16"/>
          <w:b w:val="1"/>
          <w:bCs w:val="1"/>
          <w:color w:val="auto"/>
        </w:rPr>
        <w:t xml:space="preserv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Non-accelerated filer </w:t>
      </w:r>
      <w:r>
        <w:rPr>
          <w:rFonts w:ascii="Arial" w:cs="Arial" w:eastAsia="Arial" w:hAnsi="Arial"/>
          <w:sz w:val="18"/>
          <w:szCs w:val="18"/>
          <w:color w:val="auto"/>
        </w:rPr>
        <w: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Smaller Reporting Company </w:t>
      </w:r>
      <w:r>
        <w:rPr>
          <w:rFonts w:ascii="Arial" w:cs="Arial" w:eastAsia="Arial" w:hAnsi="Arial"/>
          <w:sz w:val="16"/>
          <w:szCs w:val="16"/>
          <w:color w:val="auto"/>
        </w:rPr>
        <w:t>o</w:t>
      </w:r>
    </w:p>
    <w:p>
      <w:pPr>
        <w:spacing w:after="0" w:line="434" w:lineRule="exact"/>
        <w:rPr>
          <w:sz w:val="20"/>
          <w:szCs w:val="20"/>
          <w:color w:val="auto"/>
        </w:rPr>
      </w:pPr>
    </w:p>
    <w:p>
      <w:pPr>
        <w:sectPr>
          <w:pgSz w:w="11900" w:h="16838" w:orient="portrait"/>
          <w:cols w:equalWidth="0" w:num="3">
            <w:col w:w="3820" w:space="60"/>
            <w:col w:w="3560" w:space="60"/>
            <w:col w:w="2719"/>
          </w:cols>
          <w:pgMar w:left="240" w:top="122" w:right="1440"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179" w:lineRule="exact"/>
        <w:rPr>
          <w:sz w:val="20"/>
          <w:szCs w:val="20"/>
          <w:color w:val="auto"/>
        </w:rPr>
      </w:pPr>
    </w:p>
    <w:p>
      <w:pPr>
        <w:ind w:left="4360"/>
        <w:spacing w:after="0" w:line="207" w:lineRule="exact"/>
        <w:tabs>
          <w:tab w:leader="none" w:pos="5140" w:val="left"/>
        </w:tabs>
        <w:rPr>
          <w:sz w:val="20"/>
          <w:szCs w:val="20"/>
          <w:color w:val="auto"/>
        </w:rPr>
      </w:pPr>
      <w:r>
        <w:rPr>
          <w:rFonts w:ascii="Arial" w:cs="Arial" w:eastAsia="Arial" w:hAnsi="Arial"/>
          <w:sz w:val="18"/>
          <w:szCs w:val="18"/>
          <w:b w:val="1"/>
          <w:bCs w:val="1"/>
          <w:color w:val="auto"/>
        </w:rPr>
        <w:t>YES o</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highlight w:val="black"/>
        </w:rPr>
        <w:t>☑</w:t>
      </w:r>
    </w:p>
    <w:p>
      <w:pPr>
        <w:spacing w:after="0" w:line="2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Common stock, par value $1 per share: 93,941,199 shares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outstanding as of October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151765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540" w:type="dxa"/>
            <w:vAlign w:val="bottom"/>
            <w:gridSpan w:val="28"/>
          </w:tcPr>
          <w:p>
            <w:pPr>
              <w:spacing w:after="0"/>
              <w:rPr>
                <w:sz w:val="20"/>
                <w:szCs w:val="20"/>
                <w:color w:val="auto"/>
              </w:rPr>
            </w:pPr>
            <w:r>
              <w:rPr>
                <w:rFonts w:ascii="Arial" w:cs="Arial" w:eastAsia="Arial" w:hAnsi="Arial"/>
                <w:sz w:val="18"/>
                <w:szCs w:val="18"/>
                <w:b w:val="1"/>
                <w:bCs w:val="1"/>
                <w:color w:val="auto"/>
              </w:rPr>
              <w:t>INDEX</w:t>
            </w:r>
          </w:p>
        </w:tc>
        <w:tc>
          <w:tcPr>
            <w:tcW w:w="700" w:type="dxa"/>
            <w:vAlign w:val="bottom"/>
          </w:tcPr>
          <w:p>
            <w:pPr>
              <w:spacing w:after="0"/>
              <w:rPr>
                <w:sz w:val="20"/>
                <w:szCs w:val="20"/>
                <w:color w:val="auto"/>
              </w:rPr>
            </w:pPr>
          </w:p>
        </w:tc>
      </w:tr>
      <w:tr>
        <w:trPr>
          <w:trHeight w:val="392"/>
        </w:trPr>
        <w:tc>
          <w:tcPr>
            <w:tcW w:w="2560" w:type="dxa"/>
            <w:vAlign w:val="bottom"/>
            <w:tcBorders>
              <w:bottom w:val="single" w:sz="8" w:color="0000EE"/>
            </w:tcBorders>
            <w:gridSpan w:val="13"/>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 Financial Information</w:t>
              </w:r>
            </w:hyperlink>
          </w:p>
        </w:tc>
        <w:tc>
          <w:tcPr>
            <w:tcW w:w="5980" w:type="dxa"/>
            <w:vAlign w:val="bottom"/>
            <w:gridSpan w:val="15"/>
          </w:tcPr>
          <w:p>
            <w:pPr>
              <w:spacing w:after="0"/>
              <w:rPr>
                <w:sz w:val="24"/>
                <w:szCs w:val="24"/>
                <w:color w:val="auto"/>
              </w:rPr>
            </w:pPr>
          </w:p>
        </w:tc>
        <w:tc>
          <w:tcPr>
            <w:tcW w:w="70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Borders>
              <w:bottom w:val="single" w:sz="8" w:color="0000EE"/>
            </w:tcBorders>
            <w:gridSpan w:val="10"/>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Item 1. Financial Statements</w:t>
              </w:r>
            </w:hyperlink>
          </w:p>
        </w:tc>
        <w:tc>
          <w:tcPr>
            <w:tcW w:w="6140" w:type="dxa"/>
            <w:vAlign w:val="bottom"/>
            <w:gridSpan w:val="16"/>
          </w:tcPr>
          <w:p>
            <w:pPr>
              <w:spacing w:after="0"/>
              <w:rPr>
                <w:sz w:val="24"/>
                <w:szCs w:val="24"/>
                <w:color w:val="auto"/>
              </w:rPr>
            </w:pPr>
          </w:p>
        </w:tc>
        <w:tc>
          <w:tcPr>
            <w:tcW w:w="70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tcBorders>
              <w:bottom w:val="single" w:sz="8" w:color="0000EE"/>
            </w:tcBorders>
            <w:gridSpan w:val="20"/>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 of Income (unaudited) for the Three and Nine Months Ended</w:t>
              </w:r>
            </w:hyperlink>
          </w:p>
        </w:tc>
        <w:tc>
          <w:tcPr>
            <w:tcW w:w="156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40" w:type="dxa"/>
            <w:vAlign w:val="bottom"/>
            <w:gridSpan w:val="24"/>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September 30, 2009 and 2008</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40" w:type="dxa"/>
            <w:vAlign w:val="bottom"/>
            <w:tcBorders>
              <w:bottom w:val="single" w:sz="8" w:color="0000EE"/>
            </w:tcBorders>
            <w:gridSpan w:val="23"/>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Consolidated Balance Sheet at September 30, 2009 (unaudited), December 31, 2008 (audited) and</w:t>
              </w:r>
            </w:hyperlink>
          </w:p>
        </w:tc>
        <w:tc>
          <w:tcPr>
            <w:tcW w:w="70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40" w:type="dxa"/>
            <w:vAlign w:val="bottom"/>
            <w:gridSpan w:val="24"/>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September 30, 2008 (unaudited)</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40" w:type="dxa"/>
            <w:vAlign w:val="bottom"/>
            <w:gridSpan w:val="25"/>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Consolidated Statement of Changes in Shareholders’ Equity (unaudited) for the Nine Months</w:t>
              </w:r>
            </w:hyperlink>
          </w:p>
        </w:tc>
        <w:tc>
          <w:tcPr>
            <w:tcW w:w="7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96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Ended September 30, 2009 and 2008</w:t>
              </w:r>
            </w:hyperlink>
          </w:p>
        </w:tc>
        <w:tc>
          <w:tcPr>
            <w:tcW w:w="98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0" w:type="dxa"/>
            <w:vAlign w:val="bottom"/>
            <w:tcBorders>
              <w:bottom w:val="single" w:sz="8" w:color="0000EE"/>
            </w:tcBorders>
            <w:gridSpan w:val="24"/>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Consolidated Statement of Cash Flows (unaudited) for the Nine Months Ended September 30, 2009</w:t>
              </w:r>
            </w:hyperlink>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and 2008</w:t>
              </w:r>
            </w:hyperlink>
          </w:p>
        </w:tc>
        <w:tc>
          <w:tcPr>
            <w:tcW w:w="7240" w:type="dxa"/>
            <w:vAlign w:val="bottom"/>
            <w:gridSpan w:val="2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16"/>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480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tcBorders>
              <w:bottom w:val="single" w:sz="8" w:color="0000EE"/>
            </w:tcBorders>
            <w:gridSpan w:val="23"/>
          </w:tcPr>
          <w:p>
            <w:pPr>
              <w:spacing w:after="0"/>
              <w:rPr>
                <w:rFonts w:ascii="Arial" w:cs="Arial" w:eastAsia="Arial" w:hAnsi="Arial"/>
                <w:sz w:val="18"/>
                <w:szCs w:val="18"/>
                <w:b w:val="1"/>
                <w:bCs w:val="1"/>
                <w:color w:val="0000EE"/>
                <w:w w:val="89"/>
              </w:rPr>
            </w:pPr>
            <w:hyperlink w:anchor="page25">
              <w:r>
                <w:rPr>
                  <w:rFonts w:ascii="Arial" w:cs="Arial" w:eastAsia="Arial" w:hAnsi="Arial"/>
                  <w:sz w:val="18"/>
                  <w:szCs w:val="18"/>
                  <w:b w:val="1"/>
                  <w:bCs w:val="1"/>
                  <w:color w:val="0000EE"/>
                  <w:w w:val="89"/>
                </w:rPr>
                <w:t>Item 2. Management’s Discussion and Analysis of Financial Condition and Results of Operations</w:t>
              </w:r>
            </w:hyperlink>
          </w:p>
        </w:tc>
        <w:tc>
          <w:tcPr>
            <w:tcW w:w="92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40" w:type="dxa"/>
            <w:vAlign w:val="bottom"/>
            <w:gridSpan w:val="26"/>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Item 3. Quantitative and Qualitative Disclosures About Market Risk</w:t>
              </w:r>
            </w:hyperlink>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89"/>
              </w:rPr>
            </w:pPr>
            <w:hyperlink w:anchor="page49">
              <w:r>
                <w:rPr>
                  <w:rFonts w:ascii="Arial" w:cs="Arial" w:eastAsia="Arial" w:hAnsi="Arial"/>
                  <w:sz w:val="18"/>
                  <w:szCs w:val="18"/>
                  <w:b w:val="1"/>
                  <w:bCs w:val="1"/>
                  <w:color w:val="0000EE"/>
                  <w:w w:val="89"/>
                </w:rPr>
                <w:t>Item 4. Controls and Procedures</w:t>
              </w:r>
            </w:hyperlink>
          </w:p>
        </w:tc>
        <w:tc>
          <w:tcPr>
            <w:tcW w:w="2740" w:type="dxa"/>
            <w:vAlign w:val="bottom"/>
            <w:tcBorders>
              <w:top w:val="single" w:sz="8" w:color="0000EE"/>
            </w:tcBorders>
            <w:gridSpan w:val="8"/>
          </w:tcPr>
          <w:p>
            <w:pPr>
              <w:spacing w:after="0"/>
              <w:rPr>
                <w:sz w:val="24"/>
                <w:szCs w:val="24"/>
                <w:color w:val="auto"/>
              </w:rPr>
            </w:pPr>
          </w:p>
        </w:tc>
        <w:tc>
          <w:tcPr>
            <w:tcW w:w="3100" w:type="dxa"/>
            <w:vAlign w:val="bottom"/>
            <w:gridSpan w:val="6"/>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2"/>
        </w:trPr>
        <w:tc>
          <w:tcPr>
            <w:tcW w:w="8540" w:type="dxa"/>
            <w:vAlign w:val="bottom"/>
            <w:gridSpan w:val="28"/>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 — Other Information</w:t>
              </w:r>
            </w:hyperlink>
          </w:p>
        </w:tc>
        <w:tc>
          <w:tcPr>
            <w:tcW w:w="700" w:type="dxa"/>
            <w:vAlign w:val="bottom"/>
          </w:tcPr>
          <w:p>
            <w:pPr>
              <w:spacing w:after="0"/>
              <w:rPr>
                <w:sz w:val="24"/>
                <w:szCs w:val="24"/>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9"/>
          </w:tcPr>
          <w:p>
            <w:pPr>
              <w:spacing w:after="0"/>
              <w:rPr>
                <w:rFonts w:ascii="Arial" w:cs="Arial" w:eastAsia="Arial" w:hAnsi="Arial"/>
                <w:sz w:val="18"/>
                <w:szCs w:val="18"/>
                <w:b w:val="1"/>
                <w:bCs w:val="1"/>
                <w:color w:val="0000EE"/>
                <w:w w:val="96"/>
              </w:rPr>
            </w:pPr>
            <w:hyperlink w:anchor="page50">
              <w:r>
                <w:rPr>
                  <w:rFonts w:ascii="Arial" w:cs="Arial" w:eastAsia="Arial" w:hAnsi="Arial"/>
                  <w:sz w:val="18"/>
                  <w:szCs w:val="18"/>
                  <w:b w:val="1"/>
                  <w:bCs w:val="1"/>
                  <w:color w:val="0000EE"/>
                  <w:w w:val="96"/>
                </w:rPr>
                <w:t>Item 1. Legal Proceedings</w:t>
              </w:r>
            </w:hyperlink>
          </w:p>
        </w:tc>
        <w:tc>
          <w:tcPr>
            <w:tcW w:w="6180" w:type="dxa"/>
            <w:vAlign w:val="bottom"/>
            <w:gridSpan w:val="17"/>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1A. Risk Factors</w:t>
              </w:r>
            </w:hyperlink>
          </w:p>
        </w:tc>
        <w:tc>
          <w:tcPr>
            <w:tcW w:w="6360" w:type="dxa"/>
            <w:vAlign w:val="bottom"/>
            <w:gridSpan w:val="19"/>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8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Arial" w:cs="Arial" w:eastAsia="Arial" w:hAnsi="Arial"/>
                <w:sz w:val="18"/>
                <w:szCs w:val="18"/>
                <w:b w:val="1"/>
                <w:bCs w:val="1"/>
                <w:color w:val="0000EE"/>
                <w:w w:val="88"/>
              </w:rPr>
            </w:pPr>
            <w:hyperlink w:anchor="page50">
              <w:r>
                <w:rPr>
                  <w:rFonts w:ascii="Arial" w:cs="Arial" w:eastAsia="Arial" w:hAnsi="Arial"/>
                  <w:sz w:val="18"/>
                  <w:szCs w:val="18"/>
                  <w:b w:val="1"/>
                  <w:bCs w:val="1"/>
                  <w:color w:val="0000EE"/>
                  <w:w w:val="88"/>
                </w:rPr>
                <w:t>Item 2. Unregistered Sales of Equity Securities and Use of Proceeds</w:t>
              </w:r>
            </w:hyperlink>
          </w:p>
        </w:tc>
        <w:tc>
          <w:tcPr>
            <w:tcW w:w="3180" w:type="dxa"/>
            <w:vAlign w:val="bottom"/>
            <w:gridSpan w:val="7"/>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40" w:type="dxa"/>
            <w:vAlign w:val="bottom"/>
            <w:gridSpan w:val="26"/>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3. Defaults Upon Senior Securities</w:t>
              </w:r>
            </w:hyperlink>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340" w:type="dxa"/>
            <w:vAlign w:val="bottom"/>
            <w:gridSpan w:val="26"/>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4. Submission of Matters to a Vote of Security Holders</w:t>
              </w:r>
            </w:hyperlink>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5. Other Information</w:t>
              </w:r>
            </w:hyperlink>
          </w:p>
        </w:tc>
        <w:tc>
          <w:tcPr>
            <w:tcW w:w="378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Item 6. Exhibits</w:t>
              </w:r>
            </w:hyperlink>
          </w:p>
        </w:tc>
        <w:tc>
          <w:tcPr>
            <w:tcW w:w="6320" w:type="dxa"/>
            <w:vAlign w:val="bottom"/>
            <w:gridSpan w:val="18"/>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120" w:type="dxa"/>
            <w:vAlign w:val="bottom"/>
            <w:gridSpan w:val="2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8500" w:type="dxa"/>
            <w:vAlign w:val="bottom"/>
            <w:gridSpan w:val="27"/>
          </w:tcPr>
          <w:p>
            <w:pPr>
              <w:spacing w:after="0"/>
              <w:rPr>
                <w:sz w:val="20"/>
                <w:szCs w:val="20"/>
                <w:color w:val="auto"/>
              </w:rPr>
            </w:pPr>
            <w:r>
              <w:rPr>
                <w:rFonts w:ascii="Arial" w:cs="Arial" w:eastAsia="Arial" w:hAnsi="Arial"/>
                <w:sz w:val="18"/>
                <w:szCs w:val="18"/>
                <w:color w:val="0000EE"/>
              </w:rPr>
              <w:t>Exhibit 31.1</w:t>
            </w:r>
          </w:p>
        </w:tc>
        <w:tc>
          <w:tcPr>
            <w:tcW w:w="7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0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gridSpan w:val="3"/>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Loans, including fees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80,874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93,233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244,445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299,550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securities, including tax exempt of $328,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$348, $956 and $1,140</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18,820</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18,606</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60,057</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56,905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Federal funds sold, commercial paper, deposits in</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banks and other</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1,447</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100,601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305,949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356,827</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NOW</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2,528</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6,778</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8,708</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22,581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Savings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28,183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39,044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96,300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116,756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600"/>
              <w:spacing w:after="0"/>
              <w:rPr>
                <w:sz w:val="20"/>
                <w:szCs w:val="20"/>
                <w:color w:val="auto"/>
              </w:rPr>
            </w:pPr>
            <w:r>
              <w:rPr>
                <w:rFonts w:ascii="Arial" w:cs="Arial" w:eastAsia="Arial" w:hAnsi="Arial"/>
                <w:sz w:val="18"/>
                <w:szCs w:val="18"/>
                <w:color w:val="auto"/>
              </w:rPr>
              <w:t>Total deposit interest expense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33,552</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48,271</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112,603</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Federal funds purchased, repurchase agreements and</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other short-term borrowings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1,116</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2,105</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3,577</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10,668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38,177</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53,719</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126,182</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62,424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58,220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179,767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185,123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95,000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220,000</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9"/>
              </w:rPr>
              <w:t>Net interest revenue after provision for loan losses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(32,576)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(17,780)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(40,233)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86,123</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Fee revenue:</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22,729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Mortgage loan and other related fees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1,832</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1,410</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7,308</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Consulting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Brokerage fees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1,642</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Securities gains,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11,390</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Total fee revenue</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15,671</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13,121</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52,957</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(16,905)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128,546</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Salaries and employee benefits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25,881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28,626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82,778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Communications and equipment</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3,732</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3,909</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11,106</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11,593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Occupancy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4,098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11,758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Advertising and public relations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887</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1,399</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3,187</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Postage, printing and supplies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2,255</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1,596</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7,354</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Foreclosed property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7,918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10,109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FDIC assessments and other regulatory charges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2,801</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12,293</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3,944</w:t>
            </w:r>
          </w:p>
        </w:tc>
        <w:tc>
          <w:tcPr>
            <w:tcW w:w="1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3,672</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9,029</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Goodwill impairment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2,898</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259,421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154,260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(95,511)</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(61,629)</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(246,697)</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(26,793)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(21,755)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(58,205)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(68,718)</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(39,874)</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(188,492)</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Preferred stock dividends, including discount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accretion</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2,562</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b w:val="1"/>
                <w:bCs w:val="1"/>
                <w:color w:val="auto"/>
              </w:rPr>
              <w:t>Net loss available to common shareholders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(71,280</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(39,878</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(196,167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loss per common share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Diluted loss per common share</w:t>
            </w: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84" w:orient="portrait"/>
          <w:cols w:equalWidth="0" w:num="1">
            <w:col w:w="10219"/>
          </w:cols>
          <w:pgMar w:left="240" w:top="405"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8"/>
              </w:rPr>
              <w:t>Stock dividends per common share (new shares issued</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 for 130</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 for 130</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3 for 130</w:t>
            </w:r>
          </w:p>
        </w:tc>
        <w:tc>
          <w:tcPr>
            <w:tcW w:w="1040" w:type="dxa"/>
            <w:vAlign w:val="bottom"/>
          </w:tcPr>
          <w:p>
            <w:pPr>
              <w:jc w:val="right"/>
              <w:spacing w:after="0"/>
              <w:rPr>
                <w:sz w:val="20"/>
                <w:szCs w:val="20"/>
                <w:color w:val="auto"/>
              </w:rPr>
            </w:pPr>
            <w:r>
              <w:rPr>
                <w:rFonts w:ascii="Arial" w:cs="Arial" w:eastAsia="Arial" w:hAnsi="Arial"/>
                <w:sz w:val="18"/>
                <w:szCs w:val="18"/>
                <w:color w:val="auto"/>
              </w:rPr>
              <w:t>1 for 130</w:t>
            </w:r>
          </w:p>
        </w:tc>
      </w:tr>
      <w:tr>
        <w:trPr>
          <w:trHeight w:val="230"/>
        </w:trPr>
        <w:tc>
          <w:tcPr>
            <w:tcW w:w="4360" w:type="dxa"/>
            <w:vAlign w:val="bottom"/>
          </w:tcPr>
          <w:p>
            <w:pPr>
              <w:ind w:left="200"/>
              <w:spacing w:after="0"/>
              <w:rPr>
                <w:sz w:val="20"/>
                <w:szCs w:val="20"/>
                <w:color w:val="auto"/>
              </w:rPr>
            </w:pPr>
            <w:r>
              <w:rPr>
                <w:rFonts w:ascii="Arial" w:cs="Arial" w:eastAsia="Arial" w:hAnsi="Arial"/>
                <w:sz w:val="18"/>
                <w:szCs w:val="18"/>
                <w:color w:val="auto"/>
              </w:rPr>
              <w:t>per shares held)</w:t>
            </w: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shares outstanding — Basic</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49,771</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47,417</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48,968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47,210</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outstanding —</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43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49,771</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47,417</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48,968</w:t>
            </w:r>
          </w:p>
        </w:tc>
        <w:tc>
          <w:tcPr>
            <w:tcW w:w="1040" w:type="dxa"/>
            <w:vAlign w:val="bottom"/>
          </w:tcPr>
          <w:p>
            <w:pPr>
              <w:jc w:val="right"/>
              <w:spacing w:after="0"/>
              <w:rPr>
                <w:sz w:val="20"/>
                <w:szCs w:val="20"/>
                <w:color w:val="auto"/>
              </w:rPr>
            </w:pPr>
            <w:r>
              <w:rPr>
                <w:rFonts w:ascii="Arial" w:cs="Arial" w:eastAsia="Arial" w:hAnsi="Arial"/>
                <w:sz w:val="18"/>
                <w:szCs w:val="18"/>
                <w:color w:val="auto"/>
              </w:rPr>
              <w:t>47,210</w:t>
            </w:r>
          </w:p>
        </w:tc>
      </w:tr>
    </w:tbl>
    <w:p>
      <w:pPr>
        <w:spacing w:after="0" w:line="16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340" w:type="dxa"/>
            <w:vAlign w:val="bottom"/>
          </w:tcPr>
          <w:p>
            <w:pPr>
              <w:spacing w:after="0"/>
              <w:rPr>
                <w:sz w:val="20"/>
                <w:szCs w:val="20"/>
                <w:color w:val="auto"/>
              </w:rPr>
            </w:pP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i w:val="1"/>
                <w:iCs w:val="1"/>
                <w:color w:val="auto"/>
                <w:w w:val="92"/>
              </w:rPr>
              <w:t>(unaudited)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i w:val="1"/>
                <w:iCs w:val="1"/>
                <w:color w:val="auto"/>
                <w:w w:val="98"/>
              </w:rPr>
              <w:t>(audited)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195,559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116,395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126,033</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Interest-bearing deposits in banks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78,589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8,417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40,707</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w w:val="93"/>
              </w:rPr>
              <w:t>Federal funds sold, commercial paper and short-term investments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397,361</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368,609</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671,509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493,421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166,740</w:t>
            </w:r>
          </w:p>
        </w:tc>
      </w:tr>
      <w:tr>
        <w:trPr>
          <w:trHeight w:val="432"/>
        </w:trPr>
        <w:tc>
          <w:tcPr>
            <w:tcW w:w="340" w:type="dxa"/>
            <w:vAlign w:val="bottom"/>
          </w:tcPr>
          <w:p>
            <w:pPr>
              <w:spacing w:after="0"/>
              <w:rPr>
                <w:sz w:val="24"/>
                <w:szCs w:val="24"/>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Securities available for sale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1,532,514</w:t>
            </w:r>
          </w:p>
        </w:tc>
        <w:tc>
          <w:tcPr>
            <w:tcW w:w="14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1,617,187</w:t>
            </w:r>
          </w:p>
        </w:tc>
        <w:tc>
          <w:tcPr>
            <w:tcW w:w="1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1,400,827</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 loans held for sale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20,460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20,334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17,763</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Loans, net of unearned income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5,362,689</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5,704,861</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5,829,937</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Less allowance for loan losses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150,187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122,271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111,299</w:t>
            </w:r>
          </w:p>
        </w:tc>
      </w:tr>
      <w:tr>
        <w:trPr>
          <w:trHeight w:val="224"/>
        </w:trPr>
        <w:tc>
          <w:tcPr>
            <w:tcW w:w="340" w:type="dxa"/>
            <w:vAlign w:val="bottom"/>
          </w:tcPr>
          <w:p>
            <w:pPr>
              <w:spacing w:after="0"/>
              <w:rPr>
                <w:sz w:val="19"/>
                <w:szCs w:val="19"/>
                <w:color w:val="auto"/>
              </w:rPr>
            </w:pPr>
          </w:p>
        </w:tc>
        <w:tc>
          <w:tcPr>
            <w:tcW w:w="5120" w:type="dxa"/>
            <w:vAlign w:val="bottom"/>
            <w:gridSpan w:val="2"/>
          </w:tcPr>
          <w:p>
            <w:pPr>
              <w:ind w:left="800"/>
              <w:spacing w:after="0"/>
              <w:rPr>
                <w:sz w:val="20"/>
                <w:szCs w:val="20"/>
                <w:color w:val="auto"/>
              </w:rPr>
            </w:pPr>
            <w:r>
              <w:rPr>
                <w:rFonts w:ascii="Arial" w:cs="Arial" w:eastAsia="Arial" w:hAnsi="Arial"/>
                <w:sz w:val="18"/>
                <w:szCs w:val="18"/>
                <w:color w:val="auto"/>
              </w:rPr>
              <w:t>Loans, net</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5,212,502</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5,582,590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5,718,638</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Covered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197,914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Premises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179,467</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179,160</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179,727</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35,679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46,088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47,920</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Goodwill and other intangible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226,008</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321,798</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322,544</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367,564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331,355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259,802</w:t>
            </w:r>
          </w:p>
        </w:tc>
      </w:tr>
      <w:tr>
        <w:trPr>
          <w:trHeight w:val="223"/>
        </w:trPr>
        <w:tc>
          <w:tcPr>
            <w:tcW w:w="340" w:type="dxa"/>
            <w:vAlign w:val="bottom"/>
          </w:tcPr>
          <w:p>
            <w:pPr>
              <w:spacing w:after="0"/>
              <w:rPr>
                <w:sz w:val="19"/>
                <w:szCs w:val="19"/>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8,443,617</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8,591,933</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8,113,961</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Demand</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703,054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654,036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680,196</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1,318,264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1,543,385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1,393,928</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687,780</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466,750</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394,358</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180,738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170,275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179,274</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Time: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Less than $100,000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1,854,726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1,953,235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1,814,926</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600"/>
              <w:spacing w:after="0"/>
              <w:rPr>
                <w:sz w:val="20"/>
                <w:szCs w:val="20"/>
                <w:color w:val="auto"/>
              </w:rPr>
            </w:pPr>
            <w:r>
              <w:rPr>
                <w:rFonts w:ascii="Arial" w:cs="Arial" w:eastAsia="Arial" w:hAnsi="Arial"/>
                <w:sz w:val="18"/>
                <w:szCs w:val="18"/>
                <w:color w:val="auto"/>
              </w:rPr>
              <w:t>Greater than $100,000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1,237,172</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1,422,974</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1,481,512</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Brokered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839,572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792,969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745,141</w:t>
            </w:r>
          </w:p>
        </w:tc>
      </w:tr>
      <w:tr>
        <w:trPr>
          <w:trHeight w:val="224"/>
        </w:trPr>
        <w:tc>
          <w:tcPr>
            <w:tcW w:w="340" w:type="dxa"/>
            <w:vAlign w:val="bottom"/>
          </w:tcPr>
          <w:p>
            <w:pPr>
              <w:spacing w:after="0"/>
              <w:rPr>
                <w:sz w:val="19"/>
                <w:szCs w:val="19"/>
                <w:color w:val="auto"/>
              </w:rPr>
            </w:pPr>
          </w:p>
        </w:tc>
        <w:tc>
          <w:tcPr>
            <w:tcW w:w="5120" w:type="dxa"/>
            <w:vAlign w:val="bottom"/>
            <w:gridSpan w:val="2"/>
          </w:tcPr>
          <w:p>
            <w:pPr>
              <w:ind w:left="1000"/>
              <w:spacing w:after="0"/>
              <w:rPr>
                <w:sz w:val="20"/>
                <w:szCs w:val="20"/>
                <w:color w:val="auto"/>
              </w:rPr>
            </w:pPr>
            <w:r>
              <w:rPr>
                <w:rFonts w:ascii="Arial" w:cs="Arial" w:eastAsia="Arial" w:hAnsi="Arial"/>
                <w:sz w:val="18"/>
                <w:szCs w:val="18"/>
                <w:color w:val="auto"/>
              </w:rPr>
              <w:t>Total deposits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6,821,306</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7,003,624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6,689,335</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1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Federal funds purchased, repurchase agreements, and other short-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term borrowings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101,951</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108,411</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119,699</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Federal Home Loan Bank advances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314,704</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235,321</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285,362</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150,046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150,986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137,996</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48,972</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104,209</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64,689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7,436,979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7,602,551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7,297,081</w:t>
            </w:r>
          </w:p>
        </w:tc>
      </w:tr>
      <w:tr>
        <w:trPr>
          <w:trHeight w:val="439"/>
        </w:trPr>
        <w:tc>
          <w:tcPr>
            <w:tcW w:w="3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 $1 par value; 10,000,000 shares authorized;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120" w:type="dxa"/>
            <w:vAlign w:val="bottom"/>
            <w:gridSpan w:val="2"/>
          </w:tcPr>
          <w:p>
            <w:pPr>
              <w:ind w:left="400"/>
              <w:spacing w:after="0" w:line="201" w:lineRule="exact"/>
              <w:rPr>
                <w:sz w:val="20"/>
                <w:szCs w:val="20"/>
                <w:color w:val="auto"/>
              </w:rPr>
            </w:pPr>
            <w:r>
              <w:rPr>
                <w:rFonts w:ascii="Arial" w:cs="Arial" w:eastAsia="Arial" w:hAnsi="Arial"/>
                <w:sz w:val="18"/>
                <w:szCs w:val="18"/>
                <w:color w:val="auto"/>
                <w:w w:val="95"/>
              </w:rPr>
              <w:t>Series A; $10 stated value; 21,700, 25,800 and 25,800 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120" w:type="dxa"/>
            <w:vAlign w:val="bottom"/>
            <w:gridSpan w:val="2"/>
          </w:tcPr>
          <w:p>
            <w:pPr>
              <w:ind w:left="600"/>
              <w:spacing w:after="0"/>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r>
      <w:tr>
        <w:trPr>
          <w:trHeight w:val="202"/>
        </w:trPr>
        <w:tc>
          <w:tcPr>
            <w:tcW w:w="340" w:type="dxa"/>
            <w:vAlign w:val="bottom"/>
          </w:tcPr>
          <w:p>
            <w:pPr>
              <w:spacing w:after="0"/>
              <w:rPr>
                <w:sz w:val="17"/>
                <w:szCs w:val="17"/>
                <w:color w:val="auto"/>
              </w:rPr>
            </w:pPr>
          </w:p>
        </w:tc>
        <w:tc>
          <w:tcPr>
            <w:tcW w:w="51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Series B; $1,000 stated value; 180,000 shares issued and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174,095</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173,180</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51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Common stock, $1 par value; 100,000,000 shares authorized;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color w:val="auto"/>
              </w:rPr>
              <w:t>93,901,492, 48,809,301 and 48,809,301 shares issued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93,901</w:t>
            </w:r>
          </w:p>
        </w:tc>
        <w:tc>
          <w:tcPr>
            <w:tcW w:w="1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48,809</w:t>
            </w: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48,809</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Common stock issuable; 196,818, 129,304 and 116,567 shares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2,762</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Capital surplus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620,494</w:t>
            </w: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460,708</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457,779</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62,786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265,405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317,544</w:t>
            </w:r>
          </w:p>
        </w:tc>
      </w:tr>
      <w:tr>
        <w:trPr>
          <w:trHeight w:val="216"/>
        </w:trPr>
        <w:tc>
          <w:tcPr>
            <w:tcW w:w="340" w:type="dxa"/>
            <w:vAlign w:val="bottom"/>
          </w:tcPr>
          <w:p>
            <w:pPr>
              <w:spacing w:after="0"/>
              <w:rPr>
                <w:sz w:val="18"/>
                <w:szCs w:val="18"/>
                <w:color w:val="auto"/>
              </w:rPr>
            </w:pPr>
          </w:p>
        </w:tc>
        <w:tc>
          <w:tcPr>
            <w:tcW w:w="5120" w:type="dxa"/>
            <w:vAlign w:val="bottom"/>
            <w:gridSpan w:val="2"/>
          </w:tcPr>
          <w:p>
            <w:pPr>
              <w:ind w:left="200"/>
              <w:spacing w:after="0"/>
              <w:rPr>
                <w:sz w:val="20"/>
                <w:szCs w:val="20"/>
                <w:color w:val="auto"/>
              </w:rPr>
            </w:pPr>
            <w:r>
              <w:rPr>
                <w:rFonts w:ascii="Arial" w:cs="Arial" w:eastAsia="Arial" w:hAnsi="Arial"/>
                <w:sz w:val="18"/>
                <w:szCs w:val="18"/>
                <w:color w:val="auto"/>
              </w:rPr>
              <w:t>Treasury stock; 799,892 and 1,213,182 shares, at cost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(16,465)</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(27,024)</w:t>
            </w: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51,674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54,579</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16,752</w:t>
            </w:r>
          </w:p>
        </w:tc>
      </w:tr>
      <w:tr>
        <w:trPr>
          <w:trHeight w:val="223"/>
        </w:trPr>
        <w:tc>
          <w:tcPr>
            <w:tcW w:w="340" w:type="dxa"/>
            <w:vAlign w:val="bottom"/>
          </w:tcPr>
          <w:p>
            <w:pPr>
              <w:spacing w:after="0"/>
              <w:rPr>
                <w:sz w:val="19"/>
                <w:szCs w:val="19"/>
                <w:color w:val="auto"/>
              </w:rPr>
            </w:pPr>
          </w:p>
        </w:tc>
        <w:tc>
          <w:tcPr>
            <w:tcW w:w="512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1,006,638</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989,382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816,880</w:t>
            </w:r>
          </w:p>
        </w:tc>
        <w:tc>
          <w:tcPr>
            <w:tcW w:w="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1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8,443,617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8,591,933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8,113,961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60" w:type="dxa"/>
            <w:vAlign w:val="bottom"/>
            <w:gridSpan w:val="5"/>
          </w:tcPr>
          <w:p>
            <w:pPr>
              <w:jc w:val="right"/>
              <w:ind w:right="420"/>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470" w:gutter="0" w:footer="0" w:header="0"/>
        </w:sect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47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 the Nine Months Ended September 30, 2009</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5"/>
        </w:trPr>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rPr>
              <w:t>Series A</w:t>
            </w:r>
          </w:p>
        </w:tc>
        <w:tc>
          <w:tcPr>
            <w:tcW w:w="6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Series B</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Common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Preferred</w:t>
            </w: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Preferred</w:t>
            </w:r>
          </w:p>
        </w:tc>
        <w:tc>
          <w:tcPr>
            <w:tcW w:w="6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1"/>
                <w:szCs w:val="11"/>
                <w:color w:val="auto"/>
              </w:rPr>
            </w:pPr>
          </w:p>
        </w:tc>
        <w:tc>
          <w:tcPr>
            <w:tcW w:w="5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4"/>
              </w:rPr>
              <w:t>Stock</w:t>
            </w:r>
          </w:p>
        </w:tc>
        <w:tc>
          <w:tcPr>
            <w:tcW w:w="6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96"/>
              </w:rPr>
              <w:t>Capital</w:t>
            </w:r>
          </w:p>
        </w:tc>
        <w:tc>
          <w:tcPr>
            <w:tcW w:w="70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w w:val="90"/>
              </w:rPr>
              <w:t>Retained</w:t>
            </w:r>
          </w:p>
        </w:tc>
        <w:tc>
          <w:tcPr>
            <w:tcW w:w="6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Treasury</w:t>
            </w:r>
          </w:p>
        </w:tc>
        <w:tc>
          <w:tcPr>
            <w:tcW w:w="10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2940" w:type="dxa"/>
            <w:vAlign w:val="bottom"/>
          </w:tcPr>
          <w:p>
            <w:pPr>
              <w:spacing w:after="0"/>
              <w:rPr>
                <w:sz w:val="20"/>
                <w:szCs w:val="20"/>
                <w:color w:val="auto"/>
              </w:rPr>
            </w:pPr>
            <w:r>
              <w:rPr>
                <w:rFonts w:ascii="Arial" w:cs="Arial" w:eastAsia="Arial" w:hAnsi="Arial"/>
                <w:sz w:val="13"/>
                <w:szCs w:val="13"/>
                <w:i w:val="1"/>
                <w:iCs w:val="1"/>
                <w:color w:val="auto"/>
              </w:rPr>
              <w:t>(in thousands, except share and per share data)</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3"/>
                <w:szCs w:val="13"/>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8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4"/>
              </w:rPr>
              <w:t>Stock</w:t>
            </w: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Issuable</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Surplus</w:t>
            </w:r>
          </w:p>
        </w:tc>
        <w:tc>
          <w:tcPr>
            <w:tcW w:w="7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9"/>
              </w:rPr>
              <w:t>Earnings</w:t>
            </w:r>
          </w:p>
        </w:tc>
        <w:tc>
          <w:tcPr>
            <w:tcW w:w="80" w:type="dxa"/>
            <w:vAlign w:val="bottom"/>
          </w:tcPr>
          <w:p>
            <w:pPr>
              <w:spacing w:after="0"/>
              <w:rPr>
                <w:sz w:val="13"/>
                <w:szCs w:val="13"/>
                <w:color w:val="auto"/>
              </w:rPr>
            </w:pPr>
          </w:p>
        </w:tc>
        <w:tc>
          <w:tcPr>
            <w:tcW w:w="56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w w:val="84"/>
              </w:rPr>
              <w:t>Stock</w:t>
            </w: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3"/>
              </w:rPr>
              <w:t>Income (Loss)</w:t>
            </w: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r>
      <w:tr>
        <w:trPr>
          <w:trHeight w:val="129"/>
        </w:trPr>
        <w:tc>
          <w:tcPr>
            <w:tcW w:w="2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December 31, 2007</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48,809</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2,100</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2"/>
              </w:rPr>
              <w:t>$ 462,881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3"/>
              </w:rPr>
              <w:t>347,391</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90"/>
              </w:rPr>
              <w:t>(43,798)</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14,261</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831,902</w:t>
            </w: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Comprehensive loss: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9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9"/>
              </w:rPr>
              <w:t>(16,703)</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(16,703)</w:t>
            </w:r>
          </w:p>
        </w:tc>
      </w:tr>
      <w:tr>
        <w:trPr>
          <w:trHeight w:val="135"/>
        </w:trPr>
        <w:tc>
          <w:tcPr>
            <w:tcW w:w="2940" w:type="dxa"/>
            <w:vAlign w:val="bottom"/>
          </w:tcPr>
          <w:p>
            <w:pPr>
              <w:ind w:left="200"/>
              <w:spacing w:after="0" w:line="135" w:lineRule="exact"/>
              <w:rPr>
                <w:sz w:val="20"/>
                <w:szCs w:val="20"/>
                <w:color w:val="auto"/>
              </w:rPr>
            </w:pPr>
            <w:r>
              <w:rPr>
                <w:rFonts w:ascii="Arial" w:cs="Arial" w:eastAsia="Arial" w:hAnsi="Arial"/>
                <w:sz w:val="13"/>
                <w:szCs w:val="13"/>
                <w:color w:val="auto"/>
              </w:rPr>
              <w:t>Other comprehensive income (loss):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1"/>
        </w:trPr>
        <w:tc>
          <w:tcPr>
            <w:tcW w:w="29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w w:val="94"/>
              </w:rPr>
              <w:t>Unrealized holding losses on available for sale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5"/>
        </w:trPr>
        <w:tc>
          <w:tcPr>
            <w:tcW w:w="294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w w:val="98"/>
              </w:rPr>
              <w:t>securities, net of deferred tax benefit 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9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reclassification adjustment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(3,009)</w:t>
            </w:r>
          </w:p>
        </w:tc>
      </w:tr>
      <w:tr>
        <w:trPr>
          <w:trHeight w:val="121"/>
        </w:trPr>
        <w:tc>
          <w:tcPr>
            <w:tcW w:w="2940" w:type="dxa"/>
            <w:vAlign w:val="bottom"/>
          </w:tcPr>
          <w:p>
            <w:pPr>
              <w:ind w:left="400"/>
              <w:spacing w:after="0" w:line="121" w:lineRule="exact"/>
              <w:rPr>
                <w:sz w:val="20"/>
                <w:szCs w:val="20"/>
                <w:color w:val="auto"/>
              </w:rPr>
            </w:pPr>
            <w:r>
              <w:rPr>
                <w:rFonts w:ascii="Arial" w:cs="Arial" w:eastAsia="Arial" w:hAnsi="Arial"/>
                <w:sz w:val="13"/>
                <w:szCs w:val="13"/>
                <w:color w:val="auto"/>
              </w:rPr>
              <w:t>Unrealized gains on derivative financial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940" w:type="dxa"/>
            <w:vAlign w:val="bottom"/>
          </w:tcPr>
          <w:p>
            <w:pPr>
              <w:ind w:left="600"/>
              <w:spacing w:after="0" w:line="135" w:lineRule="exact"/>
              <w:rPr>
                <w:sz w:val="20"/>
                <w:szCs w:val="20"/>
                <w:color w:val="auto"/>
              </w:rPr>
            </w:pPr>
            <w:r>
              <w:rPr>
                <w:rFonts w:ascii="Arial" w:cs="Arial" w:eastAsia="Arial" w:hAnsi="Arial"/>
                <w:sz w:val="13"/>
                <w:szCs w:val="13"/>
                <w:color w:val="auto"/>
                <w:w w:val="92"/>
              </w:rPr>
              <w:t>instruments qualifying as cash flow hedges,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940" w:type="dxa"/>
            <w:vAlign w:val="bottom"/>
          </w:tcPr>
          <w:p>
            <w:pPr>
              <w:ind w:left="600"/>
              <w:spacing w:after="0"/>
              <w:rPr>
                <w:sz w:val="20"/>
                <w:szCs w:val="20"/>
                <w:color w:val="auto"/>
              </w:rPr>
            </w:pPr>
            <w:r>
              <w:rPr>
                <w:rFonts w:ascii="Arial" w:cs="Arial" w:eastAsia="Arial" w:hAnsi="Arial"/>
                <w:sz w:val="13"/>
                <w:szCs w:val="13"/>
                <w:color w:val="auto"/>
              </w:rPr>
              <w:t>net of deferred tax expense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5,500</w:t>
            </w: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5,500</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5"/>
        </w:trPr>
        <w:tc>
          <w:tcPr>
            <w:tcW w:w="294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rPr>
              <w:t>Comprehensive loss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9"/>
              </w:rPr>
              <w:t>(16,703)</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2,491</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(14,212)</w:t>
            </w:r>
          </w:p>
        </w:tc>
      </w:tr>
      <w:tr>
        <w:trPr>
          <w:trHeight w:val="121"/>
        </w:trPr>
        <w:tc>
          <w:tcPr>
            <w:tcW w:w="2940" w:type="dxa"/>
            <w:vAlign w:val="bottom"/>
          </w:tcPr>
          <w:p>
            <w:pPr>
              <w:spacing w:after="0" w:line="121" w:lineRule="exact"/>
              <w:rPr>
                <w:sz w:val="20"/>
                <w:szCs w:val="20"/>
                <w:color w:val="auto"/>
              </w:rPr>
            </w:pPr>
            <w:r>
              <w:rPr>
                <w:rFonts w:ascii="Arial" w:cs="Arial" w:eastAsia="Arial" w:hAnsi="Arial"/>
                <w:sz w:val="13"/>
                <w:szCs w:val="13"/>
                <w:color w:val="auto"/>
                <w:w w:val="96"/>
              </w:rPr>
              <w:t>Cash dividends declared on common stock ($.18 per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940" w:type="dxa"/>
            <w:vAlign w:val="bottom"/>
          </w:tcPr>
          <w:p>
            <w:pPr>
              <w:ind w:left="200"/>
              <w:spacing w:after="0"/>
              <w:rPr>
                <w:sz w:val="20"/>
                <w:szCs w:val="20"/>
                <w:color w:val="auto"/>
              </w:rPr>
            </w:pPr>
            <w:r>
              <w:rPr>
                <w:rFonts w:ascii="Arial" w:cs="Arial" w:eastAsia="Arial" w:hAnsi="Arial"/>
                <w:sz w:val="13"/>
                <w:szCs w:val="13"/>
                <w:color w:val="auto"/>
              </w:rPr>
              <w:t>share)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(8,465)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(8,465)</w:t>
            </w: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5"/>
              </w:rPr>
              <w:t>Stock dividends declared on common stock (360,155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9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(4,279)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(4,667)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8,906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Exercise of stock options (79,935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1,947</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1,020</w:t>
            </w: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Common stock issued to dividend reinvestment plan and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9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employee benefit plans (233,276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(2,689)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5,460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2,771</w:t>
            </w: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w w:val="90"/>
              </w:rPr>
              <w:t>Amortization of stock option and restricted stock awards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2,928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2,928</w:t>
            </w: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Vesting of restricted stock (15,159 shares issued, 8,700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9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shares deferred)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362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21"/>
        </w:trPr>
        <w:tc>
          <w:tcPr>
            <w:tcW w:w="2940" w:type="dxa"/>
            <w:vAlign w:val="bottom"/>
          </w:tcPr>
          <w:p>
            <w:pPr>
              <w:spacing w:after="0" w:line="121" w:lineRule="exact"/>
              <w:rPr>
                <w:sz w:val="20"/>
                <w:szCs w:val="20"/>
                <w:color w:val="auto"/>
              </w:rPr>
            </w:pPr>
            <w:r>
              <w:rPr>
                <w:rFonts w:ascii="Arial" w:cs="Arial" w:eastAsia="Arial" w:hAnsi="Arial"/>
                <w:sz w:val="13"/>
                <w:szCs w:val="13"/>
                <w:color w:val="auto"/>
                <w:w w:val="97"/>
              </w:rPr>
              <w:t>Deferred compensation plan, net, including dividend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940" w:type="dxa"/>
            <w:vAlign w:val="bottom"/>
          </w:tcPr>
          <w:p>
            <w:pPr>
              <w:ind w:left="200"/>
              <w:spacing w:after="0"/>
              <w:rPr>
                <w:sz w:val="20"/>
                <w:szCs w:val="20"/>
                <w:color w:val="auto"/>
              </w:rPr>
            </w:pPr>
            <w:r>
              <w:rPr>
                <w:rFonts w:ascii="Arial" w:cs="Arial" w:eastAsia="Arial" w:hAnsi="Arial"/>
                <w:sz w:val="13"/>
                <w:szCs w:val="13"/>
                <w:color w:val="auto"/>
              </w:rPr>
              <w:t>equivalents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512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512</w:t>
            </w: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Shares issued from deferred compensation plan (4,214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9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Tax benefit from options exercised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476</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476</w:t>
            </w: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Dividends on Series A preferred stock ($.45 per share)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(12)</w:t>
            </w:r>
          </w:p>
        </w:tc>
      </w:tr>
      <w:tr>
        <w:trPr>
          <w:trHeight w:val="142"/>
        </w:trPr>
        <w:tc>
          <w:tcPr>
            <w:tcW w:w="2940" w:type="dxa"/>
            <w:vAlign w:val="bottom"/>
          </w:tcPr>
          <w:p>
            <w:pPr>
              <w:spacing w:after="0" w:line="143" w:lineRule="exact"/>
              <w:rPr>
                <w:sz w:val="20"/>
                <w:szCs w:val="20"/>
                <w:color w:val="auto"/>
              </w:rPr>
            </w:pPr>
            <w:r>
              <w:rPr>
                <w:rFonts w:ascii="Arial" w:cs="Arial" w:eastAsia="Arial" w:hAnsi="Arial"/>
                <w:sz w:val="13"/>
                <w:szCs w:val="13"/>
                <w:b w:val="1"/>
                <w:bCs w:val="1"/>
                <w:color w:val="auto"/>
              </w:rPr>
              <w:t>Balance, September 30, 2008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48,809</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2,762</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$ 457,779</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317,544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(27,024</w:t>
            </w:r>
          </w:p>
        </w:tc>
        <w:tc>
          <w:tcPr>
            <w:tcW w:w="160" w:type="dxa"/>
            <w:vAlign w:val="bottom"/>
          </w:tcPr>
          <w:p>
            <w:pPr>
              <w:jc w:val="right"/>
              <w:ind w:right="37"/>
              <w:spacing w:after="0" w:line="143"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16,752</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816,880</w:t>
            </w:r>
          </w:p>
        </w:tc>
        <w:tc>
          <w:tcPr>
            <w:tcW w:w="80" w:type="dxa"/>
            <w:vAlign w:val="bottom"/>
          </w:tcPr>
          <w:p>
            <w:pPr>
              <w:spacing w:after="0"/>
              <w:rPr>
                <w:sz w:val="12"/>
                <w:szCs w:val="12"/>
                <w:color w:val="auto"/>
              </w:rPr>
            </w:pP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December 31, 2008</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9"/>
              </w:rPr>
              <w:t>173,180</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5"/>
              </w:rPr>
              <w:t>48,809</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2,908</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82"/>
              </w:rPr>
              <w:t>$ 460,708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3"/>
              </w:rPr>
              <w:t>265,405</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90"/>
              </w:rPr>
              <w:t>(16,465)</w:t>
            </w: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54,579</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989,382</w:t>
            </w: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Comprehensive loss: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5"/>
        </w:trPr>
        <w:tc>
          <w:tcPr>
            <w:tcW w:w="29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6"/>
              </w:rPr>
              <w:t>(188,492)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6"/>
              </w:rPr>
              <w:t>(188,492)</w:t>
            </w:r>
          </w:p>
        </w:tc>
      </w:tr>
      <w:tr>
        <w:trPr>
          <w:trHeight w:val="135"/>
        </w:trPr>
        <w:tc>
          <w:tcPr>
            <w:tcW w:w="2940" w:type="dxa"/>
            <w:vAlign w:val="bottom"/>
          </w:tcPr>
          <w:p>
            <w:pPr>
              <w:ind w:left="200"/>
              <w:spacing w:after="0" w:line="135" w:lineRule="exact"/>
              <w:rPr>
                <w:sz w:val="20"/>
                <w:szCs w:val="20"/>
                <w:color w:val="auto"/>
              </w:rPr>
            </w:pPr>
            <w:r>
              <w:rPr>
                <w:rFonts w:ascii="Arial" w:cs="Arial" w:eastAsia="Arial" w:hAnsi="Arial"/>
                <w:sz w:val="13"/>
                <w:szCs w:val="13"/>
                <w:color w:val="auto"/>
              </w:rPr>
              <w:t>Other comprehensive income (loss):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1"/>
        </w:trPr>
        <w:tc>
          <w:tcPr>
            <w:tcW w:w="2940" w:type="dxa"/>
            <w:vAlign w:val="bottom"/>
            <w:shd w:val="clear" w:color="auto" w:fill="CCEEFF"/>
          </w:tcPr>
          <w:p>
            <w:pPr>
              <w:ind w:left="400"/>
              <w:spacing w:after="0" w:line="121" w:lineRule="exact"/>
              <w:rPr>
                <w:sz w:val="20"/>
                <w:szCs w:val="20"/>
                <w:color w:val="auto"/>
              </w:rPr>
            </w:pPr>
            <w:r>
              <w:rPr>
                <w:rFonts w:ascii="Arial" w:cs="Arial" w:eastAsia="Arial" w:hAnsi="Arial"/>
                <w:sz w:val="13"/>
                <w:szCs w:val="13"/>
                <w:color w:val="auto"/>
                <w:w w:val="96"/>
              </w:rPr>
              <w:t>Unrealized holding gains on available for sale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5"/>
        </w:trPr>
        <w:tc>
          <w:tcPr>
            <w:tcW w:w="294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w w:val="94"/>
              </w:rPr>
              <w:t>securities, net of deferred tax expense 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9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reclassification adjustment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14,223</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14,223</w:t>
            </w:r>
          </w:p>
        </w:tc>
      </w:tr>
      <w:tr>
        <w:trPr>
          <w:trHeight w:val="121"/>
        </w:trPr>
        <w:tc>
          <w:tcPr>
            <w:tcW w:w="2940" w:type="dxa"/>
            <w:vAlign w:val="bottom"/>
          </w:tcPr>
          <w:p>
            <w:pPr>
              <w:ind w:left="400"/>
              <w:spacing w:after="0" w:line="121" w:lineRule="exact"/>
              <w:rPr>
                <w:sz w:val="20"/>
                <w:szCs w:val="20"/>
                <w:color w:val="auto"/>
              </w:rPr>
            </w:pPr>
            <w:r>
              <w:rPr>
                <w:rFonts w:ascii="Arial" w:cs="Arial" w:eastAsia="Arial" w:hAnsi="Arial"/>
                <w:sz w:val="13"/>
                <w:szCs w:val="13"/>
                <w:color w:val="auto"/>
              </w:rPr>
              <w:t>Unrealized losses on derivative financial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940" w:type="dxa"/>
            <w:vAlign w:val="bottom"/>
          </w:tcPr>
          <w:p>
            <w:pPr>
              <w:ind w:left="600"/>
              <w:spacing w:after="0" w:line="135" w:lineRule="exact"/>
              <w:rPr>
                <w:sz w:val="20"/>
                <w:szCs w:val="20"/>
                <w:color w:val="auto"/>
              </w:rPr>
            </w:pPr>
            <w:r>
              <w:rPr>
                <w:rFonts w:ascii="Arial" w:cs="Arial" w:eastAsia="Arial" w:hAnsi="Arial"/>
                <w:sz w:val="13"/>
                <w:szCs w:val="13"/>
                <w:color w:val="auto"/>
                <w:w w:val="92"/>
              </w:rPr>
              <w:t>instruments qualifying as cash flow hedges,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940" w:type="dxa"/>
            <w:vAlign w:val="bottom"/>
          </w:tcPr>
          <w:p>
            <w:pPr>
              <w:ind w:left="600"/>
              <w:spacing w:after="0"/>
              <w:rPr>
                <w:sz w:val="20"/>
                <w:szCs w:val="20"/>
                <w:color w:val="auto"/>
              </w:rPr>
            </w:pPr>
            <w:r>
              <w:rPr>
                <w:rFonts w:ascii="Arial" w:cs="Arial" w:eastAsia="Arial" w:hAnsi="Arial"/>
                <w:sz w:val="13"/>
                <w:szCs w:val="13"/>
                <w:color w:val="auto"/>
              </w:rPr>
              <w:t>net of deferred tax benefit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(17,128)</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(17,128)</w:t>
            </w:r>
          </w:p>
        </w:tc>
      </w:tr>
      <w:tr>
        <w:trPr>
          <w:trHeight w:val="27"/>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5"/>
        </w:trPr>
        <w:tc>
          <w:tcPr>
            <w:tcW w:w="2940" w:type="dxa"/>
            <w:vAlign w:val="bottom"/>
            <w:shd w:val="clear" w:color="auto" w:fill="CCEEFF"/>
          </w:tcPr>
          <w:p>
            <w:pPr>
              <w:ind w:left="600"/>
              <w:spacing w:after="0" w:line="135" w:lineRule="exact"/>
              <w:rPr>
                <w:sz w:val="20"/>
                <w:szCs w:val="20"/>
                <w:color w:val="auto"/>
              </w:rPr>
            </w:pPr>
            <w:r>
              <w:rPr>
                <w:rFonts w:ascii="Arial" w:cs="Arial" w:eastAsia="Arial" w:hAnsi="Arial"/>
                <w:sz w:val="13"/>
                <w:szCs w:val="13"/>
                <w:color w:val="auto"/>
              </w:rPr>
              <w:t>Comprehensive loss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6"/>
              </w:rPr>
              <w:t>(188,492)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(2,905)</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w w:val="96"/>
              </w:rPr>
              <w:t>(191,397)</w:t>
            </w: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w w:val="94"/>
              </w:rPr>
              <w:t>Retirement of Series A preferred stock (4,100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(41)</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(41)</w:t>
            </w: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Stock dividends declared on common stock (1,111,522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9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(6,731)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(6,451)</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w w:val="95"/>
              </w:rPr>
              <w:t>12,649</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w:t>
            </w: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Exercise of stock options (437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w:t>
            </w: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Common stock issued to dividend reinvestment plan and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9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employee benefit plans (256,990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(1,978)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3,434</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1,559</w:t>
            </w: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rPr>
              <w:t>Common stock issued (44,505,000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5"/>
              </w:rPr>
              <w:t>44,505</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166,394</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210,899</w:t>
            </w: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9"/>
              </w:rPr>
              <w:t>Amortization of stock options and restricted stock awards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2,774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2,774</w:t>
            </w:r>
          </w:p>
        </w:tc>
      </w:tr>
      <w:tr>
        <w:trPr>
          <w:trHeight w:val="121"/>
        </w:trPr>
        <w:tc>
          <w:tcPr>
            <w:tcW w:w="2940" w:type="dxa"/>
            <w:vAlign w:val="bottom"/>
          </w:tcPr>
          <w:p>
            <w:pPr>
              <w:spacing w:after="0" w:line="121" w:lineRule="exact"/>
              <w:rPr>
                <w:sz w:val="20"/>
                <w:szCs w:val="20"/>
                <w:color w:val="auto"/>
              </w:rPr>
            </w:pPr>
            <w:r>
              <w:rPr>
                <w:rFonts w:ascii="Arial" w:cs="Arial" w:eastAsia="Arial" w:hAnsi="Arial"/>
                <w:sz w:val="13"/>
                <w:szCs w:val="13"/>
                <w:color w:val="auto"/>
                <w:w w:val="89"/>
              </w:rPr>
              <w:t>Vesting of restricted stock (12,447 shares issued, 16,162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940" w:type="dxa"/>
            <w:vAlign w:val="bottom"/>
          </w:tcPr>
          <w:p>
            <w:pPr>
              <w:ind w:left="200"/>
              <w:spacing w:after="0"/>
              <w:rPr>
                <w:sz w:val="20"/>
                <w:szCs w:val="20"/>
                <w:color w:val="auto"/>
              </w:rPr>
            </w:pPr>
            <w:r>
              <w:rPr>
                <w:rFonts w:ascii="Arial" w:cs="Arial" w:eastAsia="Arial" w:hAnsi="Arial"/>
                <w:sz w:val="13"/>
                <w:szCs w:val="13"/>
                <w:color w:val="auto"/>
              </w:rPr>
              <w:t>shares deferred)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416</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(658)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97"/>
              <w:spacing w:after="0"/>
              <w:rPr>
                <w:sz w:val="20"/>
                <w:szCs w:val="20"/>
                <w:color w:val="auto"/>
              </w:rPr>
            </w:pPr>
            <w:r>
              <w:rPr>
                <w:rFonts w:ascii="Arial" w:cs="Arial" w:eastAsia="Arial" w:hAnsi="Arial"/>
                <w:sz w:val="13"/>
                <w:szCs w:val="13"/>
                <w:color w:val="auto"/>
              </w:rPr>
              <w:t>240</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21"/>
        </w:trPr>
        <w:tc>
          <w:tcPr>
            <w:tcW w:w="29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7"/>
              </w:rPr>
              <w:t>Deferred compensation plan, net, including dividend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9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equivalents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302</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302</w:t>
            </w:r>
          </w:p>
        </w:tc>
      </w:tr>
      <w:tr>
        <w:trPr>
          <w:trHeight w:val="121"/>
        </w:trPr>
        <w:tc>
          <w:tcPr>
            <w:tcW w:w="2940" w:type="dxa"/>
            <w:vAlign w:val="bottom"/>
          </w:tcPr>
          <w:p>
            <w:pPr>
              <w:spacing w:after="0" w:line="121" w:lineRule="exact"/>
              <w:rPr>
                <w:sz w:val="20"/>
                <w:szCs w:val="20"/>
                <w:color w:val="auto"/>
              </w:rPr>
            </w:pPr>
            <w:r>
              <w:rPr>
                <w:rFonts w:ascii="Arial" w:cs="Arial" w:eastAsia="Arial" w:hAnsi="Arial"/>
                <w:sz w:val="13"/>
                <w:szCs w:val="13"/>
                <w:color w:val="auto"/>
                <w:w w:val="92"/>
              </w:rPr>
              <w:t>Shares issued from deferred compensation plan (5,687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940" w:type="dxa"/>
            <w:vAlign w:val="bottom"/>
          </w:tcPr>
          <w:p>
            <w:pPr>
              <w:ind w:left="200"/>
              <w:spacing w:after="0"/>
              <w:rPr>
                <w:sz w:val="20"/>
                <w:szCs w:val="20"/>
                <w:color w:val="auto"/>
              </w:rPr>
            </w:pPr>
            <w:r>
              <w:rPr>
                <w:rFonts w:ascii="Arial" w:cs="Arial" w:eastAsia="Arial" w:hAnsi="Arial"/>
                <w:sz w:val="13"/>
                <w:szCs w:val="13"/>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(155)</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97"/>
              <w:spacing w:after="0"/>
              <w:rPr>
                <w:sz w:val="20"/>
                <w:szCs w:val="20"/>
                <w:color w:val="auto"/>
              </w:rPr>
            </w:pPr>
            <w:r>
              <w:rPr>
                <w:rFonts w:ascii="Arial" w:cs="Arial" w:eastAsia="Arial" w:hAnsi="Arial"/>
                <w:sz w:val="13"/>
                <w:szCs w:val="13"/>
                <w:color w:val="auto"/>
              </w:rPr>
              <w:t>134</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Tax on option exercise and restricted stock vesting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(30)</w:t>
            </w: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3"/>
                <w:szCs w:val="13"/>
                <w:color w:val="auto"/>
                <w:w w:val="92"/>
              </w:rPr>
              <w:t>Dividends on Series A preferred stock ($.45 per share)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w:t>
            </w: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on Series B preferred stock (5%)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915</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(7,665)</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(6,750)</w:t>
            </w:r>
          </w:p>
        </w:tc>
      </w:tr>
      <w:tr>
        <w:trPr>
          <w:trHeight w:val="142"/>
        </w:trPr>
        <w:tc>
          <w:tcPr>
            <w:tcW w:w="2940" w:type="dxa"/>
            <w:vAlign w:val="bottom"/>
          </w:tcPr>
          <w:p>
            <w:pPr>
              <w:spacing w:after="0" w:line="143" w:lineRule="exact"/>
              <w:rPr>
                <w:sz w:val="20"/>
                <w:szCs w:val="20"/>
                <w:color w:val="auto"/>
              </w:rPr>
            </w:pPr>
            <w:r>
              <w:rPr>
                <w:rFonts w:ascii="Arial" w:cs="Arial" w:eastAsia="Arial" w:hAnsi="Arial"/>
                <w:sz w:val="13"/>
                <w:szCs w:val="13"/>
                <w:b w:val="1"/>
                <w:bCs w:val="1"/>
                <w:color w:val="auto"/>
              </w:rPr>
              <w:t>Balance, September 30, 2009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217</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174,095</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93,901</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3,471</w:t>
            </w: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$ 620,494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62,786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51,674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1,006,638</w:t>
            </w:r>
          </w:p>
        </w:tc>
        <w:tc>
          <w:tcPr>
            <w:tcW w:w="80" w:type="dxa"/>
            <w:vAlign w:val="bottom"/>
          </w:tcPr>
          <w:p>
            <w:pPr>
              <w:spacing w:after="0"/>
              <w:rPr>
                <w:sz w:val="12"/>
                <w:szCs w:val="12"/>
                <w:color w:val="auto"/>
              </w:rPr>
            </w:pP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Comprehensive loss for the third quarter of 2009 and 2008 was $58,860,000 and $23,443,000, respectively.</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720" w:type="dxa"/>
            <w:vAlign w:val="bottom"/>
            <w:tcBorders>
              <w:bottom w:val="single" w:sz="8" w:color="auto"/>
            </w:tcBorders>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activities, net of effect of business combinations: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(188,492)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10,868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Provision for loan losses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220,000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400"/>
              <w:spacing w:after="0"/>
              <w:rPr>
                <w:sz w:val="20"/>
                <w:szCs w:val="20"/>
                <w:color w:val="auto"/>
              </w:rPr>
            </w:pPr>
            <w:r>
              <w:rPr>
                <w:rFonts w:ascii="Arial" w:cs="Arial" w:eastAsia="Arial" w:hAnsi="Arial"/>
                <w:sz w:val="18"/>
                <w:szCs w:val="18"/>
                <w:color w:val="auto"/>
              </w:rPr>
              <w:t>Goodwill impairment charge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Stock based compensation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400"/>
              <w:spacing w:after="0"/>
              <w:rPr>
                <w:sz w:val="20"/>
                <w:szCs w:val="20"/>
                <w:color w:val="auto"/>
              </w:rPr>
            </w:pPr>
            <w:r>
              <w:rPr>
                <w:rFonts w:ascii="Arial" w:cs="Arial" w:eastAsia="Arial" w:hAnsi="Arial"/>
                <w:sz w:val="18"/>
                <w:szCs w:val="18"/>
                <w:color w:val="auto"/>
              </w:rPr>
              <w:t>Gain on sale of securities available for sale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Loss on sale of other assets and other real estate owned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400"/>
              <w:spacing w:after="0"/>
              <w:rPr>
                <w:sz w:val="20"/>
                <w:szCs w:val="20"/>
                <w:color w:val="auto"/>
              </w:rPr>
            </w:pPr>
            <w:r>
              <w:rPr>
                <w:rFonts w:ascii="Arial" w:cs="Arial" w:eastAsia="Arial" w:hAnsi="Arial"/>
                <w:sz w:val="18"/>
                <w:szCs w:val="18"/>
                <w:color w:val="auto"/>
              </w:rPr>
              <w:t>Write downs of other real estate owned</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8,946</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Gain from acquisition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(11,390)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40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Other assets and accrued interest receivable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60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21,588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38,864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Mortgage loans held for sale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156,657</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Investing activities, net of effect of business combinations: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Proceeds from sales of securities available for sale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281,970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84,955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523,180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396,673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Purchases of securities available for sale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(672,927)</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(519,421)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increase in loans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Purchases of premises and equipment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(9,475)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Net cash received from acquisitions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63,617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103,991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51,970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(used) by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287,599</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Financing activities, net of effect of business combinations: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Net change in deposits</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(489,874)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613,384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Net change in federal funds purchased, repurchase agreements, and other short-term</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(9,130)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(518,763)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Proceeds from FHLB advances</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330,000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Repayments of FHLB advances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(303,322)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Proceeds from issuance of subordinated debt</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4"/>
              </w:rPr>
              <w:t>Proceeds from issuance of common stock for dividend reinvestment and employee benefit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tcPr>
          <w:p>
            <w:pPr>
              <w:ind w:left="400"/>
              <w:spacing w:after="0"/>
              <w:rPr>
                <w:sz w:val="20"/>
                <w:szCs w:val="20"/>
                <w:color w:val="auto"/>
              </w:rPr>
            </w:pPr>
            <w:r>
              <w:rPr>
                <w:rFonts w:ascii="Arial" w:cs="Arial" w:eastAsia="Arial" w:hAnsi="Arial"/>
                <w:sz w:val="18"/>
                <w:szCs w:val="18"/>
                <w:color w:val="auto"/>
              </w:rPr>
              <w:t>plans</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1,559</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210,899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Retirement of preferred stock</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dividends on common stock</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Cash dividends on preferred stock</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(6,261)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by financing activities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(266,168)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178,088</w:t>
            </w: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(52,883)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493,421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219,623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3"/>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671,509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166,740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tcPr>
          <w:p>
            <w:pPr>
              <w:ind w:left="2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139,268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174,554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3"/>
          </w:tcPr>
          <w:p>
            <w:pPr>
              <w:ind w:left="4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(24,555)</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20,124</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05" w:right="1440" w:bottom="969"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969"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United Community Banks,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Accounting Policies</w:t>
      </w:r>
    </w:p>
    <w:p>
      <w:pPr>
        <w:spacing w:after="0" w:line="189"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the 2008 annual report filed on Form 10-K.</w:t>
      </w:r>
    </w:p>
    <w:p>
      <w:pPr>
        <w:spacing w:after="0" w:line="161"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46" w:lineRule="exact"/>
        <w:rPr>
          <w:sz w:val="20"/>
          <w:szCs w:val="20"/>
          <w:color w:val="auto"/>
        </w:rPr>
      </w:pPr>
    </w:p>
    <w:p>
      <w:pPr>
        <w:jc w:val="both"/>
        <w:ind w:left="340" w:right="559" w:firstLine="747"/>
        <w:spacing w:after="0" w:line="287" w:lineRule="auto"/>
        <w:rPr>
          <w:sz w:val="20"/>
          <w:szCs w:val="20"/>
          <w:color w:val="auto"/>
        </w:rPr>
      </w:pPr>
      <w:r>
        <w:rPr>
          <w:rFonts w:ascii="Arial" w:cs="Arial" w:eastAsia="Arial" w:hAnsi="Arial"/>
          <w:sz w:val="16"/>
          <w:szCs w:val="16"/>
          <w:color w:val="auto"/>
        </w:rPr>
        <w:t>United records all derivative financial instruments on the balance sheet at fair value. The accounting for changes in the fair value of derivatives depends on the intended use of the derivative, whether United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United may enter into derivative contracts that are intended to economically hedge certain of its risks, even though hedge accounting does not apply or United elects not to apply hedge accounting.</w:t>
      </w:r>
    </w:p>
    <w:p>
      <w:pPr>
        <w:spacing w:after="0" w:line="128"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Foreclosed property is initially recorded at fair value, less cost to sell. If the fair value, less cost to sell at the time of foreclosure, is less than the loan balance, the deficiency is charged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w:t>
      </w:r>
      <w:r>
        <w:rPr>
          <w:rFonts w:ascii="Arial" w:cs="Arial" w:eastAsia="Arial" w:hAnsi="Arial"/>
          <w:sz w:val="18"/>
          <w:szCs w:val="18"/>
          <w:i w:val="1"/>
          <w:iCs w:val="1"/>
          <w:color w:val="auto"/>
        </w:rPr>
        <w:t>, Real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Estate Sales </w:t>
      </w:r>
      <w:r>
        <w:rPr>
          <w:rFonts w:ascii="Arial" w:cs="Arial" w:eastAsia="Arial" w:hAnsi="Arial"/>
          <w:sz w:val="18"/>
          <w:szCs w:val="18"/>
          <w:color w:val="auto"/>
        </w:rPr>
        <w:t>(“ASC 360-20”).</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Federally Assisted Acquisition of Southern Community Bank</w:t>
      </w:r>
    </w:p>
    <w:p>
      <w:pPr>
        <w:spacing w:after="0" w:line="189" w:lineRule="exact"/>
        <w:rPr>
          <w:sz w:val="20"/>
          <w:szCs w:val="20"/>
          <w:color w:val="auto"/>
        </w:rPr>
      </w:pPr>
    </w:p>
    <w:p>
      <w:pPr>
        <w:jc w:val="both"/>
        <w:ind w:left="340" w:right="559" w:firstLine="747"/>
        <w:spacing w:after="0" w:line="287" w:lineRule="auto"/>
        <w:rPr>
          <w:sz w:val="20"/>
          <w:szCs w:val="20"/>
          <w:color w:val="auto"/>
        </w:rPr>
      </w:pPr>
      <w:r>
        <w:rPr>
          <w:rFonts w:ascii="Arial" w:cs="Arial" w:eastAsia="Arial" w:hAnsi="Arial"/>
          <w:sz w:val="16"/>
          <w:szCs w:val="16"/>
          <w:color w:val="auto"/>
        </w:rPr>
        <w:t>On June 19, 2009, United Community Bank (“UCB”) purchased substantially all the assets and assumed substantially all the liabilities of Southern Community Bank (“SCB”) from the Federal Deposit Insurance Corporation (“FDIC”), as Receiver of SCB. SCB operated five commercial banking branches on the south side of Atlanta in Fayetteville, Peachtree City, Locust Grove and Newnan, Georgia. The FDIC took SCB under receivership upon SCB’s closure by the Georgia Department of Banking and Finance at the close of business June 19, 2009. UCB submitted a bid for the acquisition of SCB with the FDIC and the FDIC accepted the bid on June 16, 2009. The transaction resulted in a cash payment of $31 million from the FDIC to UCB. Further,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residential real estate loans is ten years, while the term for loss sharing on all other loans is five years.</w:t>
      </w:r>
    </w:p>
    <w:p>
      <w:pPr>
        <w:spacing w:after="0" w:line="200" w:lineRule="exact"/>
        <w:rPr>
          <w:sz w:val="20"/>
          <w:szCs w:val="20"/>
          <w:color w:val="auto"/>
        </w:rPr>
      </w:pPr>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 xml:space="preserve">The SCB acquisition was accounted for under the purchase method of accounting in accordance with the FASB’s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statement of net assets acquired as of June 19, 2009 and the resulting gain from acquisition are presented in the following table.</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Statement of net assets acquired (at estimated fair values)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8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Southern</w:t>
            </w:r>
          </w:p>
        </w:tc>
      </w:tr>
      <w:tr>
        <w:trPr>
          <w:trHeight w:val="216"/>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Community</w:t>
            </w:r>
          </w:p>
        </w:tc>
      </w:tr>
      <w:tr>
        <w:trPr>
          <w:trHeight w:val="234"/>
        </w:trPr>
        <w:tc>
          <w:tcPr>
            <w:tcW w:w="80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Bank</w:t>
            </w:r>
          </w:p>
        </w:tc>
      </w:tr>
      <w:tr>
        <w:trPr>
          <w:trHeight w:val="210"/>
        </w:trPr>
        <w:tc>
          <w:tcPr>
            <w:tcW w:w="8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63,618</w:t>
            </w:r>
          </w:p>
        </w:tc>
        <w:tc>
          <w:tcPr>
            <w:tcW w:w="60" w:type="dxa"/>
            <w:vAlign w:val="bottom"/>
          </w:tcPr>
          <w:p>
            <w:pPr>
              <w:spacing w:after="0"/>
              <w:rPr>
                <w:sz w:val="18"/>
                <w:szCs w:val="18"/>
                <w:color w:val="auto"/>
              </w:rPr>
            </w:pPr>
          </w:p>
        </w:tc>
      </w:tr>
      <w:tr>
        <w:trPr>
          <w:trHeight w:val="216"/>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available for sale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80,148</w:t>
            </w:r>
          </w:p>
        </w:tc>
        <w:tc>
          <w:tcPr>
            <w:tcW w:w="60" w:type="dxa"/>
            <w:vAlign w:val="bottom"/>
            <w:shd w:val="clear" w:color="auto" w:fill="CCEEFF"/>
          </w:tcPr>
          <w:p>
            <w:pPr>
              <w:spacing w:after="0"/>
              <w:rPr>
                <w:sz w:val="18"/>
                <w:szCs w:val="18"/>
                <w:color w:val="auto"/>
              </w:rPr>
            </w:pPr>
          </w:p>
        </w:tc>
      </w:tr>
      <w:tr>
        <w:trPr>
          <w:trHeight w:val="432"/>
        </w:trPr>
        <w:tc>
          <w:tcPr>
            <w:tcW w:w="8020" w:type="dxa"/>
            <w:vAlign w:val="bottom"/>
          </w:tcPr>
          <w:p>
            <w:pPr>
              <w:ind w:left="200"/>
              <w:spacing w:after="0"/>
              <w:rPr>
                <w:sz w:val="20"/>
                <w:szCs w:val="20"/>
                <w:color w:val="auto"/>
              </w:rPr>
            </w:pPr>
            <w:r>
              <w:rPr>
                <w:rFonts w:ascii="Arial" w:cs="Arial" w:eastAsia="Arial" w:hAnsi="Arial"/>
                <w:sz w:val="18"/>
                <w:szCs w:val="18"/>
                <w:color w:val="auto"/>
              </w:rPr>
              <w:t>Loans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110,023</w:t>
            </w:r>
          </w:p>
        </w:tc>
        <w:tc>
          <w:tcPr>
            <w:tcW w:w="60" w:type="dxa"/>
            <w:vAlign w:val="bottom"/>
          </w:tcPr>
          <w:p>
            <w:pPr>
              <w:spacing w:after="0"/>
              <w:rPr>
                <w:sz w:val="24"/>
                <w:szCs w:val="24"/>
                <w:color w:val="auto"/>
              </w:rPr>
            </w:pPr>
          </w:p>
        </w:tc>
      </w:tr>
      <w:tr>
        <w:trPr>
          <w:trHeight w:val="216"/>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property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25,913</w:t>
            </w:r>
          </w:p>
        </w:tc>
        <w:tc>
          <w:tcPr>
            <w:tcW w:w="60" w:type="dxa"/>
            <w:vAlign w:val="bottom"/>
            <w:shd w:val="clear" w:color="auto" w:fill="CCEEFF"/>
          </w:tcPr>
          <w:p>
            <w:pPr>
              <w:spacing w:after="0"/>
              <w:rPr>
                <w:sz w:val="18"/>
                <w:szCs w:val="18"/>
                <w:color w:val="auto"/>
              </w:rPr>
            </w:pPr>
          </w:p>
        </w:tc>
      </w:tr>
      <w:tr>
        <w:trPr>
          <w:trHeight w:val="223"/>
        </w:trPr>
        <w:tc>
          <w:tcPr>
            <w:tcW w:w="8020" w:type="dxa"/>
            <w:vAlign w:val="bottom"/>
          </w:tcPr>
          <w:p>
            <w:pPr>
              <w:ind w:left="200"/>
              <w:spacing w:after="0"/>
              <w:rPr>
                <w:sz w:val="20"/>
                <w:szCs w:val="20"/>
                <w:color w:val="auto"/>
              </w:rPr>
            </w:pPr>
            <w:r>
              <w:rPr>
                <w:rFonts w:ascii="Arial" w:cs="Arial" w:eastAsia="Arial" w:hAnsi="Arial"/>
                <w:sz w:val="18"/>
                <w:szCs w:val="18"/>
                <w:color w:val="auto"/>
              </w:rPr>
              <w:t>Estimated loss reimbursement from the FDIC</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Covered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230,486</w:t>
            </w:r>
          </w:p>
        </w:tc>
        <w:tc>
          <w:tcPr>
            <w:tcW w:w="60" w:type="dxa"/>
            <w:vAlign w:val="bottom"/>
            <w:shd w:val="clear" w:color="auto" w:fill="CCEEFF"/>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8"/>
                <w:szCs w:val="18"/>
                <w:color w:val="auto"/>
              </w:rPr>
              <w:t>Core deposit intangible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r>
      <w:tr>
        <w:trPr>
          <w:trHeight w:val="216"/>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receivable and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2,434</w:t>
            </w:r>
          </w:p>
        </w:tc>
        <w:tc>
          <w:tcPr>
            <w:tcW w:w="60" w:type="dxa"/>
            <w:vAlign w:val="bottom"/>
            <w:shd w:val="clear" w:color="auto" w:fill="CCEEFF"/>
          </w:tcPr>
          <w:p>
            <w:pPr>
              <w:spacing w:after="0"/>
              <w:rPr>
                <w:sz w:val="18"/>
                <w:szCs w:val="18"/>
                <w:color w:val="auto"/>
              </w:rPr>
            </w:pPr>
          </w:p>
        </w:tc>
      </w:tr>
      <w:tr>
        <w:trPr>
          <w:trHeight w:val="223"/>
        </w:trPr>
        <w:tc>
          <w:tcPr>
            <w:tcW w:w="8020" w:type="dxa"/>
            <w:vAlign w:val="bottom"/>
          </w:tcPr>
          <w:p>
            <w:pPr>
              <w:ind w:left="400"/>
              <w:spacing w:after="0"/>
              <w:rPr>
                <w:sz w:val="20"/>
                <w:szCs w:val="20"/>
                <w:color w:val="auto"/>
              </w:rPr>
            </w:pPr>
            <w:r>
              <w:rPr>
                <w:rFonts w:ascii="Arial" w:cs="Arial" w:eastAsia="Arial" w:hAnsi="Arial"/>
                <w:sz w:val="18"/>
                <w:szCs w:val="18"/>
                <w:color w:val="auto"/>
              </w:rPr>
              <w:t>Total assets acquired</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8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0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309,437</w:t>
            </w:r>
          </w:p>
        </w:tc>
        <w:tc>
          <w:tcPr>
            <w:tcW w:w="60" w:type="dxa"/>
            <w:vAlign w:val="bottom"/>
          </w:tcPr>
          <w:p>
            <w:pPr>
              <w:spacing w:after="0"/>
              <w:rPr>
                <w:sz w:val="18"/>
                <w:szCs w:val="18"/>
                <w:color w:val="auto"/>
              </w:rPr>
            </w:pPr>
          </w:p>
        </w:tc>
      </w:tr>
      <w:tr>
        <w:trPr>
          <w:trHeight w:val="216"/>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Home Loan Bank advances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53,416</w:t>
            </w:r>
          </w:p>
        </w:tc>
        <w:tc>
          <w:tcPr>
            <w:tcW w:w="60" w:type="dxa"/>
            <w:vAlign w:val="bottom"/>
            <w:shd w:val="clear" w:color="auto" w:fill="CCEEFF"/>
          </w:tcPr>
          <w:p>
            <w:pPr>
              <w:spacing w:after="0"/>
              <w:rPr>
                <w:sz w:val="18"/>
                <w:szCs w:val="18"/>
                <w:color w:val="auto"/>
              </w:rPr>
            </w:pPr>
          </w:p>
        </w:tc>
      </w:tr>
      <w:tr>
        <w:trPr>
          <w:trHeight w:val="223"/>
        </w:trPr>
        <w:tc>
          <w:tcPr>
            <w:tcW w:w="8020" w:type="dxa"/>
            <w:vAlign w:val="bottom"/>
          </w:tcPr>
          <w:p>
            <w:pPr>
              <w:ind w:left="200"/>
              <w:spacing w:after="0"/>
              <w:rPr>
                <w:sz w:val="20"/>
                <w:szCs w:val="20"/>
                <w:color w:val="auto"/>
              </w:rPr>
            </w:pPr>
            <w:r>
              <w:rPr>
                <w:rFonts w:ascii="Arial" w:cs="Arial" w:eastAsia="Arial" w:hAnsi="Arial"/>
                <w:sz w:val="18"/>
                <w:szCs w:val="18"/>
                <w:color w:val="auto"/>
              </w:rPr>
              <w:t>Accrued interest payable and other liabilities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assumed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366,796</w:t>
            </w:r>
          </w:p>
        </w:tc>
        <w:tc>
          <w:tcPr>
            <w:tcW w:w="60" w:type="dxa"/>
            <w:vAlign w:val="bottom"/>
            <w:shd w:val="clear" w:color="auto" w:fill="CCEEFF"/>
          </w:tcPr>
          <w:p>
            <w:pPr>
              <w:spacing w:after="0"/>
              <w:rPr>
                <w:sz w:val="18"/>
                <w:szCs w:val="18"/>
                <w:color w:val="auto"/>
              </w:rPr>
            </w:pPr>
          </w:p>
        </w:tc>
      </w:tr>
      <w:tr>
        <w:trPr>
          <w:trHeight w:val="223"/>
        </w:trPr>
        <w:tc>
          <w:tcPr>
            <w:tcW w:w="8020" w:type="dxa"/>
            <w:vAlign w:val="bottom"/>
          </w:tcPr>
          <w:p>
            <w:pPr>
              <w:ind w:left="400"/>
              <w:spacing w:after="0"/>
              <w:rPr>
                <w:sz w:val="20"/>
                <w:szCs w:val="20"/>
                <w:color w:val="auto"/>
              </w:rPr>
            </w:pPr>
            <w:r>
              <w:rPr>
                <w:rFonts w:ascii="Arial" w:cs="Arial" w:eastAsia="Arial" w:hAnsi="Arial"/>
                <w:sz w:val="18"/>
                <w:szCs w:val="18"/>
                <w:color w:val="auto"/>
              </w:rPr>
              <w:t>Net assets acquired / gain from acquisition</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747"/>
        <w:spacing w:after="0" w:line="271" w:lineRule="auto"/>
        <w:rPr>
          <w:sz w:val="20"/>
          <w:szCs w:val="20"/>
          <w:color w:val="auto"/>
        </w:rPr>
      </w:pPr>
      <w:r>
        <w:rPr>
          <w:rFonts w:ascii="Arial" w:cs="Arial" w:eastAsia="Arial" w:hAnsi="Arial"/>
          <w:sz w:val="17"/>
          <w:szCs w:val="17"/>
          <w:color w:val="auto"/>
        </w:rPr>
        <w:t>The purchased assets and assumed liabilities were recorded at their respective acquisition date fair values and identifiable intangible assets were recorded at fair value. Fair values are preliminary and subject to refinement for up to one year after the closing date of a merger as information relative to closing date fair values become available. A gain totaling $11.4 million resulted from the acquisition and is included as a component of fee revenue on the consolidated statement of income for the nine months ended September 30, 2009. The amount of the gain is equal to the amount by which the fair value of assets purchased exceeded the fair value of liabilities assumed. The results of operations of SCB for the period of June 19, 2009 to September 30, 2009 are included in the consolidated financial statements. SCB’s results of operations prior to the acquisition are not included in United’s consolidated statement of income.</w:t>
      </w:r>
    </w:p>
    <w:p>
      <w:pPr>
        <w:spacing w:after="0" w:line="138" w:lineRule="exact"/>
        <w:rPr>
          <w:sz w:val="20"/>
          <w:szCs w:val="20"/>
          <w:color w:val="auto"/>
        </w:rPr>
      </w:pPr>
    </w:p>
    <w:p>
      <w:pPr>
        <w:jc w:val="both"/>
        <w:ind w:left="340" w:right="559" w:firstLine="747"/>
        <w:spacing w:after="0" w:line="254" w:lineRule="auto"/>
        <w:rPr>
          <w:sz w:val="20"/>
          <w:szCs w:val="20"/>
          <w:color w:val="auto"/>
        </w:rPr>
      </w:pPr>
      <w:r>
        <w:rPr>
          <w:rFonts w:ascii="Arial" w:cs="Arial" w:eastAsia="Arial" w:hAnsi="Arial"/>
          <w:sz w:val="18"/>
          <w:szCs w:val="18"/>
          <w:color w:val="auto"/>
        </w:rPr>
        <w:t>United made significant estimates and exercised significant judgment in accounting for the acquisition of SCB. Management engaged an independent third party to assist in determining the value of SCB’s loans. United also recorded an identifiable intangible asset representing the value of the core deposit customer base of SCB. In determining the value of the identifiable intangible asset, United estimated average lives of depository accounts, future interest rate levels, the cost of servicing various depository products, and other significant items. Management used quoted market prices and observable data to determine the fair value of investment securities. The fair values of FHLB advances, certificates of deposit and other borrowings which were purchased and assumed from SCB were determined based on discounted cash flows at current rates for similar instruments.</w:t>
      </w:r>
    </w:p>
    <w:p>
      <w:pPr>
        <w:spacing w:after="0" w:line="165"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6"/>
          <w:szCs w:val="16"/>
          <w:color w:val="auto"/>
        </w:rPr>
        <w:t xml:space="preserve">Purchased loans acquired in a business combination are recorded at estimated fair value on their purchase date. The carryover of the related allowance for loan losses is prohibited. Purchased loans are accounted for under Accounting Standards Codification Topic 310, Subtopic 30, </w:t>
      </w:r>
      <w:r>
        <w:rPr>
          <w:rFonts w:ascii="Arial" w:cs="Arial" w:eastAsia="Arial" w:hAnsi="Arial"/>
          <w:sz w:val="16"/>
          <w:szCs w:val="16"/>
          <w:i w:val="1"/>
          <w:iCs w:val="1"/>
          <w:color w:val="auto"/>
        </w:rPr>
        <w:t>Loans or Debt Securities Acquired with Deteriorated Credit Quality</w:t>
      </w:r>
      <w:r>
        <w:rPr>
          <w:rFonts w:ascii="Arial" w:cs="Arial" w:eastAsia="Arial" w:hAnsi="Arial"/>
          <w:sz w:val="16"/>
          <w:szCs w:val="16"/>
          <w:color w:val="auto"/>
        </w:rPr>
        <w:t xml:space="preserve"> (“ASC 310-30”), when the loans have evidence of credit deterioration since origination and it is probable at the date of acquisition that United will not collect all contractually required principal and interest payments. Evidence of credit quality deterioration as of the purchase date may include statistics such as past due and nonaccrual status. Generally, acquired loans that meet United’s definition of nonaccrual status fall within the scope of ASC 310-30. The difference between contractually required payments at acquisition and the cash flows expected to be collected at acquisition is referred to as the non-accretable difference which is deducted from the carrying amount of loans. Subsequent decreases to the expected cash flows will generally result in a provision for loan losses. Subsequent increases in cash flows result in a reversal of the provision for loan losses to the extent of prior charges or a reversal of the non-accretable difference with a positive impact on interest revenue. Further, any excess of cash flows expected at acquisition over the estimated fair value is referred to as the accretable yield and is recognized into interest revenue over the remaining life of the loan when there is reasonable expectation about the amount and timing of such cash flows.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Under the loss sharing agreement, the portion of the losses expected to be indemnified by FDIC is considered an indemnification asset in accordance with ASC 805. The indemnification asset, referred to as “estimated loss reimbursement from the FDIC” is included in the balance of “covered assets” on the consolidated balance sheet. The indemnification asset was recognized at fair value, which was estimated at the acquisition date based on the terms of the loss sharing agreement, which calls for the FDIC to reimburse 80% of the losses on acquired loans and foreclosed properties up to $109 million and 95% of any losses that exceed $109 million. The indemnification asset is expected to be collected over a four-year average life. No valuation allowance was required.</w:t>
      </w:r>
    </w:p>
    <w:p>
      <w:pPr>
        <w:spacing w:after="0" w:line="162"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 xml:space="preserve">Loans, foreclosed property and the estimated FDIC reimbursement resulting from the loss share agreements with the FDIC are reported as “covered assets” in the consolidated balance sheet. The table below shows the components of covered assets at September 30, 2009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Purchased</w:t>
            </w:r>
          </w:p>
        </w:tc>
        <w:tc>
          <w:tcPr>
            <w:tcW w:w="1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Impaired</w:t>
            </w: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Covered Assets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Loans</w:t>
            </w:r>
          </w:p>
        </w:tc>
        <w:tc>
          <w:tcPr>
            <w:tcW w:w="180" w:type="dxa"/>
            <w:vAlign w:val="bottom"/>
          </w:tcPr>
          <w:p>
            <w:pPr>
              <w:spacing w:after="0"/>
              <w:rPr>
                <w:sz w:val="20"/>
                <w:szCs w:val="20"/>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15,980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37,922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1,319</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42,695</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44,014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11,284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8,725</w:t>
            </w: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9,007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947</w:t>
            </w:r>
          </w:p>
        </w:tc>
      </w:tr>
      <w:tr>
        <w:trPr>
          <w:trHeight w:val="223"/>
        </w:trPr>
        <w:tc>
          <w:tcPr>
            <w:tcW w:w="4120" w:type="dxa"/>
            <w:vAlign w:val="bottom"/>
          </w:tcPr>
          <w:p>
            <w:pPr>
              <w:ind w:left="200"/>
              <w:spacing w:after="0"/>
              <w:rPr>
                <w:sz w:val="20"/>
                <w:szCs w:val="20"/>
                <w:color w:val="auto"/>
              </w:rPr>
            </w:pPr>
            <w:r>
              <w:rPr>
                <w:rFonts w:ascii="Arial" w:cs="Arial" w:eastAsia="Arial" w:hAnsi="Arial"/>
                <w:sz w:val="18"/>
                <w:szCs w:val="18"/>
                <w:color w:val="auto"/>
              </w:rPr>
              <w:t>Total covered loans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18,478</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85,538</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104,016</w:t>
            </w:r>
          </w:p>
        </w:tc>
        <w:tc>
          <w:tcPr>
            <w:tcW w:w="8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Covered foreclosed property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23,775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23,775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Estimated loss reimbursement from the FDIC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70,123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70,123</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covered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18,478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85,538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93,898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197,914</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Covered loans are initially recorded at fair value at the acquisition date. Subsequent decreases in the amount expected to be collected results in a provision for loan losses charged to earnings and an increase in the estimated FDIC reimbursement. Covered foreclosed property is initially recorded at its estimated fair value.</w:t>
      </w:r>
    </w:p>
    <w:p>
      <w:pPr>
        <w:spacing w:after="0" w:line="141" w:lineRule="exact"/>
        <w:rPr>
          <w:sz w:val="20"/>
          <w:szCs w:val="20"/>
          <w:color w:val="auto"/>
        </w:rPr>
      </w:pPr>
    </w:p>
    <w:p>
      <w:pPr>
        <w:jc w:val="both"/>
        <w:ind w:left="340" w:right="559" w:firstLine="747"/>
        <w:spacing w:after="0" w:line="271" w:lineRule="auto"/>
        <w:rPr>
          <w:sz w:val="20"/>
          <w:szCs w:val="20"/>
          <w:color w:val="auto"/>
        </w:rPr>
      </w:pPr>
      <w:r>
        <w:rPr>
          <w:rFonts w:ascii="Arial" w:cs="Arial" w:eastAsia="Arial" w:hAnsi="Arial"/>
          <w:sz w:val="17"/>
          <w:szCs w:val="17"/>
          <w:color w:val="auto"/>
        </w:rPr>
        <w:t>On the acquisition date, the preliminary estimate of the contractually required payments receivable for all ASC 310-30 loans acquired was $70.8 million, the cash flows expected to be collected were $24.5 million including interest, and the estimated fair value of the loans was $23.6 million. These amounts were determined based upon the estimated remaining life of the underlying loans, which include the effects of estimated prepayments. At September 30, 2009, a majority of these loans were valued based on the liquidation value of the underlying collateral, because the expected cash flows are primarily based on the liquidation of the underlying collateral and the timing and amount of the cash flows could not be reasonably estimated. Certain amounts related to the ASC 310-30 loans are preliminary estimates and adjustments in future quarters may occur up to one year from the date of acquisition.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Stock-Based Compensation</w:t>
      </w:r>
    </w:p>
    <w:p>
      <w:pPr>
        <w:spacing w:after="0" w:line="189" w:lineRule="exact"/>
        <w:rPr>
          <w:sz w:val="20"/>
          <w:szCs w:val="20"/>
          <w:color w:val="auto"/>
        </w:rPr>
      </w:pPr>
    </w:p>
    <w:p>
      <w:pPr>
        <w:jc w:val="both"/>
        <w:ind w:left="340" w:right="559" w:firstLine="747"/>
        <w:spacing w:after="0" w:line="271"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September 30, 2009, approximately 970,000 additional awards could be granted under the plan. Through September 30, 2009, only incentive stock options, nonqualified stock options and restricted stock awards and units had been granted under the plan.</w:t>
      </w: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960" w:type="dxa"/>
            <w:vAlign w:val="bottom"/>
            <w:gridSpan w:val="8"/>
          </w:tcPr>
          <w:p>
            <w:pPr>
              <w:ind w:left="740"/>
              <w:spacing w:after="0"/>
              <w:rPr>
                <w:sz w:val="20"/>
                <w:szCs w:val="20"/>
                <w:color w:val="auto"/>
              </w:rPr>
            </w:pPr>
            <w:r>
              <w:rPr>
                <w:rFonts w:ascii="Arial" w:cs="Arial" w:eastAsia="Arial" w:hAnsi="Arial"/>
                <w:sz w:val="18"/>
                <w:szCs w:val="18"/>
                <w:color w:val="auto"/>
                <w:w w:val="98"/>
              </w:rPr>
              <w:t>The following table shows stock option activity for the first nine months of 2009.</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Weighted-</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Average Exercise</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4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Term (Years)</w:t>
            </w:r>
          </w:p>
        </w:tc>
        <w:tc>
          <w:tcPr>
            <w:tcW w:w="10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000)</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3,350,701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19.99</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Stock dividend adjustment</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79,489</w:t>
            </w: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354,450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6.35</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5.96</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(46,664)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22.24</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(48,721)</w:t>
            </w:r>
          </w:p>
        </w:tc>
        <w:tc>
          <w:tcPr>
            <w:tcW w:w="16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13.34</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2009</w:t>
            </w:r>
          </w:p>
        </w:tc>
        <w:tc>
          <w:tcPr>
            <w:tcW w:w="26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3,688,818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Exercisable at September 30, 2009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2,470,639</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19.18</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747"/>
        <w:spacing w:after="0" w:line="276" w:lineRule="auto"/>
        <w:rPr>
          <w:sz w:val="20"/>
          <w:szCs w:val="20"/>
          <w:color w:val="auto"/>
        </w:rPr>
      </w:pPr>
      <w:r>
        <w:rPr>
          <w:rFonts w:ascii="Arial" w:cs="Arial" w:eastAsia="Arial" w:hAnsi="Arial"/>
          <w:sz w:val="17"/>
          <w:szCs w:val="17"/>
          <w:color w:val="auto"/>
        </w:rPr>
        <w:t>The weighted average fair value of stock options granted in the first nine months of 2009 and 2008 was $2.85 and $2.90, respectively. The fair value of each option granted was estimated on the date of grant using the Black-Scholes model. Because United’s option plan has not been in place long enough to gather sufficient information about exercise patterns to establish an expected life, United uses the formula provided by the Securities and Exchange Commission in Staff Accounting Bulletin No. 107 (ASC 718-10-S99) to determine the expected life of options.</w:t>
      </w:r>
    </w:p>
    <w:p>
      <w:pPr>
        <w:spacing w:after="0" w:line="1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weighted average assumptions used to determine the fair value of stock options are presented in the table below.</w:t>
      </w:r>
    </w:p>
    <w:p>
      <w:pPr>
        <w:spacing w:after="0" w:line="244"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520"/>
        <w:spacing w:after="0"/>
        <w:tabs>
          <w:tab w:leader="none" w:pos="884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-130810</wp:posOffset>
            </wp:positionV>
            <wp:extent cx="14408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14605</wp:posOffset>
            </wp:positionV>
            <wp:extent cx="14408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40.68%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780" w:type="dxa"/>
            <w:vAlign w:val="bottom"/>
          </w:tcPr>
          <w:p>
            <w:pPr>
              <w:jc w:val="right"/>
              <w:ind w:right="310"/>
              <w:spacing w:after="0"/>
              <w:rPr>
                <w:sz w:val="20"/>
                <w:szCs w:val="20"/>
                <w:color w:val="auto"/>
              </w:rPr>
            </w:pPr>
            <w:r>
              <w:rPr>
                <w:rFonts w:ascii="Arial" w:cs="Arial" w:eastAsia="Arial" w:hAnsi="Arial"/>
                <w:sz w:val="18"/>
                <w:szCs w:val="18"/>
                <w:color w:val="auto"/>
              </w:rPr>
              <w:t>0.00%</w:t>
            </w:r>
          </w:p>
        </w:tc>
        <w:tc>
          <w:tcPr>
            <w:tcW w:w="9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6.25</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6.25</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Risk-free rate</w:t>
            </w:r>
          </w:p>
        </w:tc>
        <w:tc>
          <w:tcPr>
            <w:tcW w:w="3780" w:type="dxa"/>
            <w:vAlign w:val="bottom"/>
          </w:tcPr>
          <w:p>
            <w:pPr>
              <w:jc w:val="right"/>
              <w:ind w:right="310"/>
              <w:spacing w:after="0"/>
              <w:rPr>
                <w:sz w:val="20"/>
                <w:szCs w:val="20"/>
                <w:color w:val="auto"/>
              </w:rPr>
            </w:pPr>
            <w:r>
              <w:rPr>
                <w:rFonts w:ascii="Arial" w:cs="Arial" w:eastAsia="Arial" w:hAnsi="Arial"/>
                <w:sz w:val="18"/>
                <w:szCs w:val="18"/>
                <w:color w:val="auto"/>
              </w:rPr>
              <w:t>3.35%</w:t>
            </w: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r>
    </w:tbl>
    <w:p>
      <w:pPr>
        <w:spacing w:after="0" w:line="147" w:lineRule="exact"/>
        <w:rPr>
          <w:sz w:val="20"/>
          <w:szCs w:val="20"/>
          <w:color w:val="auto"/>
        </w:rPr>
      </w:pPr>
    </w:p>
    <w:p>
      <w:pPr>
        <w:jc w:val="both"/>
        <w:ind w:left="340" w:right="559" w:firstLine="747"/>
        <w:spacing w:after="0" w:line="269" w:lineRule="auto"/>
        <w:rPr>
          <w:sz w:val="20"/>
          <w:szCs w:val="20"/>
          <w:color w:val="auto"/>
        </w:rPr>
      </w:pPr>
      <w:r>
        <w:rPr>
          <w:rFonts w:ascii="Arial" w:cs="Arial" w:eastAsia="Arial" w:hAnsi="Arial"/>
          <w:sz w:val="17"/>
          <w:szCs w:val="17"/>
          <w:color w:val="auto"/>
        </w:rPr>
        <w:t>United’s stock trading history began in March of 2002 when United listed on the Nasdaq National Market. For 2009 expected volatility was determined using United’s historical monthly volatility for the seventy-five months ended December 31, 2008. Seventy-five months was chosen to correspond to the expected life of 6.25 years. For 2008, expected volatility was determined using United’s historical monthly volatility over the period beginning in March of 2002 through the end of 2007. Compensation expense for stock options was $2.1 million and $2.3 million for the nine months ended September 30, 2009 and 2008, respectively. Deferred tax benefits of $769,000 and $692,000, respectively, were included in the determination of income tax (benefit) expense for the nine-month periods ended September 30, 2009 and 2008. The amount of compensation expense for both periods was determined based on the fair value of the options at the time of grant, multiplied by the number of options granted that were expected to vest, which was then amortized over the vesting period. The forfeiture rate for options is estimated to be approximately 3% per year. The total intrinsic value of options exercised during the nine months ended September 30, 2009 and 2008 was $1,000 and $391,000.</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020" w:type="dxa"/>
            <w:vAlign w:val="bottom"/>
            <w:gridSpan w:val="6"/>
          </w:tcPr>
          <w:p>
            <w:pPr>
              <w:ind w:left="740"/>
              <w:spacing w:after="0"/>
              <w:rPr>
                <w:sz w:val="20"/>
                <w:szCs w:val="20"/>
                <w:color w:val="auto"/>
              </w:rPr>
            </w:pPr>
            <w:r>
              <w:rPr>
                <w:rFonts w:ascii="Arial" w:cs="Arial" w:eastAsia="Arial" w:hAnsi="Arial"/>
                <w:sz w:val="18"/>
                <w:szCs w:val="18"/>
                <w:color w:val="auto"/>
                <w:w w:val="95"/>
              </w:rPr>
              <w:t>The table below presents the activity in restricted stock awards for the first nine months of 2009.</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Weighted-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Average Grant-</w:t>
            </w:r>
          </w:p>
        </w:tc>
      </w:tr>
      <w:tr>
        <w:trPr>
          <w:trHeight w:val="234"/>
        </w:trPr>
        <w:tc>
          <w:tcPr>
            <w:tcW w:w="34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280" w:type="dxa"/>
            <w:vAlign w:val="bottom"/>
          </w:tcPr>
          <w:p>
            <w:pPr>
              <w:spacing w:after="0"/>
              <w:rPr>
                <w:sz w:val="20"/>
                <w:szCs w:val="20"/>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Date Fair Value</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89,498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24.17</w:t>
            </w: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Stock dividend adjustment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3,179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106,000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w:t>
            </w:r>
          </w:p>
        </w:tc>
      </w:tr>
      <w:tr>
        <w:trPr>
          <w:trHeight w:val="216"/>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(28,609)</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25.08</w:t>
            </w:r>
          </w:p>
        </w:tc>
      </w:tr>
      <w:tr>
        <w:trPr>
          <w:trHeight w:val="216"/>
        </w:trPr>
        <w:tc>
          <w:tcPr>
            <w:tcW w:w="34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Outstanding at September 30, 2009</w:t>
            </w: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170,068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12.91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747"/>
        <w:spacing w:after="0" w:line="276" w:lineRule="auto"/>
        <w:rPr>
          <w:sz w:val="20"/>
          <w:szCs w:val="20"/>
          <w:color w:val="auto"/>
        </w:rPr>
      </w:pPr>
      <w:r>
        <w:rPr>
          <w:rFonts w:ascii="Arial" w:cs="Arial" w:eastAsia="Arial" w:hAnsi="Arial"/>
          <w:sz w:val="17"/>
          <w:szCs w:val="17"/>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nine months ended September 30, 2009 and 2008, compensation expense of $659,000 and $695,000, respectively, was recognized related to restricted stock awards. The total intrinsic value of the restricted stock was $850,000 million at September 30, 2009.</w:t>
      </w:r>
    </w:p>
    <w:p>
      <w:pPr>
        <w:spacing w:after="0" w:line="132"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As of September 30, 2009, there was $6.0 million of unrecognized compensation cost related to non-vested stock options and restricted stock awards granted under the plan. That cost is expected to be recognized over a weighted-average period of 1.3 years. The aggregate grant date fair value of options and restricted stock awards that vested during the nine months ended September 30, 2009, was $3.6 million.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Common Stock Issued / Common Stock Issuable</w:t>
      </w:r>
    </w:p>
    <w:p>
      <w:pPr>
        <w:spacing w:after="0" w:line="202"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United provides a Dividend Reinvestment and Share Purchase Plan (“DRIP”) to its shareholders. Under the DRIP, shareholders of record can voluntarily reinvest all or a portion of their cash dividends into shares of United’s common stock, as well as purchase additional stock through the plan with cash.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nine months ended September 30, 2009 and 2008, United issued 256,990 and 233,276 shares, respectively, and increased capital by $1.6 million and $2.8 million, respectively, through these programs.</w:t>
      </w:r>
    </w:p>
    <w:p>
      <w:pPr>
        <w:spacing w:after="0" w:line="137"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September 30, 2009 and 2008 196,818 and 116,567 shares, respectively, were issuable under the deferred compensation plan.</w:t>
      </w:r>
    </w:p>
    <w:p>
      <w:pPr>
        <w:spacing w:after="0" w:line="146"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Late in the third quarter of 2009, United completed a sale of 44,505,000 shares of its common stock at a price of $5.00 per share. The net proceeds of $210.9 million, after deducting the underwriters’ fees and expenses will be used for general corporate purposes. As a result of the stock sale, and pursuant to the terms of the warrant issued to the U.S. Treasury in connection with United’s participation in the U.S. Treasury’s Capital Purchase Program (“CPP”), the number of shares issuable upon exercise of the warrant issued to the U.S. Treasury in connection with the CPP was reduced by 50%, or 1,099,542 shares. The warrant has an exercise price of $12.28 and expires on the tenth anniversary of the date of issuance.</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Securities Available for Sale</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cost basis, unrealized gains and losses, and fair value of securities available for sale at September 30, 2009,</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December 31, 2008 and September 30, 2008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Amortized</w:t>
            </w:r>
          </w:p>
        </w:tc>
        <w:tc>
          <w:tcPr>
            <w:tcW w:w="12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Fair</w:t>
            </w:r>
          </w:p>
        </w:tc>
      </w:tr>
      <w:tr>
        <w:trPr>
          <w:trHeight w:val="234"/>
        </w:trPr>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20"/>
                <w:szCs w:val="20"/>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Value</w:t>
            </w:r>
          </w:p>
        </w:tc>
      </w:tr>
      <w:tr>
        <w:trPr>
          <w:trHeight w:val="210"/>
        </w:trPr>
        <w:tc>
          <w:tcPr>
            <w:tcW w:w="4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2009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44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207,956</w:t>
            </w:r>
          </w:p>
        </w:tc>
        <w:tc>
          <w:tcPr>
            <w:tcW w:w="38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206,847</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52,732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53,852</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1,208,223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41,185</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1,760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1,247,648</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24,167</w:t>
            </w:r>
          </w:p>
        </w:tc>
      </w:tr>
      <w:tr>
        <w:trPr>
          <w:trHeight w:val="20"/>
        </w:trPr>
        <w:tc>
          <w:tcPr>
            <w:tcW w:w="4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400" w:type="dxa"/>
            <w:vAlign w:val="bottom"/>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1,492,210</w:t>
            </w:r>
          </w:p>
        </w:tc>
        <w:tc>
          <w:tcPr>
            <w:tcW w:w="38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43,741</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3,437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1,532,514</w:t>
            </w:r>
          </w:p>
        </w:tc>
      </w:tr>
      <w:tr>
        <w:trPr>
          <w:trHeight w:val="20"/>
        </w:trPr>
        <w:tc>
          <w:tcPr>
            <w:tcW w:w="4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44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166,263</w:t>
            </w:r>
          </w:p>
        </w:tc>
        <w:tc>
          <w:tcPr>
            <w:tcW w:w="38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2,122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168,385</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43,649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43,740</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1,363,513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26,356</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10,713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1,379,156</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25,906</w:t>
            </w:r>
          </w:p>
        </w:tc>
      </w:tr>
      <w:tr>
        <w:trPr>
          <w:trHeight w:val="20"/>
        </w:trPr>
        <w:tc>
          <w:tcPr>
            <w:tcW w:w="4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400" w:type="dxa"/>
            <w:vAlign w:val="bottom"/>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1,599,505</w:t>
            </w:r>
          </w:p>
        </w:tc>
        <w:tc>
          <w:tcPr>
            <w:tcW w:w="38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29,026</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11,344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1,617,187</w:t>
            </w:r>
          </w:p>
        </w:tc>
      </w:tr>
      <w:tr>
        <w:trPr>
          <w:trHeight w:val="20"/>
        </w:trPr>
        <w:tc>
          <w:tcPr>
            <w:tcW w:w="4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2008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44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171,048</w:t>
            </w:r>
          </w:p>
        </w:tc>
        <w:tc>
          <w:tcPr>
            <w:tcW w:w="38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170,943</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38,875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39,170</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1,180,341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9,958</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10,124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1,180,175</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10,539</w:t>
            </w:r>
          </w:p>
        </w:tc>
      </w:tr>
      <w:tr>
        <w:trPr>
          <w:trHeight w:val="20"/>
        </w:trPr>
        <w:tc>
          <w:tcPr>
            <w:tcW w:w="4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400" w:type="dxa"/>
            <w:vAlign w:val="bottom"/>
          </w:tcPr>
          <w:p>
            <w:pPr>
              <w:ind w:left="40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1,400,869</w:t>
            </w:r>
          </w:p>
        </w:tc>
        <w:tc>
          <w:tcPr>
            <w:tcW w:w="38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10,969</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11,011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1,400,827</w:t>
            </w:r>
          </w:p>
        </w:tc>
      </w:tr>
      <w:tr>
        <w:trPr>
          <w:trHeight w:val="20"/>
        </w:trPr>
        <w:tc>
          <w:tcPr>
            <w:tcW w:w="4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 xml:space="preserve">The following table summarizes securities in an unrealized loss position as of September 30, 2009, December 31, 2008 and September 30, 2008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ind w:left="40"/>
              <w:spacing w:after="0"/>
              <w:rPr>
                <w:sz w:val="20"/>
                <w:szCs w:val="20"/>
                <w:color w:val="auto"/>
              </w:rPr>
            </w:pPr>
            <w:r>
              <w:rPr>
                <w:rFonts w:ascii="Arial" w:cs="Arial" w:eastAsia="Arial" w:hAnsi="Arial"/>
                <w:sz w:val="18"/>
                <w:szCs w:val="18"/>
                <w:b w:val="1"/>
                <w:bCs w:val="1"/>
                <w:color w:val="auto"/>
              </w:rPr>
              <w:t>Less than 12 Months</w:t>
            </w:r>
          </w:p>
        </w:tc>
        <w:tc>
          <w:tcPr>
            <w:tcW w:w="180" w:type="dxa"/>
            <w:vAlign w:val="bottom"/>
          </w:tcPr>
          <w:p>
            <w:pPr>
              <w:spacing w:after="0"/>
              <w:rPr>
                <w:sz w:val="20"/>
                <w:szCs w:val="20"/>
                <w:color w:val="auto"/>
              </w:rPr>
            </w:pPr>
          </w:p>
        </w:tc>
        <w:tc>
          <w:tcPr>
            <w:tcW w:w="21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6"/>
              </w:rPr>
              <w:t>12 Months or More</w:t>
            </w:r>
          </w:p>
        </w:tc>
        <w:tc>
          <w:tcPr>
            <w:tcW w:w="160" w:type="dxa"/>
            <w:vAlign w:val="bottom"/>
          </w:tcPr>
          <w:p>
            <w:pPr>
              <w:spacing w:after="0"/>
              <w:rPr>
                <w:sz w:val="20"/>
                <w:szCs w:val="20"/>
                <w:color w:val="auto"/>
              </w:rPr>
            </w:pPr>
          </w:p>
        </w:tc>
        <w:tc>
          <w:tcPr>
            <w:tcW w:w="1140" w:type="dxa"/>
            <w:vAlign w:val="bottom"/>
            <w:gridSpan w:val="3"/>
          </w:tcPr>
          <w:p>
            <w:pPr>
              <w:ind w:left="620"/>
              <w:spacing w:after="0"/>
              <w:rPr>
                <w:sz w:val="20"/>
                <w:szCs w:val="20"/>
                <w:color w:val="auto"/>
              </w:rPr>
            </w:pPr>
            <w:r>
              <w:rPr>
                <w:rFonts w:ascii="Arial" w:cs="Arial" w:eastAsia="Arial" w:hAnsi="Arial"/>
                <w:sz w:val="18"/>
                <w:szCs w:val="18"/>
                <w:b w:val="1"/>
                <w:bCs w:val="1"/>
                <w:color w:val="auto"/>
              </w:rPr>
              <w:t>Total</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90"/>
              </w:rPr>
              <w:t>Unrealized</w:t>
            </w: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Unrealized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Loss</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Loss</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Loss</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2009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129,108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1,518</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129,108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3,606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26,267</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73,034</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1,260</w:t>
            </w: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99,301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70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156,364</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77,120</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233,484</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9,672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369</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9,686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215,396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10,210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11,719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227,115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5,228</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230,296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242,029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As of September 30, 2008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137,492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137,492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7,395</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7,409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478,379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9,650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12,176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490,555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4,779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628,045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640,235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11,011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92" w:gutter="0" w:footer="0" w:header="0"/>
        </w:sect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2"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Management believes that there were no unrealized losses as of September 30, 2009, December 31, 2008 and September 30, 2008 that represented an other-than-temporary impairment. Unrealized losses were primarily attributable to changes in interest rates, and United has both the intent and ability to hold the securities for a time necessary to recover the amortized cost.</w:t>
      </w:r>
    </w:p>
    <w:p>
      <w:pPr>
        <w:spacing w:after="0" w:line="160"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7"/>
          <w:szCs w:val="17"/>
          <w:color w:val="auto"/>
        </w:rPr>
        <w:t xml:space="preserve">The amortized cost and fair value of the investment securities at September 30, 2009, by contractual maturity, are presented in the following table </w:t>
      </w:r>
      <w:r>
        <w:rPr>
          <w:rFonts w:ascii="Arial" w:cs="Arial" w:eastAsia="Arial" w:hAnsi="Arial"/>
          <w:sz w:val="17"/>
          <w:szCs w:val="17"/>
          <w:i w:val="1"/>
          <w:iCs w:val="1"/>
          <w:color w:val="auto"/>
        </w:rPr>
        <w:t>(in thousands)</w:t>
      </w:r>
      <w:r>
        <w:rPr>
          <w:rFonts w:ascii="Arial" w:cs="Arial" w:eastAsia="Arial" w:hAnsi="Arial"/>
          <w:sz w:val="17"/>
          <w:szCs w:val="17"/>
          <w:color w:val="auto"/>
        </w:rPr>
        <w:t>. Expected maturities may differ from contractual maturities because issuers and borrowers may have the right to call or prepay obligations with or without call or prepayment penalties.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7"/>
              </w:rPr>
              <w:t>Fair Value</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44,995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44,983</w:t>
            </w: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138,062</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137,747</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24,117</w:t>
            </w:r>
          </w:p>
        </w:tc>
      </w:tr>
      <w:tr>
        <w:trPr>
          <w:trHeight w:val="223"/>
        </w:trPr>
        <w:tc>
          <w:tcPr>
            <w:tcW w:w="67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207,956</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206,847</w:t>
            </w:r>
          </w:p>
        </w:tc>
        <w:tc>
          <w:tcPr>
            <w:tcW w:w="80" w:type="dxa"/>
            <w:vAlign w:val="bottom"/>
          </w:tcPr>
          <w:p>
            <w:pPr>
              <w:spacing w:after="0"/>
              <w:rPr>
                <w:sz w:val="19"/>
                <w:szCs w:val="19"/>
                <w:color w:val="auto"/>
              </w:rPr>
            </w:pPr>
          </w:p>
        </w:tc>
      </w:tr>
      <w:tr>
        <w:trPr>
          <w:trHeight w:val="223"/>
        </w:trPr>
        <w:tc>
          <w:tcPr>
            <w:tcW w:w="6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3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18,656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18,796</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15,372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15,769</w:t>
            </w: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9,671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9,949</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9,033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9,338</w:t>
            </w:r>
          </w:p>
        </w:tc>
      </w:tr>
      <w:tr>
        <w:trPr>
          <w:trHeight w:val="223"/>
        </w:trPr>
        <w:tc>
          <w:tcPr>
            <w:tcW w:w="67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52,732</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53,852</w:t>
            </w:r>
          </w:p>
        </w:tc>
        <w:tc>
          <w:tcPr>
            <w:tcW w:w="80" w:type="dxa"/>
            <w:vAlign w:val="bottom"/>
          </w:tcPr>
          <w:p>
            <w:pPr>
              <w:spacing w:after="0"/>
              <w:rPr>
                <w:sz w:val="19"/>
                <w:szCs w:val="19"/>
                <w:color w:val="auto"/>
              </w:rPr>
            </w:pPr>
          </w:p>
        </w:tc>
      </w:tr>
      <w:tr>
        <w:trPr>
          <w:trHeight w:val="223"/>
        </w:trPr>
        <w:tc>
          <w:tcPr>
            <w:tcW w:w="6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3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10,900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11,082</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7,826</w:t>
            </w: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4,259</w:t>
            </w:r>
          </w:p>
        </w:tc>
      </w:tr>
      <w:tr>
        <w:trPr>
          <w:trHeight w:val="223"/>
        </w:trPr>
        <w:tc>
          <w:tcPr>
            <w:tcW w:w="67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23,299</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24,167</w:t>
            </w:r>
          </w:p>
        </w:tc>
        <w:tc>
          <w:tcPr>
            <w:tcW w:w="80" w:type="dxa"/>
            <w:vAlign w:val="bottom"/>
          </w:tcPr>
          <w:p>
            <w:pPr>
              <w:spacing w:after="0"/>
              <w:rPr>
                <w:sz w:val="19"/>
                <w:szCs w:val="19"/>
                <w:color w:val="auto"/>
              </w:rPr>
            </w:pPr>
          </w:p>
        </w:tc>
      </w:tr>
      <w:tr>
        <w:trPr>
          <w:trHeight w:val="223"/>
        </w:trPr>
        <w:tc>
          <w:tcPr>
            <w:tcW w:w="6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3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29,556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29,878</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67,967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68,578</w:t>
            </w:r>
          </w:p>
        </w:tc>
      </w:tr>
      <w:tr>
        <w:trPr>
          <w:trHeight w:val="216"/>
        </w:trPr>
        <w:tc>
          <w:tcPr>
            <w:tcW w:w="674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148,733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148,696</w:t>
            </w:r>
          </w:p>
        </w:tc>
      </w:tr>
      <w:tr>
        <w:trPr>
          <w:trHeight w:val="216"/>
        </w:trPr>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37,731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37,714</w:t>
            </w: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0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1,208,223</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1,247,648</w:t>
            </w:r>
          </w:p>
        </w:tc>
      </w:tr>
      <w:tr>
        <w:trPr>
          <w:trHeight w:val="223"/>
        </w:trPr>
        <w:tc>
          <w:tcPr>
            <w:tcW w:w="67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1,492,210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1,532,514</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At September 30, 2009, securities with a carrying amount of $1.5 billion were pledged to secure public deposits, FHLB advances and other secured borrowings.</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summarizes securities sales activity for the three month and nine month periods ended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September 30, 2009 and 2008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266,953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281,970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84,955</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400" w:type="dxa"/>
            <w:vAlign w:val="bottom"/>
          </w:tcPr>
          <w:p>
            <w:pPr>
              <w:spacing w:after="0"/>
              <w:rPr>
                <w:sz w:val="20"/>
                <w:szCs w:val="20"/>
                <w:color w:val="auto"/>
              </w:rPr>
            </w:pPr>
            <w:r>
              <w:rPr>
                <w:rFonts w:ascii="Arial" w:cs="Arial" w:eastAsia="Arial" w:hAnsi="Arial"/>
                <w:sz w:val="18"/>
                <w:szCs w:val="18"/>
                <w:color w:val="auto"/>
              </w:rPr>
              <w:t>Gross gains on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2,704</w:t>
            </w:r>
          </w:p>
        </w:tc>
        <w:tc>
          <w:tcPr>
            <w:tcW w:w="38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3,040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gains (losses) on sales of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400" w:type="dxa"/>
            <w:vAlign w:val="bottom"/>
          </w:tcPr>
          <w:p>
            <w:pPr>
              <w:spacing w:after="0"/>
              <w:rPr>
                <w:sz w:val="20"/>
                <w:szCs w:val="20"/>
                <w:color w:val="auto"/>
              </w:rPr>
            </w:pPr>
            <w:r>
              <w:rPr>
                <w:rFonts w:ascii="Arial" w:cs="Arial" w:eastAsia="Arial" w:hAnsi="Arial"/>
                <w:sz w:val="18"/>
                <w:szCs w:val="18"/>
                <w:color w:val="auto"/>
              </w:rPr>
              <w:t>Income tax expense (benefit) attributable to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447</w:t>
            </w:r>
          </w:p>
        </w:tc>
        <w:tc>
          <w:tcPr>
            <w:tcW w:w="38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During the third quarter and first nine months of 2009, United recognized impairment losses of $475,000 and $1.2 million, respectively, on investments in financial institutions that failed or otherwise showed evidence of other than temporary impairment. Realized gains and losses are derived using the specific identification method for determining the cost of the securities sold.</w:t>
      </w:r>
    </w:p>
    <w:p>
      <w:pPr>
        <w:sectPr>
          <w:pgSz w:w="11900" w:h="16838" w:orient="portrait"/>
          <w:cols w:equalWidth="0" w:num="1">
            <w:col w:w="10219"/>
          </w:cols>
          <w:pgMar w:left="240" w:top="419" w:right="1440" w:bottom="204"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204"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Loans and Allowance for Loan Losses</w:t>
      </w:r>
    </w:p>
    <w:p>
      <w:pPr>
        <w:spacing w:after="0" w:line="202"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 xml:space="preserve">Major classifications of loans at September 30, 2009, December 31, 2008 and September 30, 2008,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5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1,787,444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1,626,966</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1,603,651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379,782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499,663</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508,832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402,609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410,529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425,052</w:t>
            </w:r>
          </w:p>
        </w:tc>
      </w:tr>
      <w:tr>
        <w:trPr>
          <w:trHeight w:val="223"/>
        </w:trPr>
        <w:tc>
          <w:tcPr>
            <w:tcW w:w="534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2,569,835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2,537,158</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2,537,535</w:t>
            </w:r>
          </w:p>
        </w:tc>
        <w:tc>
          <w:tcPr>
            <w:tcW w:w="8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1,184,916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1,478,679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1,595,981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1,460,917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1,526,388</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1,528,499</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147,021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162,636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167,922</w:t>
            </w:r>
          </w:p>
        </w:tc>
      </w:tr>
      <w:tr>
        <w:trPr>
          <w:trHeight w:val="223"/>
        </w:trPr>
        <w:tc>
          <w:tcPr>
            <w:tcW w:w="534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5,362,689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5,704,861</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5,829,937</w:t>
            </w:r>
          </w:p>
        </w:tc>
        <w:tc>
          <w:tcPr>
            <w:tcW w:w="8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150,187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122,271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111,299</w:t>
            </w:r>
          </w:p>
        </w:tc>
      </w:tr>
      <w:tr>
        <w:trPr>
          <w:trHeight w:val="223"/>
        </w:trPr>
        <w:tc>
          <w:tcPr>
            <w:tcW w:w="534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5,212,502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5,582,590</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5,718,638</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The Bank grants loans and extensions of credit to individuals and a variety of firms and corporations located primarily in counties in north Georgia, the Atlanta MSA, the Gainesville MSA,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146"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At September 30, 2009, December 31, 2008 and September 30, 2008 there were $238.2 million, $142.3 million and $94.0 million, respectively, of loans classified as impaired. Of these, $203.8 million, $92.6 million and $42.4 million, respectively, did not have a specific reserve allocated. The $203.8 million of impaired loans with no allocated allowance at September 30, 2009 had either been previously written down ($100.3 million in charge-offs) to net realizable value or had sufficient collateral so that no allowance was required. At September 30, 2009 $34.4 million had specific reserves allocated totaling $8.2 million. At December 31, 2008, $49.7 million had specific reserves allocated totaling $15.7 million. At September 30, 2008, $51.6 million had specific reserves allocated totaling $17.2 million. The average recorded investment in impaired loans for the quarters ended September 30, 2009 and 2008 was $244.1 million and $100.6 million, respectively. There was no interest revenue recognized on loans while they were impaired for the first nine months of 2009. Interest revenue recognized on loans while they were impaired for the first nine months of 2008 was $598,000.</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Changes in the allowance for loan losses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145,678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91,035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122,271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89,423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76,000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220,000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99,000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2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10,584</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17,438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1,379</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5,191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3,094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9,279</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1,759</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67,916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150,528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65,467</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5,132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3,359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11,832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7,031</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2,138</w:t>
            </w: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92,572</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55,972</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197,641</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78,124</w:t>
            </w:r>
          </w:p>
        </w:tc>
        <w:tc>
          <w:tcPr>
            <w:tcW w:w="8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3,507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w:t>
            </w: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w:t>
            </w: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charge-offs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90,491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55,736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192,084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77,124</w:t>
            </w:r>
          </w:p>
        </w:tc>
      </w:tr>
      <w:tr>
        <w:trPr>
          <w:trHeight w:val="223"/>
        </w:trPr>
        <w:tc>
          <w:tcPr>
            <w:tcW w:w="4400" w:type="dxa"/>
            <w:vAlign w:val="bottom"/>
          </w:tcPr>
          <w:p>
            <w:pPr>
              <w:ind w:left="40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111,299</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150,187</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111,299</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Earnings Per Share</w:t>
      </w:r>
    </w:p>
    <w:p>
      <w:pPr>
        <w:spacing w:after="0" w:line="202" w:lineRule="exact"/>
        <w:rPr>
          <w:sz w:val="20"/>
          <w:szCs w:val="20"/>
          <w:color w:val="auto"/>
        </w:rPr>
      </w:pPr>
    </w:p>
    <w:p>
      <w:pPr>
        <w:jc w:val="both"/>
        <w:ind w:left="340" w:right="1760" w:firstLine="747"/>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2009 and 2008</w:t>
      </w:r>
      <w:r>
        <w:rPr>
          <w:rFonts w:ascii="Arial" w:cs="Arial" w:eastAsia="Arial" w:hAnsi="Arial"/>
          <w:sz w:val="18"/>
          <w:szCs w:val="18"/>
          <w:i w:val="1"/>
          <w:iCs w:val="1"/>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(71,280)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(196,167)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49,771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48,968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47,210</w:t>
            </w: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Warrants attached to trust preferred securities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 granted with Series B preferred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49,771</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47,417</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(4.01)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Subsequent Events</w:t>
      </w:r>
    </w:p>
    <w:p>
      <w:pPr>
        <w:spacing w:after="0" w:line="202" w:lineRule="exact"/>
        <w:rPr>
          <w:sz w:val="20"/>
          <w:szCs w:val="20"/>
          <w:color w:val="auto"/>
        </w:rPr>
      </w:pPr>
    </w:p>
    <w:p>
      <w:pPr>
        <w:jc w:val="both"/>
        <w:ind w:left="340" w:right="1760" w:firstLine="747"/>
        <w:spacing w:after="0" w:line="312" w:lineRule="auto"/>
        <w:rPr>
          <w:sz w:val="20"/>
          <w:szCs w:val="20"/>
          <w:color w:val="auto"/>
        </w:rPr>
      </w:pPr>
      <w:r>
        <w:rPr>
          <w:rFonts w:ascii="Arial" w:cs="Arial" w:eastAsia="Arial" w:hAnsi="Arial"/>
          <w:sz w:val="16"/>
          <w:szCs w:val="16"/>
          <w:color w:val="auto"/>
        </w:rPr>
        <w:t>United performed an evaluation of subsequent events through November 3, 2009, the date upon which United’s quarterly report on Form 10-Q was filed with the Securities and Exchange Commission. No subsequent events were identified that would have required a change to the financial statements or disclosure in the notes to the financial statements.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Assets and Liabilities Measured at Fair Value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02" w:lineRule="exact"/>
        <w:rPr>
          <w:sz w:val="20"/>
          <w:szCs w:val="20"/>
          <w:color w:val="auto"/>
        </w:rPr>
      </w:pPr>
    </w:p>
    <w:p>
      <w:pPr>
        <w:jc w:val="both"/>
        <w:ind w:left="340" w:right="1760" w:firstLine="747"/>
        <w:spacing w:after="0" w:line="277" w:lineRule="auto"/>
        <w:rPr>
          <w:sz w:val="20"/>
          <w:szCs w:val="20"/>
          <w:color w:val="auto"/>
        </w:rPr>
      </w:pPr>
      <w:r>
        <w:rPr>
          <w:rFonts w:ascii="Arial" w:cs="Arial" w:eastAsia="Arial" w:hAnsi="Arial"/>
          <w:sz w:val="18"/>
          <w:szCs w:val="18"/>
          <w:color w:val="auto"/>
        </w:rPr>
        <w:t>The table below presents United’s assets and liabilities measured at fair value on a recurring basis as of September 30, 2009, aggregated by the level in the fair value hierarchy within which those measurements fall.</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Balance at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Level 2</w:t>
            </w:r>
          </w:p>
        </w:tc>
        <w:tc>
          <w:tcPr>
            <w:tcW w:w="14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Level 3</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2"/>
              </w:rPr>
              <w:t>September 30, 2009</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1,520,569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11,945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1,532,514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14,430</w:t>
            </w:r>
          </w:p>
        </w:tc>
        <w:tc>
          <w:tcPr>
            <w:tcW w:w="1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14,430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1,534,999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11,945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1,551,478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4,534</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4,534</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02"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United may be required, from time to time, to measure certain assets at fair value on a nonrecurring basis in accordance with GAAP. These include assets that are measured at the lower of cost or market that were recognized at fair value below cost at the end of the period. The table below presents United’s assets and liabilities measured at fair value on a nonrecurring basis as of September 30, 2009, aggregated by the level in the fair value hierarchy within which those measurements fall.</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2"/>
              </w:rPr>
              <w:t>September 30, 2009</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0"/>
              <w:spacing w:after="0"/>
              <w:rPr>
                <w:sz w:val="20"/>
                <w:szCs w:val="20"/>
                <w:color w:val="auto"/>
              </w:rPr>
            </w:pPr>
            <w:r>
              <w:rPr>
                <w:rFonts w:ascii="Arial" w:cs="Arial" w:eastAsia="Arial" w:hAnsi="Arial"/>
                <w:sz w:val="18"/>
                <w:szCs w:val="18"/>
                <w:color w:val="auto"/>
              </w:rPr>
              <w:t>Loans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181,015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181,015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Foreclosed assets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86,543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86,543</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210,590</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210,590</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478,148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478,148</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Assets and Liabilities Not Measured at Fair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37" w:lineRule="exact"/>
        <w:rPr>
          <w:sz w:val="20"/>
          <w:szCs w:val="20"/>
          <w:color w:val="auto"/>
        </w:rPr>
      </w:pPr>
    </w:p>
    <w:p>
      <w:pPr>
        <w:jc w:val="both"/>
        <w:ind w:left="340" w:right="559" w:firstLine="747"/>
        <w:spacing w:after="0" w:line="297" w:lineRule="auto"/>
        <w:rPr>
          <w:sz w:val="20"/>
          <w:szCs w:val="20"/>
          <w:color w:val="auto"/>
        </w:rPr>
      </w:pPr>
      <w:r>
        <w:rPr>
          <w:rFonts w:ascii="Arial" w:cs="Arial" w:eastAsia="Arial" w:hAnsi="Arial"/>
          <w:sz w:val="16"/>
          <w:szCs w:val="16"/>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 As of September 30, 2009 the fair value of interest rate contracts used for balance sheet management was an asset of approximately $14.4 million.</w:t>
      </w:r>
    </w:p>
    <w:p>
      <w:pPr>
        <w:spacing w:after="0" w:line="118"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66"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significant effect on fair value estimates and have not been considered in the estimates.</w:t>
      </w:r>
    </w:p>
    <w:p>
      <w:pPr>
        <w:spacing w:after="0" w:line="153"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41"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in United’s balance sheet at September 30, 2009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32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September 30, 2009</w:t>
            </w:r>
          </w:p>
        </w:tc>
      </w:tr>
      <w:tr>
        <w:trPr>
          <w:trHeight w:val="191"/>
        </w:trPr>
        <w:tc>
          <w:tcPr>
            <w:tcW w:w="7000" w:type="dxa"/>
            <w:vAlign w:val="bottom"/>
          </w:tcPr>
          <w:p>
            <w:pPr>
              <w:spacing w:after="0"/>
              <w:rPr>
                <w:sz w:val="16"/>
                <w:szCs w:val="16"/>
                <w:color w:val="auto"/>
              </w:rPr>
            </w:pPr>
          </w:p>
        </w:tc>
        <w:tc>
          <w:tcPr>
            <w:tcW w:w="132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Carrying</w:t>
            </w: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700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Fair Value</w:t>
            </w: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5,212,502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4,833,533</w:t>
            </w:r>
          </w:p>
        </w:tc>
      </w:tr>
      <w:tr>
        <w:trPr>
          <w:trHeight w:val="202"/>
        </w:trPr>
        <w:tc>
          <w:tcPr>
            <w:tcW w:w="7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6,821,306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6,865,338</w:t>
            </w:r>
          </w:p>
        </w:tc>
      </w:tr>
      <w:tr>
        <w:trPr>
          <w:trHeight w:val="216"/>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Home Loan Bank advances</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314,704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320,991</w:t>
            </w: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150,046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105,025</w:t>
            </w:r>
          </w:p>
        </w:tc>
      </w:tr>
    </w:tbl>
    <w:p>
      <w:pPr>
        <w:spacing w:after="0" w:line="200" w:lineRule="exact"/>
        <w:rPr>
          <w:sz w:val="20"/>
          <w:szCs w:val="20"/>
          <w:color w:val="auto"/>
        </w:rPr>
      </w:pPr>
    </w:p>
    <w:p>
      <w:pPr>
        <w:sectPr>
          <w:pgSz w:w="11900" w:h="16838" w:orient="portrait"/>
          <w:cols w:equalWidth="0" w:num="1">
            <w:col w:w="10219"/>
          </w:cols>
          <w:pgMar w:left="240" w:top="419" w:right="1440" w:bottom="514" w:gutter="0" w:footer="0" w:header="0"/>
        </w:sect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14"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Stock Dividend</w:t>
      </w:r>
    </w:p>
    <w:p>
      <w:pPr>
        <w:spacing w:after="0" w:line="202"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During the first, second and third quarters of 2009 and the third quarter of 2008, United declared a quarterly stock dividend at a rate of 1 new share for every 130 shares owned. The stock dividends have been reflected in the financial statements as an issuance of stock with no proceeds rather than a stock split and therefore prior period numbers of shares outstanding have not been adjusted. The amounts of $51,000 and $40,000 for the first nine months of 2009 and 2008, respectively, shown in the consolidated statement of changes in shareholders’ equity as a reduction of capital related to the stock dividend is the amount of cash paid to shareholders for fractional shares.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 Derivatives and Hedging Activities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202" w:lineRule="exact"/>
        <w:rPr>
          <w:sz w:val="20"/>
          <w:szCs w:val="20"/>
          <w:color w:val="auto"/>
        </w:rPr>
      </w:pPr>
    </w:p>
    <w:p>
      <w:pPr>
        <w:jc w:val="both"/>
        <w:ind w:left="340" w:right="559" w:firstLine="747"/>
        <w:spacing w:after="0" w:line="290" w:lineRule="auto"/>
        <w:rPr>
          <w:sz w:val="20"/>
          <w:szCs w:val="20"/>
          <w:color w:val="auto"/>
        </w:rPr>
      </w:pPr>
      <w:r>
        <w:rPr>
          <w:rFonts w:ascii="Arial" w:cs="Arial" w:eastAsia="Arial" w:hAnsi="Arial"/>
          <w:sz w:val="16"/>
          <w:szCs w:val="16"/>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126"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The table below presents the fair value of United’s derivative financial instruments as well as their classification on the balance sheet as of September 30, 2009, December 31, 2008 and September 30, 2008.</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Derivatives designated as hedging instruments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Interest Rate</w:t>
            </w:r>
          </w:p>
        </w:tc>
        <w:tc>
          <w:tcPr>
            <w:tcW w:w="240" w:type="dxa"/>
            <w:vAlign w:val="bottom"/>
          </w:tcPr>
          <w:p>
            <w:pPr>
              <w:spacing w:after="0"/>
              <w:rPr>
                <w:sz w:val="20"/>
                <w:szCs w:val="20"/>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Balance Sheet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5"/>
              </w:rPr>
              <w:t>Fair Value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3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December 31,</w:t>
            </w:r>
          </w:p>
        </w:tc>
        <w:tc>
          <w:tcPr>
            <w:tcW w:w="110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6"/>
              </w:rPr>
              <w:t>September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24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Location</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81,612</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31,672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80" w:type="dxa"/>
            <w:vAlign w:val="bottom"/>
          </w:tcPr>
          <w:p>
            <w:pPr>
              <w:spacing w:after="0"/>
              <w:rPr>
                <w:sz w:val="20"/>
                <w:szCs w:val="20"/>
                <w:color w:val="auto"/>
              </w:rPr>
            </w:pPr>
            <w:r>
              <w:rPr>
                <w:rFonts w:ascii="Arial" w:cs="Arial" w:eastAsia="Arial" w:hAnsi="Arial"/>
                <w:sz w:val="18"/>
                <w:szCs w:val="18"/>
                <w:color w:val="auto"/>
              </w:rPr>
              <w:t>Liability derivatives</w:t>
            </w:r>
          </w:p>
        </w:tc>
        <w:tc>
          <w:tcPr>
            <w:tcW w:w="24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Cash Flow Hedges of Interest Rate Risk</w:t>
            </w: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firstLine="747"/>
        <w:spacing w:after="0" w:line="253" w:lineRule="auto"/>
        <w:rPr>
          <w:sz w:val="20"/>
          <w:szCs w:val="20"/>
          <w:color w:val="auto"/>
        </w:rPr>
      </w:pPr>
      <w:r>
        <w:rPr>
          <w:rFonts w:ascii="Arial" w:cs="Arial" w:eastAsia="Arial" w:hAnsi="Arial"/>
          <w:sz w:val="18"/>
          <w:szCs w:val="18"/>
          <w:color w:val="auto"/>
        </w:rPr>
        <w:t>United’s objectives in using interest rate derivatives are to add stability to interest revenue and to manage its exposure to interest rate movements. To accomplish this objective, United primarily uses interest rate swaps and floors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As of September 30, 2009, United had 2 interest rate swaps with an aggregate notional amount of $100 million and 2 interest rate floors with an aggregate notional amount of $175 million that were designated as cash flow hedges of interest rate risk.</w:t>
      </w:r>
    </w:p>
    <w:p>
      <w:pPr>
        <w:spacing w:after="0" w:line="157"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During 2009 and 2008, such derivatives were used to hedge the variable cash flows associated with existing prime-based, variable-rate loans. The ineffective portion of the change in fair value of the derivatives is recognized directly in earnings. During the nine months ended September 30, 2009 $3,000 in hedge ineffectiveness was recognized in other operating expense and during the nine months ended September 30, 2008 no hedge ineffectiveness was recognized on derivative financial instruments designated as cash flow hedges.</w:t>
      </w:r>
    </w:p>
    <w:p>
      <w:pPr>
        <w:spacing w:after="0" w:line="151"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7"/>
          <w:szCs w:val="17"/>
          <w:color w:val="auto"/>
        </w:rPr>
        <w:t>Amounts reported in accumulated other comprehensive income related to derivatives will be reclassified to interest revenue as interest payments are received on United’s prime-based, variable-rate loans. During the next twelve months, United estimates that an additional $22.3 million will be reclassified as an increase to interest revenue.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02"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As of September 30, 2009, United had three interest rate swaps with an aggregate notional amount of $195 million that were designated as fair value hedges of interest rate risk.</w:t>
      </w:r>
    </w:p>
    <w:p>
      <w:pPr>
        <w:spacing w:after="0" w:line="124" w:lineRule="exact"/>
        <w:rPr>
          <w:sz w:val="20"/>
          <w:szCs w:val="20"/>
          <w:color w:val="auto"/>
        </w:rPr>
      </w:pPr>
    </w:p>
    <w:p>
      <w:pPr>
        <w:jc w:val="both"/>
        <w:ind w:left="340" w:right="559" w:firstLine="747"/>
        <w:spacing w:after="0" w:line="289"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months ended September 30, 2009 and 2008, United recognized a loss of $145,000 and $316,000, respectively, related to ineffectiveness of the fair value hedging relationships. During the nine months ended September 30, 2009 and 2008, United recognized net losses of $427,000 and $318,000, respectively, related to ineffectiveness of the fair value hedging relationships. United also recognized a net reduction of interest expense of $1.4 million and $495,000 for the three months ended September 30, 2009 and 2008, respectively, and $4.8 million and $1.4 million for the nine months ended September 30, 2009 and 2008, respectively, related to United’s fair value hedges which includes net settlements on the derivatives.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02"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Income for the three and nine months ended September 30, 2009 and September 30, 2008.</w:t>
      </w:r>
    </w:p>
    <w:p>
      <w:pPr>
        <w:spacing w:after="0" w:line="1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Derivatives in Fair Value Hedging Relationships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Location of Gain (Loss)</w:t>
            </w:r>
          </w:p>
        </w:tc>
        <w:tc>
          <w:tcPr>
            <w:tcW w:w="3100" w:type="dxa"/>
            <w:vAlign w:val="bottom"/>
            <w:gridSpan w:val="6"/>
          </w:tcPr>
          <w:p>
            <w:pPr>
              <w:spacing w:after="0"/>
              <w:rPr>
                <w:sz w:val="20"/>
                <w:szCs w:val="20"/>
                <w:color w:val="auto"/>
              </w:rPr>
            </w:pPr>
            <w:r>
              <w:rPr>
                <w:rFonts w:ascii="Arial" w:cs="Arial" w:eastAsia="Arial" w:hAnsi="Arial"/>
                <w:sz w:val="18"/>
                <w:szCs w:val="18"/>
                <w:b w:val="1"/>
                <w:bCs w:val="1"/>
                <w:color w:val="auto"/>
                <w:w w:val="95"/>
              </w:rPr>
              <w:t>Amount of Gain (Loss) Recognized in</w:t>
            </w:r>
          </w:p>
        </w:tc>
        <w:tc>
          <w:tcPr>
            <w:tcW w:w="2920" w:type="dxa"/>
            <w:vAlign w:val="bottom"/>
            <w:gridSpan w:val="6"/>
          </w:tcPr>
          <w:p>
            <w:pPr>
              <w:spacing w:after="0"/>
              <w:rPr>
                <w:sz w:val="20"/>
                <w:szCs w:val="20"/>
                <w:color w:val="auto"/>
              </w:rPr>
            </w:pPr>
            <w:r>
              <w:rPr>
                <w:rFonts w:ascii="Arial" w:cs="Arial" w:eastAsia="Arial" w:hAnsi="Arial"/>
                <w:sz w:val="18"/>
                <w:szCs w:val="18"/>
                <w:b w:val="1"/>
                <w:bCs w:val="1"/>
                <w:color w:val="auto"/>
                <w:w w:val="90"/>
              </w:rPr>
              <w:t>Amount of Gain (Loss) Recognized in</w:t>
            </w:r>
          </w:p>
        </w:tc>
      </w:t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Recognized in Income</w:t>
            </w:r>
          </w:p>
        </w:tc>
        <w:tc>
          <w:tcPr>
            <w:tcW w:w="260" w:type="dxa"/>
            <w:vAlign w:val="bottom"/>
          </w:tcPr>
          <w:p>
            <w:pPr>
              <w:spacing w:after="0"/>
              <w:rPr>
                <w:sz w:val="20"/>
                <w:szCs w:val="20"/>
                <w:color w:val="auto"/>
              </w:rPr>
            </w:pPr>
          </w:p>
        </w:tc>
        <w:tc>
          <w:tcPr>
            <w:tcW w:w="28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Income on Derivative</w:t>
            </w:r>
          </w:p>
        </w:tc>
        <w:tc>
          <w:tcPr>
            <w:tcW w:w="260" w:type="dxa"/>
            <w:vAlign w:val="bottom"/>
          </w:tcPr>
          <w:p>
            <w:pPr>
              <w:spacing w:after="0"/>
              <w:rPr>
                <w:sz w:val="20"/>
                <w:szCs w:val="20"/>
                <w:color w:val="auto"/>
              </w:rPr>
            </w:pPr>
          </w:p>
        </w:tc>
        <w:tc>
          <w:tcPr>
            <w:tcW w:w="26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Income on Hedged Item</w:t>
            </w: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on Derivative</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3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(501)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(1,120)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355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803</w:t>
            </w:r>
          </w:p>
        </w:tc>
      </w:tr>
      <w:tr>
        <w:trPr>
          <w:trHeight w:val="202"/>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(259)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431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854</w:t>
            </w:r>
          </w:p>
        </w:tc>
      </w:tr>
    </w:tbl>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Derivatives in Cash Flow Hedging Relationships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Amount of Gain (Loss)</w:t>
            </w: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Location of Gain (Loss)</w:t>
            </w:r>
          </w:p>
        </w:tc>
        <w:tc>
          <w:tcPr>
            <w:tcW w:w="200" w:type="dxa"/>
            <w:vAlign w:val="bottom"/>
          </w:tcPr>
          <w:p>
            <w:pPr>
              <w:spacing w:after="0"/>
              <w:rPr>
                <w:sz w:val="18"/>
                <w:szCs w:val="18"/>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Amount of Gain (Loss)</w:t>
            </w: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Recognized in Other</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Reclassified from</w:t>
            </w:r>
          </w:p>
        </w:tc>
        <w:tc>
          <w:tcPr>
            <w:tcW w:w="2420" w:type="dxa"/>
            <w:vAlign w:val="bottom"/>
            <w:gridSpan w:val="6"/>
          </w:tcPr>
          <w:p>
            <w:pPr>
              <w:spacing w:after="0"/>
              <w:rPr>
                <w:sz w:val="20"/>
                <w:szCs w:val="20"/>
                <w:color w:val="auto"/>
              </w:rPr>
            </w:pPr>
            <w:r>
              <w:rPr>
                <w:rFonts w:ascii="Arial" w:cs="Arial" w:eastAsia="Arial" w:hAnsi="Arial"/>
                <w:sz w:val="18"/>
                <w:szCs w:val="18"/>
                <w:b w:val="1"/>
                <w:bCs w:val="1"/>
                <w:color w:val="auto"/>
                <w:w w:val="89"/>
              </w:rPr>
              <w:t>Reclassified from Accumulated</w:t>
            </w: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9"/>
              </w:rPr>
              <w:t>Comprehensive Income</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Accumulated Other</w:t>
            </w:r>
          </w:p>
        </w:tc>
        <w:tc>
          <w:tcPr>
            <w:tcW w:w="2420" w:type="dxa"/>
            <w:vAlign w:val="bottom"/>
            <w:gridSpan w:val="6"/>
          </w:tcPr>
          <w:p>
            <w:pPr>
              <w:ind w:left="40"/>
              <w:spacing w:after="0"/>
              <w:rPr>
                <w:sz w:val="20"/>
                <w:szCs w:val="20"/>
                <w:color w:val="auto"/>
              </w:rPr>
            </w:pPr>
            <w:r>
              <w:rPr>
                <w:rFonts w:ascii="Arial" w:cs="Arial" w:eastAsia="Arial" w:hAnsi="Arial"/>
                <w:sz w:val="18"/>
                <w:szCs w:val="18"/>
                <w:b w:val="1"/>
                <w:bCs w:val="1"/>
                <w:color w:val="auto"/>
                <w:w w:val="92"/>
              </w:rPr>
              <w:t>Other Comprehensive Income</w:t>
            </w:r>
          </w:p>
        </w:tc>
      </w:tr>
      <w:tr>
        <w:trPr>
          <w:trHeight w:val="216"/>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on Derivative</w:t>
            </w: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w w:val="99"/>
              </w:rPr>
              <w:t>Comprehensive Income</w:t>
            </w:r>
          </w:p>
        </w:tc>
        <w:tc>
          <w:tcPr>
            <w:tcW w:w="200" w:type="dxa"/>
            <w:vAlign w:val="bottom"/>
          </w:tcPr>
          <w:p>
            <w:pPr>
              <w:spacing w:after="0"/>
              <w:rPr>
                <w:sz w:val="18"/>
                <w:szCs w:val="18"/>
                <w:color w:val="auto"/>
              </w:rPr>
            </w:pPr>
          </w:p>
        </w:tc>
        <w:tc>
          <w:tcPr>
            <w:tcW w:w="148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9"/>
              </w:rPr>
              <w:t>into Income</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1"/>
              </w:rPr>
              <w:t>(Effective Portion)</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into Income</w:t>
            </w:r>
          </w:p>
        </w:tc>
        <w:tc>
          <w:tcPr>
            <w:tcW w:w="200" w:type="dxa"/>
            <w:vAlign w:val="bottom"/>
          </w:tcPr>
          <w:p>
            <w:pPr>
              <w:spacing w:after="0"/>
              <w:rPr>
                <w:sz w:val="20"/>
                <w:szCs w:val="20"/>
                <w:color w:val="auto"/>
              </w:rPr>
            </w:pPr>
          </w:p>
        </w:tc>
        <w:tc>
          <w:tcPr>
            <w:tcW w:w="22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(Effective Portion)</w:t>
            </w:r>
          </w:p>
        </w:tc>
      </w:tr>
      <w:tr>
        <w:trPr>
          <w:trHeight w:val="210"/>
        </w:trPr>
        <w:tc>
          <w:tcPr>
            <w:tcW w:w="2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(Effective Portion)</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2008</w:t>
            </w:r>
          </w:p>
        </w:tc>
        <w:tc>
          <w:tcPr>
            <w:tcW w:w="40" w:type="dxa"/>
            <w:vAlign w:val="bottom"/>
          </w:tcPr>
          <w:p>
            <w:pPr>
              <w:spacing w:after="0"/>
              <w:rPr>
                <w:sz w:val="18"/>
                <w:szCs w:val="18"/>
                <w:color w:val="auto"/>
              </w:rPr>
            </w:pPr>
          </w:p>
        </w:tc>
      </w:tr>
      <w:tr>
        <w:trPr>
          <w:trHeight w:val="210"/>
        </w:trPr>
        <w:tc>
          <w:tcPr>
            <w:tcW w:w="2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Three Months Ended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jc w:val="center"/>
              <w:ind w:right="103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2620" w:type="dxa"/>
            <w:vAlign w:val="bottom"/>
          </w:tcPr>
          <w:p>
            <w:pPr>
              <w:jc w:val="center"/>
              <w:ind w:right="1010"/>
              <w:spacing w:after="0"/>
              <w:rPr>
                <w:sz w:val="20"/>
                <w:szCs w:val="20"/>
                <w:color w:val="auto"/>
              </w:rPr>
            </w:pPr>
            <w:r>
              <w:rPr>
                <w:rFonts w:ascii="Arial" w:cs="Arial" w:eastAsia="Arial" w:hAnsi="Arial"/>
                <w:sz w:val="18"/>
                <w:szCs w:val="18"/>
                <w:color w:val="auto"/>
                <w:w w:val="89"/>
              </w:rPr>
              <w:t>Interest rate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3,701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18,147</w:t>
            </w:r>
          </w:p>
        </w:tc>
        <w:tc>
          <w:tcPr>
            <w:tcW w:w="204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8,258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7,176</w:t>
            </w:r>
          </w:p>
        </w:tc>
      </w:tr>
      <w:tr>
        <w:trPr>
          <w:trHeight w:val="216"/>
        </w:trPr>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18,147</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w:t>
            </w: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4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620" w:type="dxa"/>
            <w:vAlign w:val="bottom"/>
            <w:shd w:val="clear" w:color="auto" w:fill="CCEEFF"/>
          </w:tcPr>
          <w:p>
            <w:pPr>
              <w:jc w:val="center"/>
              <w:ind w:right="990"/>
              <w:spacing w:after="0" w:line="198"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jc w:val="center"/>
              <w:ind w:right="103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2620" w:type="dxa"/>
            <w:vAlign w:val="bottom"/>
          </w:tcPr>
          <w:p>
            <w:pPr>
              <w:jc w:val="center"/>
              <w:ind w:right="1010"/>
              <w:spacing w:after="0"/>
              <w:rPr>
                <w:sz w:val="20"/>
                <w:szCs w:val="20"/>
                <w:color w:val="auto"/>
              </w:rPr>
            </w:pPr>
            <w:r>
              <w:rPr>
                <w:rFonts w:ascii="Arial" w:cs="Arial" w:eastAsia="Arial" w:hAnsi="Arial"/>
                <w:sz w:val="18"/>
                <w:szCs w:val="18"/>
                <w:color w:val="auto"/>
                <w:w w:val="89"/>
              </w:rPr>
              <w:t>Interest rate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(1,515)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31,338</w:t>
            </w:r>
          </w:p>
        </w:tc>
        <w:tc>
          <w:tcPr>
            <w:tcW w:w="204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29,514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18,300</w:t>
            </w:r>
          </w:p>
        </w:tc>
      </w:tr>
      <w:tr>
        <w:trPr>
          <w:trHeight w:val="216"/>
        </w:trPr>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31,338</w:t>
            </w: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29,511</w:t>
            </w:r>
          </w:p>
        </w:tc>
        <w:tc>
          <w:tcPr>
            <w:tcW w:w="38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18,300</w:t>
            </w:r>
          </w:p>
        </w:tc>
        <w:tc>
          <w:tcPr>
            <w:tcW w:w="4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89"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w:t>
      </w:r>
    </w:p>
    <w:p>
      <w:pPr>
        <w:sectPr>
          <w:pgSz w:w="11900" w:h="16838" w:orient="portrait"/>
          <w:cols w:equalWidth="0" w:num="1">
            <w:col w:w="10219"/>
          </w:cols>
          <w:pgMar w:left="240" w:top="419" w:right="1440" w:bottom="1028"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28"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it could be declared in default on its derivative obligations. United has an agreement with one counterparty that contains a provision where if United fails to maintain a minimum shareholders’ equity of $300 million, it could be declared in default on its derivative obligations. An agreement with another counterparty contains a provision where if United fails to maintain a minimum tier 1 leverage ratio of 5.0%, a minimum tier 1 risk-based capital ratio of 6.0%, and a minimum total risk-based capital ratio of 10%, it could be declared in default on its derivative obligations.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 Accounting Standards Updates</w:t>
      </w:r>
    </w:p>
    <w:p>
      <w:pPr>
        <w:spacing w:after="0" w:line="189" w:lineRule="exact"/>
        <w:rPr>
          <w:sz w:val="20"/>
          <w:szCs w:val="20"/>
          <w:color w:val="auto"/>
        </w:rPr>
      </w:pPr>
    </w:p>
    <w:p>
      <w:pPr>
        <w:jc w:val="both"/>
        <w:ind w:left="340" w:right="559" w:firstLine="747"/>
        <w:spacing w:after="0" w:line="268" w:lineRule="auto"/>
        <w:rPr>
          <w:sz w:val="20"/>
          <w:szCs w:val="20"/>
          <w:color w:val="auto"/>
        </w:rPr>
      </w:pPr>
      <w:r>
        <w:rPr>
          <w:rFonts w:ascii="Arial" w:cs="Arial" w:eastAsia="Arial" w:hAnsi="Arial"/>
          <w:sz w:val="17"/>
          <w:szCs w:val="17"/>
          <w:color w:val="auto"/>
        </w:rPr>
        <w:t xml:space="preserve">In June 2009, the FASB issued Accounting Standards Update No. 2009-01 (“ASU 2009-01”), </w:t>
      </w:r>
      <w:r>
        <w:rPr>
          <w:rFonts w:ascii="Arial" w:cs="Arial" w:eastAsia="Arial" w:hAnsi="Arial"/>
          <w:sz w:val="17"/>
          <w:szCs w:val="17"/>
          <w:i w:val="1"/>
          <w:iCs w:val="1"/>
          <w:color w:val="auto"/>
        </w:rPr>
        <w:t>Topic 105 – Generally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Accepted Accounting Principles amendments based on Statement of Financial Accounting Standards No. 168 – The FASB Accounting Standards Codification </w:t>
      </w:r>
      <w:r>
        <w:rPr>
          <w:rFonts w:ascii="Arial" w:cs="Arial" w:eastAsia="Arial" w:hAnsi="Arial"/>
          <w:sz w:val="14"/>
          <w:szCs w:val="14"/>
          <w:i w:val="1"/>
          <w:iCs w:val="1"/>
          <w:color w:val="auto"/>
        </w:rPr>
        <w:t>TM</w:t>
      </w:r>
      <w:r>
        <w:rPr>
          <w:rFonts w:ascii="Arial" w:cs="Arial" w:eastAsia="Arial" w:hAnsi="Arial"/>
          <w:sz w:val="17"/>
          <w:szCs w:val="17"/>
          <w:i w:val="1"/>
          <w:iCs w:val="1"/>
          <w:color w:val="auto"/>
        </w:rPr>
        <w:t xml:space="preserve"> and the Hierarchy of Generally Accepted Accounting Principles</w:t>
      </w:r>
      <w:r>
        <w:rPr>
          <w:rFonts w:ascii="Arial" w:cs="Arial" w:eastAsia="Arial" w:hAnsi="Arial"/>
          <w:sz w:val="17"/>
          <w:szCs w:val="17"/>
          <w:color w:val="auto"/>
        </w:rPr>
        <w:t>. ASU 2009-01 amends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FASB Accounting Standards Codification for the issuance of FASB Statement No. 168 (“SFAS 168”), </w:t>
      </w:r>
      <w:r>
        <w:rPr>
          <w:rFonts w:ascii="Arial" w:cs="Arial" w:eastAsia="Arial" w:hAnsi="Arial"/>
          <w:sz w:val="17"/>
          <w:szCs w:val="17"/>
          <w:i w:val="1"/>
          <w:iCs w:val="1"/>
          <w:color w:val="auto"/>
        </w:rPr>
        <w:t>The FASB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Standards Codification </w:t>
      </w:r>
      <w:r>
        <w:rPr>
          <w:rFonts w:ascii="Arial" w:cs="Arial" w:eastAsia="Arial" w:hAnsi="Arial"/>
          <w:sz w:val="14"/>
          <w:szCs w:val="14"/>
          <w:i w:val="1"/>
          <w:iCs w:val="1"/>
          <w:color w:val="auto"/>
        </w:rPr>
        <w:t>TM</w:t>
      </w:r>
      <w:r>
        <w:rPr>
          <w:rFonts w:ascii="Arial" w:cs="Arial" w:eastAsia="Arial" w:hAnsi="Arial"/>
          <w:sz w:val="17"/>
          <w:szCs w:val="17"/>
          <w:i w:val="1"/>
          <w:iCs w:val="1"/>
          <w:color w:val="auto"/>
        </w:rPr>
        <w:t xml:space="preserve"> and the Hierarchy of Generally Accepted Accounting Principles</w:t>
      </w:r>
      <w:r>
        <w:rPr>
          <w:rFonts w:ascii="Arial" w:cs="Arial" w:eastAsia="Arial" w:hAnsi="Arial"/>
          <w:sz w:val="17"/>
          <w:szCs w:val="17"/>
          <w:color w:val="auto"/>
        </w:rPr>
        <w:t>. ASU 2009-1 includes SFAS 168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its entirety, including the accounting standards update instructions contained in Appendix B of the Statement. The FASB Accounting Standards Codification </w:t>
      </w:r>
      <w:r>
        <w:rPr>
          <w:rFonts w:ascii="Arial" w:cs="Arial" w:eastAsia="Arial" w:hAnsi="Arial"/>
          <w:sz w:val="14"/>
          <w:szCs w:val="14"/>
          <w:color w:val="auto"/>
        </w:rPr>
        <w:t>TM</w:t>
      </w:r>
      <w:r>
        <w:rPr>
          <w:rFonts w:ascii="Arial" w:cs="Arial" w:eastAsia="Arial" w:hAnsi="Arial"/>
          <w:sz w:val="17"/>
          <w:szCs w:val="17"/>
          <w:color w:val="auto"/>
        </w:rPr>
        <w:t xml:space="preserve"> (“Codification”) became the source of authoritative U.S. generally accepted accounting principles (“GAAP”) recognized by the FASB to be applied by nongovernmental entities. Rules and interpretive releases of the Securities and Exchange Commission (“SEC”) under authority of federal securities laws are also sources of authoritative GAAP for SEC registrants. On the effective date of this Statement, the Codification superseded all then-existing non-SEC accounting and reporting standards. All other non-grandfathered non-SEC accounting literature not included in the Codification became non-authoritative. This Statement was effective for United’s financial statements beginning in the interim period ended September 30, 2009.</w:t>
      </w:r>
    </w:p>
    <w:p>
      <w:pPr>
        <w:spacing w:after="0" w:line="147"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6"/>
          <w:szCs w:val="16"/>
          <w:color w:val="auto"/>
        </w:rPr>
        <w:t xml:space="preserve">Following this Statement, the FASB will not issue new standards in the form of Statements, FASB Staff Positions, or Emerging Issues Task Force Abstracts. Instead, it will issue Accounting Standards Updates. The FASB does not consider Accounting Standards Updates as authoritative in their own right. Accounting Standards Updates serve only to update the Codification, provide background information about the guidance, and provide the bases for conclusions on the change(s) in the Codification. FASB Statement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(“Statement 162”), which became effective on November 13, 2008, identified the sources of accounting principles and the framework for selecting the principles used in preparing the financial statements of nongovernmental entities that are presented in conformity with GAAP. Statement 162 arranged these sources of GAAP in a hierarchy for users to apply accordingly. Upon becoming effective, all of the content of the Codification carries the same level of authority, effectively superseding Statement 162. In other words, the GAAP hierarchy has been modified to include only two levels of GAAP: authoritative and non-authoritative. As a result, this Statement replaces Statement 162 to indicate this change to the GAAP hierarchy. The adoption of the Codification and ASU 2009-01 did not have any effect on United’s results of operations or financial position. All references to accounting literature included in the notes to the financial statements have been changed to reference the appropriate sections of the Codification.</w:t>
      </w:r>
    </w:p>
    <w:p>
      <w:pPr>
        <w:spacing w:after="0" w:line="148"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 xml:space="preserve">In June 2009, the FASB issued Accounting Standards Update No. 2009-02 (“ASU 2009-02”), </w:t>
      </w:r>
      <w:r>
        <w:rPr>
          <w:rFonts w:ascii="Arial" w:cs="Arial" w:eastAsia="Arial" w:hAnsi="Arial"/>
          <w:sz w:val="18"/>
          <w:szCs w:val="18"/>
          <w:i w:val="1"/>
          <w:iCs w:val="1"/>
          <w:color w:val="auto"/>
        </w:rPr>
        <w:t>Omnibus Update –</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to Various Topics for Technical Corrections</w:t>
      </w:r>
      <w:r>
        <w:rPr>
          <w:rFonts w:ascii="Arial" w:cs="Arial" w:eastAsia="Arial" w:hAnsi="Arial"/>
          <w:sz w:val="18"/>
          <w:szCs w:val="18"/>
          <w:color w:val="auto"/>
        </w:rPr>
        <w:t>. The adoption of ASU 2009-02 did not have any effect on United’s</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financial position or disclosures.</w:t>
      </w:r>
    </w:p>
    <w:p>
      <w:pPr>
        <w:spacing w:after="0" w:line="141"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 xml:space="preserve">In August 2009, the FASB issued Accounting Standards Update No. 2009-03 (“ASU 2009-03”), </w:t>
      </w:r>
      <w:r>
        <w:rPr>
          <w:rFonts w:ascii="Arial" w:cs="Arial" w:eastAsia="Arial" w:hAnsi="Arial"/>
          <w:sz w:val="18"/>
          <w:szCs w:val="18"/>
          <w:i w:val="1"/>
          <w:iCs w:val="1"/>
          <w:color w:val="auto"/>
        </w:rPr>
        <w:t>SEC Update –</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to Various Topics Containing SEC Staff Accounting Bulletins</w:t>
      </w:r>
      <w:r>
        <w:rPr>
          <w:rFonts w:ascii="Arial" w:cs="Arial" w:eastAsia="Arial" w:hAnsi="Arial"/>
          <w:sz w:val="18"/>
          <w:szCs w:val="18"/>
          <w:color w:val="auto"/>
        </w:rPr>
        <w:t>. ASU 2009-03 represents technical corrections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topics containing SEC Staff Accounting Bulletins to update cross-references to Codification text. This ASU did not have any effect on United’s results of operations, financial position or disclosures.</w:t>
      </w:r>
    </w:p>
    <w:p>
      <w:pPr>
        <w:spacing w:after="0" w:line="146" w:lineRule="exact"/>
        <w:rPr>
          <w:sz w:val="20"/>
          <w:szCs w:val="20"/>
          <w:color w:val="auto"/>
        </w:rPr>
      </w:pPr>
    </w:p>
    <w:p>
      <w:pPr>
        <w:jc w:val="both"/>
        <w:ind w:left="340" w:right="559" w:firstLine="747"/>
        <w:spacing w:after="0" w:line="302" w:lineRule="auto"/>
        <w:rPr>
          <w:sz w:val="20"/>
          <w:szCs w:val="20"/>
          <w:color w:val="auto"/>
        </w:rPr>
      </w:pPr>
      <w:r>
        <w:rPr>
          <w:rFonts w:ascii="Arial" w:cs="Arial" w:eastAsia="Arial" w:hAnsi="Arial"/>
          <w:sz w:val="16"/>
          <w:szCs w:val="16"/>
          <w:color w:val="auto"/>
        </w:rPr>
        <w:t xml:space="preserve">In August 2009, the FASB issued Accounting Standards Update No. 2009-04 (“ASU 2009-04”),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Redeemable Equity Instruments – Amendment to Section 480-10-S99</w:t>
      </w:r>
      <w:r>
        <w:rPr>
          <w:rFonts w:ascii="Arial" w:cs="Arial" w:eastAsia="Arial" w:hAnsi="Arial"/>
          <w:sz w:val="16"/>
          <w:szCs w:val="16"/>
          <w:color w:val="auto"/>
        </w:rPr>
        <w:t>. ASU 2009-04 represents an update to Section 480-10-S99,</w:t>
      </w:r>
      <w:r>
        <w:rPr>
          <w:rFonts w:ascii="Arial" w:cs="Arial" w:eastAsia="Arial" w:hAnsi="Arial"/>
          <w:sz w:val="16"/>
          <w:szCs w:val="16"/>
          <w:i w:val="1"/>
          <w:iCs w:val="1"/>
          <w:color w:val="auto"/>
        </w:rPr>
        <w:t xml:space="preserve"> Distinguishing Liabilities from Equity</w:t>
      </w:r>
      <w:r>
        <w:rPr>
          <w:rFonts w:ascii="Arial" w:cs="Arial" w:eastAsia="Arial" w:hAnsi="Arial"/>
          <w:sz w:val="16"/>
          <w:szCs w:val="16"/>
          <w:color w:val="auto"/>
        </w:rPr>
        <w:t>, per Emerging Issues Task Force (“EITF”) Topic D-98,</w:t>
      </w:r>
      <w:r>
        <w:rPr>
          <w:rFonts w:ascii="Arial" w:cs="Arial" w:eastAsia="Arial" w:hAnsi="Arial"/>
          <w:sz w:val="16"/>
          <w:szCs w:val="16"/>
          <w:i w:val="1"/>
          <w:iCs w:val="1"/>
          <w:color w:val="auto"/>
        </w:rPr>
        <w:t xml:space="preserve"> Classification and Measurement of Redeemable Securities</w:t>
      </w:r>
      <w:r>
        <w:rPr>
          <w:rFonts w:ascii="Arial" w:cs="Arial" w:eastAsia="Arial" w:hAnsi="Arial"/>
          <w:sz w:val="16"/>
          <w:szCs w:val="16"/>
          <w:color w:val="auto"/>
        </w:rPr>
        <w:t>. ASU 2009-04 did not have any effect on United’s results of operations, financial position or disclosures.</w:t>
      </w:r>
    </w:p>
    <w:p>
      <w:pPr>
        <w:spacing w:after="0" w:line="127"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 xml:space="preserve">In August 2009, the FASB issued Accounting Standards Update No. 2009-05 (“ASU 2009-05”),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 (Topic 820) – Measuring Liabilities at Fair Value</w:t>
      </w:r>
      <w:r>
        <w:rPr>
          <w:rFonts w:ascii="Arial" w:cs="Arial" w:eastAsia="Arial" w:hAnsi="Arial"/>
          <w:sz w:val="18"/>
          <w:szCs w:val="18"/>
          <w:color w:val="auto"/>
        </w:rPr>
        <w:t>. ASU 2009-05 applies to all entities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liabilities at fair value within the scope of ASC Topic 820. ASU 2009-05 provides clarification that in circumstances in which a quoted price in an active market for the identical liability is not available, a reporting entity is required to measure fair value using one or more of the following techniques:</w:t>
      </w:r>
    </w:p>
    <w:p>
      <w:pPr>
        <w:spacing w:after="0" w:line="148" w:lineRule="exact"/>
        <w:rPr>
          <w:sz w:val="20"/>
          <w:szCs w:val="20"/>
          <w:color w:val="auto"/>
        </w:rPr>
      </w:pPr>
    </w:p>
    <w:p>
      <w:pPr>
        <w:ind w:left="1080"/>
        <w:spacing w:after="0"/>
        <w:tabs>
          <w:tab w:leader="none" w:pos="14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 valuation technique that uses:</w:t>
      </w:r>
    </w:p>
    <w:p>
      <w:pPr>
        <w:spacing w:after="0" w:line="185" w:lineRule="exact"/>
        <w:rPr>
          <w:sz w:val="20"/>
          <w:szCs w:val="20"/>
          <w:color w:val="auto"/>
        </w:rPr>
      </w:pPr>
    </w:p>
    <w:p>
      <w:pPr>
        <w:ind w:left="2160" w:hanging="342"/>
        <w:spacing w:after="0"/>
        <w:tabs>
          <w:tab w:leader="none" w:pos="2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quoted price of the identical liability when traded as an asset</w:t>
      </w:r>
    </w:p>
    <w:p>
      <w:pPr>
        <w:spacing w:after="0" w:line="198" w:lineRule="exact"/>
        <w:rPr>
          <w:rFonts w:ascii="Arial" w:cs="Arial" w:eastAsia="Arial" w:hAnsi="Arial"/>
          <w:sz w:val="18"/>
          <w:szCs w:val="18"/>
          <w:color w:val="auto"/>
        </w:rPr>
      </w:pPr>
    </w:p>
    <w:p>
      <w:pPr>
        <w:ind w:left="2160" w:hanging="342"/>
        <w:spacing w:after="0"/>
        <w:tabs>
          <w:tab w:leader="none" w:pos="2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similar liabilities or similar liabilities when traded as assets.</w:t>
      </w:r>
    </w:p>
    <w:p>
      <w:pPr>
        <w:spacing w:after="0" w:line="185" w:lineRule="exact"/>
        <w:rPr>
          <w:sz w:val="20"/>
          <w:szCs w:val="20"/>
          <w:color w:val="auto"/>
        </w:rPr>
      </w:pPr>
    </w:p>
    <w:p>
      <w:pPr>
        <w:jc w:val="both"/>
        <w:ind w:left="1420" w:right="559" w:hanging="350"/>
        <w:spacing w:after="0" w:line="286" w:lineRule="auto"/>
        <w:tabs>
          <w:tab w:leader="none" w:pos="14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7"/>
          <w:szCs w:val="17"/>
          <w:color w:val="auto"/>
        </w:rPr>
        <w:t>Another valuation technique that is consistent with the principles of ASC Topic 820. Two examples would be an income approach, such as a technique that is based on the amount at the measurement date that the reporting entity would pay to transfer the identical liability or would receive to enter into the identical liability.</w:t>
      </w:r>
    </w:p>
    <w:p>
      <w:pPr>
        <w:sectPr>
          <w:pgSz w:w="11900" w:h="16838" w:orient="portrait"/>
          <w:cols w:equalWidth="0" w:num="1">
            <w:col w:w="10219"/>
          </w:cols>
          <w:pgMar w:left="240" w:top="419" w:right="1440" w:bottom="55"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5"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The amendments in ASU 2009-5 also clarify that when estimating the fair value of a liability, a reporting entity is not required to include a separate input or adjustment to other inputs relating to the existence of a restriction that prevents the transfer of the liability. It also clarifies that both a quoted price in an active market for the identical liability at the measurement date and the quoted price for the identical liability when traded as an asset in an active market when no adjustments to the quoted price of the asset are required are Level 1 fair value measurements. The guidance provided in ASU 2009-5 is effective for United in the fourth quarter of 2009. Because United does not currently have any liabilities that are recorded at fair value, the adoption of this guidance will not have any impact on results of operations, financial position or disclosures.</w:t>
      </w:r>
    </w:p>
    <w:p>
      <w:pPr>
        <w:spacing w:after="0" w:line="127" w:lineRule="exact"/>
        <w:rPr>
          <w:sz w:val="20"/>
          <w:szCs w:val="20"/>
          <w:color w:val="auto"/>
        </w:rPr>
      </w:pPr>
    </w:p>
    <w:p>
      <w:pPr>
        <w:jc w:val="both"/>
        <w:ind w:left="340" w:right="559" w:firstLine="747"/>
        <w:spacing w:after="0" w:line="290" w:lineRule="auto"/>
        <w:rPr>
          <w:sz w:val="20"/>
          <w:szCs w:val="20"/>
          <w:color w:val="auto"/>
        </w:rPr>
      </w:pPr>
      <w:r>
        <w:rPr>
          <w:rFonts w:ascii="Arial" w:cs="Arial" w:eastAsia="Arial" w:hAnsi="Arial"/>
          <w:sz w:val="16"/>
          <w:szCs w:val="16"/>
          <w:color w:val="auto"/>
        </w:rPr>
        <w:t xml:space="preserve">In September 2009, the FASB issued Accounting Standards Update No. 2009-06 (“ASU 2009-06”),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740) – Implementation Guidance on Accounting for Uncertainty in Income Taxes and Disclosure Amendments for Nonpublic Entities</w:t>
      </w:r>
      <w:r>
        <w:rPr>
          <w:rFonts w:ascii="Arial" w:cs="Arial" w:eastAsia="Arial" w:hAnsi="Arial"/>
          <w:sz w:val="16"/>
          <w:szCs w:val="16"/>
          <w:color w:val="auto"/>
        </w:rPr>
        <w:t>. ASU 2009-06 provides additional implementation guidance on accounting for uncertainty in income taxes by</w:t>
      </w:r>
      <w:r>
        <w:rPr>
          <w:rFonts w:ascii="Arial" w:cs="Arial" w:eastAsia="Arial" w:hAnsi="Arial"/>
          <w:sz w:val="16"/>
          <w:szCs w:val="16"/>
          <w:i w:val="1"/>
          <w:iCs w:val="1"/>
          <w:color w:val="auto"/>
        </w:rPr>
        <w:t xml:space="preserve"> </w:t>
      </w:r>
      <w:r>
        <w:rPr>
          <w:rFonts w:ascii="Arial" w:cs="Arial" w:eastAsia="Arial" w:hAnsi="Arial"/>
          <w:sz w:val="16"/>
          <w:szCs w:val="16"/>
          <w:color w:val="auto"/>
        </w:rPr>
        <w:t>addressing 1.) whether income taxes paid by an entity are attributable to the entity or its owners, 2.) what constitutes a tax position for a pass-through entity or a tax-exempt not-for-profit entity, and 3.) how accounting for uncertainty in income taxes should be applied when a group of related entities comprise both taxable and nontaxable entities. ASU 2009-06 also eliminates certain disclosure requirements for nonpublic entities. The guidance and disclosure amendments included in ASU 2009-06 were effective for United in the third quarter of 2009 and had no impact on results of operations, financial position or disclosures.</w:t>
      </w:r>
    </w:p>
    <w:p>
      <w:pPr>
        <w:spacing w:after="0" w:line="126" w:lineRule="exact"/>
        <w:rPr>
          <w:sz w:val="20"/>
          <w:szCs w:val="20"/>
          <w:color w:val="auto"/>
        </w:rPr>
      </w:pPr>
    </w:p>
    <w:p>
      <w:pPr>
        <w:jc w:val="both"/>
        <w:ind w:left="340" w:right="559" w:firstLine="747"/>
        <w:spacing w:after="0" w:line="312" w:lineRule="auto"/>
        <w:rPr>
          <w:sz w:val="20"/>
          <w:szCs w:val="20"/>
          <w:color w:val="auto"/>
        </w:rPr>
      </w:pPr>
      <w:r>
        <w:rPr>
          <w:rFonts w:ascii="Arial" w:cs="Arial" w:eastAsia="Arial" w:hAnsi="Arial"/>
          <w:sz w:val="16"/>
          <w:szCs w:val="16"/>
          <w:color w:val="auto"/>
        </w:rPr>
        <w:t>In September 2009, the FASB issued Accounting Standards Update No. 2009-07 (“ASU 2009-07”), Accounting for Various Topics – Technical Corrections to SEC Paragraphs. ASU 2009-07 represents technical corrections to various topics containing SEC guidance. This ASU did not have any effect on United’s results of operations, financial position or disclosures.</w:t>
      </w:r>
    </w:p>
    <w:p>
      <w:pPr>
        <w:spacing w:after="0" w:line="120"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In September 2009, the FASB issued Accounting Standards Update No. 2009-08 (“ASU 2009-08”), Earnings Per Share – Amendments to Section 260-10-S99. ASU 2009-08 represents technical corrections to Topic 260-10-S99, Earnings per Share, based on EITF Topic D-53, Computation of Earnings Per Share for a Period that Includes a Redemption or an Induced Conversion of Preferred Stock. This ASU did not have any effect on United’s results of operations, financial position or disclosures.</w:t>
      </w:r>
    </w:p>
    <w:p>
      <w:pPr>
        <w:spacing w:after="0" w:line="148"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In September 2009, the FASB issued Accounting Standards Update No. 2009-09 (“ASU 2009-09”), Accounting for Investments – Equity Method and Joint Ventures and Accounting for Equity-Based Payments to Non-Employees – Amendments to Sections 323-10-S99 and 505-50-S99. ASU 2009-09 represents a correction to Section 323-10-S99-4, Accounting by an Investor for Stock-Based Compensation Granted to Employees of an Equity Method Investee. Section 323-10-S99-4 was originally entered into the Accounting Standards Codification incorrectly. Additionally, it adds observer comment Accounting Recognition for Certain Transactions Involving Equity Instruments Granted to Other Than Employees to the Codification. This ASU did not have any effect on United’s results of operations, financial position or disclosures.</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September 2009, the FASB issued Accounting Standards Update No. 2009-10 (“ASU 2009-10”), Financial Services</w:t>
      </w:r>
    </w:p>
    <w:p>
      <w:pPr>
        <w:spacing w:after="0" w:line="46"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 Broker and Dealers: Investments – Other – Amendment to Subtopic 940-325. ASU 2009-10 codifies the Observer comment in paragraph 17 of EITF 02-3, Issues Involved in Accounting for Derivative Contracts Held for Trading Purposes and Contracts Involved in Energy Trading and Risk Management. This ASU did not have any effect on United’s results of operations, financial position or disclosures.</w:t>
      </w:r>
    </w:p>
    <w:p>
      <w:pPr>
        <w:spacing w:after="0" w:line="163" w:lineRule="exact"/>
        <w:rPr>
          <w:sz w:val="20"/>
          <w:szCs w:val="20"/>
          <w:color w:val="auto"/>
        </w:rPr>
      </w:pPr>
    </w:p>
    <w:p>
      <w:pPr>
        <w:jc w:val="both"/>
        <w:ind w:left="340" w:right="559" w:firstLine="747"/>
        <w:spacing w:after="0" w:line="279" w:lineRule="auto"/>
        <w:rPr>
          <w:sz w:val="20"/>
          <w:szCs w:val="20"/>
          <w:color w:val="auto"/>
        </w:rPr>
      </w:pPr>
      <w:r>
        <w:rPr>
          <w:rFonts w:ascii="Arial" w:cs="Arial" w:eastAsia="Arial" w:hAnsi="Arial"/>
          <w:sz w:val="17"/>
          <w:szCs w:val="17"/>
          <w:color w:val="auto"/>
        </w:rPr>
        <w:t>In September 2009, the FASB issued Accounting Standards Update No. 2009-11 (“ASU 2009-11”), Extractive Activities – Oil and Gas – Amendment to Section 932-10-S99. ASU 2009-11 represents a technical correction to the SEC Observer comment in EITF 90-22, Accounting for Gas-Balancing Arrangements. This ASU is not applicable to United and therefore did not have any effect on United’s results of operations, financial position or disclosures.</w:t>
      </w:r>
    </w:p>
    <w:p>
      <w:pPr>
        <w:spacing w:after="0" w:line="131"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In September 2009, the FASB issued Accounting Standards Update No. 2009-12 (“ASU 2009-12”), Fair Value Measurements and Disclosures (Topic 820) – Investments in Certain Entities That Calculate Net Asset Value per Share (or Its Equivalent). ASU 2009-12 is not applicable to United and therefore did not have any effect on United’s results of operations, financial position or disclosures.</w:t>
      </w:r>
    </w:p>
    <w:p>
      <w:pPr>
        <w:spacing w:after="0" w:line="146" w:lineRule="exact"/>
        <w:rPr>
          <w:sz w:val="20"/>
          <w:szCs w:val="20"/>
          <w:color w:val="auto"/>
        </w:rPr>
      </w:pPr>
    </w:p>
    <w:p>
      <w:pPr>
        <w:jc w:val="both"/>
        <w:ind w:left="340" w:right="559" w:firstLine="747"/>
        <w:spacing w:after="0" w:line="289" w:lineRule="auto"/>
        <w:rPr>
          <w:sz w:val="20"/>
          <w:szCs w:val="20"/>
          <w:color w:val="auto"/>
        </w:rPr>
      </w:pPr>
      <w:r>
        <w:rPr>
          <w:rFonts w:ascii="Arial" w:cs="Arial" w:eastAsia="Arial" w:hAnsi="Arial"/>
          <w:sz w:val="16"/>
          <w:szCs w:val="16"/>
          <w:color w:val="auto"/>
        </w:rPr>
        <w:t>In October 2009, the FASB issued Accounting Standards Update No. 2009-13 (“ASU 2009-13”), Revenue Recognition (Topic 605) – Multiple-Deliverable Revenue Arrangements – a consensus of the FASB Emerging Issues Task Force. ASU 2009-13 addresses the accounting for multiple-deliverable arrangements to enable vendors to account for products or services (deliverables) separately rather than as a combined unit. Subtopic 605-25, Revenue Recognition – Multiple-Element Arrangements, establishes the accounting and reporting guidance for arrangements under which the vendor will perform multiple revenue-generating activities. Specifically, this subtopic addresses how to separate deliverables and how to measure and allocate arrangement consideration to one or more units of accounting. The amendments in this ASU will be effective for revenue arrangements entered into or materially modified in fiscal years beginning on or after June 15, 2010 with early adoption permitted. This ASU is not expected to have any effect on United’s results of operations, financial position or disclosures.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October 2009, the FASB issued Accounting Standards Update No. 2009-14 (“ASU 2009-14”), Software (Topic 985)</w:t>
      </w:r>
    </w:p>
    <w:p>
      <w:pPr>
        <w:spacing w:after="0" w:line="46" w:lineRule="exact"/>
        <w:rPr>
          <w:sz w:val="20"/>
          <w:szCs w:val="20"/>
          <w:color w:val="auto"/>
        </w:rPr>
      </w:pPr>
    </w:p>
    <w:p>
      <w:pPr>
        <w:jc w:val="both"/>
        <w:ind w:left="340" w:right="559"/>
        <w:spacing w:after="0" w:line="292" w:lineRule="auto"/>
        <w:rPr>
          <w:sz w:val="20"/>
          <w:szCs w:val="20"/>
          <w:color w:val="auto"/>
        </w:rPr>
      </w:pPr>
      <w:r>
        <w:rPr>
          <w:rFonts w:ascii="Arial" w:cs="Arial" w:eastAsia="Arial" w:hAnsi="Arial"/>
          <w:sz w:val="16"/>
          <w:szCs w:val="16"/>
          <w:color w:val="auto"/>
        </w:rPr>
        <w:t>– Certain Revenue Arrangements That Include Software Elements – a consensus of the FASB Emerging Issues Task Force. ASU 2009-14 addresses concerns raised by constituents relating to the accounting for revenue arrangements that contain tangible products and software. The amendments in this ASU will be effective prospectively for revenue arrangements entered into or materially modified in fiscal years beginning on or after June 15, 2010 with early adoption permitted. This ASU is not applicable to United and therefore did not have any effect on United’s results of operations, financial position or disclosures.</w:t>
      </w:r>
    </w:p>
    <w:p>
      <w:pPr>
        <w:spacing w:after="0" w:line="136"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6"/>
          <w:szCs w:val="16"/>
          <w:color w:val="auto"/>
        </w:rPr>
        <w:t>In October 2009, the FASB issued Accounting Standards Update No. 2009-15 (“ASU 2009-15”), Accounting for Own-Share Lending Arrangements in Contemplation of Convertible Debt Issuance or Other Financing. ASU 2009-15 provides accounting guidance for own-share lending arrangements issued in contemplation of the issuance of convertible debt or other financing arrangements. An entity, for which the cost to an investment banking firm or third-party investors of borrowing its shares is prohibitive may enter into share-lending arrangements that are executed separately but in connection with a convertible debt offering. Although the convertible debt instrument is ultimately sold to investors, the share-lending arrangement is an agreement between the entity and an investment bank and is intended to facilitate the ability of investors to hedge the conversion option in the entity’s convertible debt. Loaned shares are excluded from basic and diluted earnings per share unless default of the share-lending arrangement occurs, at which time the loaned shares would be included in the basic and diluted earnings-per-share calculation. If dividends on the loaned shares are not reimbursed to the entity, any amounts, including contractual dividends and participation rights in undistributed earnings, attributable to the loaned shares shall be deducted in computing income available to common shareholders, in a manner consistent with the two-class method in paragraph 260-10-45-60B. This ASU did not have any effect on United’s results of operations, financial position or disclosures.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 Reclassifications</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2008 amounts have been reclassified to conform to the 2009 presentation.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 Goodwill</w:t>
      </w:r>
    </w:p>
    <w:p>
      <w:pPr>
        <w:spacing w:after="0" w:line="189"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 xml:space="preserve">A summary of the changes in goodwill for the nine months ended September 30, 2009 and 2008 is presented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4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235,590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305,590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305,590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306,086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Purchase adjustments</w:t>
            </w:r>
          </w:p>
        </w:tc>
        <w:tc>
          <w:tcPr>
            <w:tcW w:w="2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210,590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210,590</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8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During the first quarter of 2009, United updated its annual goodwill impairment assessment as a result of its stock price falling significantly below tangible book value. As a result of the updated assessment, goodwill was found to be impaired and was written down to its estimated fair value. The impairment charge of $70 million was recognized as an expense in the first quarter 2009 consolidated statement of income. Although conditions in the second quarter did not lead management to believe that further impairment existed, due to further weakness in United’s loan portfolio and management’s expectation for higher credit losses, goodwill was tested again in the third quarter for impairment. Goodwill was found to have further impairment resulting in an additional $25 million charge to expense bringing the year-to-date charge to $95 million.</w:t>
      </w:r>
    </w:p>
    <w:p>
      <w:pPr>
        <w:spacing w:after="0" w:line="140"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United has only one operating segment and all of the goodwill is included in that segment; therefore goodwill was tested for impairment for United as a whole. The first step (Step 1) of the goodwill impairment assessment was to determine the fair value of United as a whole and compare the result to the book value of equity. If the fair value resulting from Step 1 exceeds the book value of equity, goodwill is deemed not to be impaired. If the fair value is less than book value, Step 2 of the goodwill impairment assessment must be completed. Step 2 consists of valuing all of the assets and liabilities, including separately identifiable intangible assets, in order to determine the fair value of goodwill. The fair value of goodwill is the difference between the value of United determined in Step 1 and the value of the net assets and liabilities determined in Step 2. If the fair value of goodwill exceeds the book value, goodwill is not impaired. If the fair value of goodwill is less than book value, goodwill is impaired by the amount by which book value exceeds fair value.</w:t>
      </w:r>
    </w:p>
    <w:p>
      <w:pPr>
        <w:spacing w:after="0" w:line="141"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The techniques used to determine fair value of United in Step 1 included a discounted cash flow analysis based on United’s long-term earnings forecast, the guideline public companies method that considered the implied value of United by comparing United to a select peer group of public companies and their current market capitalizations, adjusted for differences between the companies, and the merger and acquisition method that considered the amount an acquiring company might be willing to pay to gain control of United based on multiples of tangible book value paid by acquirers in recent merger and acquisition transactions.</w:t>
      </w:r>
    </w:p>
    <w:p>
      <w:pPr>
        <w:sectPr>
          <w:pgSz w:w="11900" w:h="16838" w:orient="portrait"/>
          <w:cols w:equalWidth="0" w:num="1">
            <w:col w:w="10219"/>
          </w:cols>
          <w:pgMar w:left="240" w:top="419" w:right="1440" w:bottom="1136"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36"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The interim assessments performed in the first and third quarters of 2009 both indicated that the fair value of United was less than book value, so United proceeded to Step 2. United’s Step 2 analysis indicated that the book value of goodwill exceeded the fair value by $70 million in the first quarter and $25 million in the third quarter leading to the impairment charges. In arriving at the impairment charge there were a number of valuation assumptions made.</w:t>
      </w:r>
    </w:p>
    <w:p>
      <w:pPr>
        <w:spacing w:after="0" w:line="160"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The most significant assumption in determining the estimated fair value of United as a whole and the amount of any resulting impairment was the discount rate used in the discounted cash flows valuation method. The discount rates selected for the third and first quarter assessments were 14% and 15%, respectively, which considered a risk-free rate of return that was adjusted for the industry median beta, equity risk and size premiums, and a company-specific risk premium. The decrease in the discount rate from the first quarter to the third quarter was due to a lower long-term risk free rate to which the risk premiums were added.</w:t>
      </w:r>
    </w:p>
    <w:p>
      <w:pPr>
        <w:spacing w:after="0" w:line="153"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An increase in the discount rate of one percentage point would result in a decrease in the estimated value of United of approximately $30 million which would mean an increase in goodwill impairment by that amount. A decrease of one percentage point would result in an increase in the estimated value of United of approximately $36 million which would mean a decrease in the amount of goodwill impairment in the same amount.</w:t>
      </w:r>
    </w:p>
    <w:p>
      <w:pPr>
        <w:spacing w:after="0" w:line="146" w:lineRule="exact"/>
        <w:rPr>
          <w:sz w:val="20"/>
          <w:szCs w:val="20"/>
          <w:color w:val="auto"/>
        </w:rPr>
      </w:pPr>
    </w:p>
    <w:p>
      <w:pPr>
        <w:jc w:val="both"/>
        <w:ind w:left="340" w:right="559" w:firstLine="747"/>
        <w:spacing w:after="0" w:line="302" w:lineRule="auto"/>
        <w:rPr>
          <w:sz w:val="20"/>
          <w:szCs w:val="20"/>
          <w:color w:val="auto"/>
        </w:rPr>
      </w:pPr>
      <w:r>
        <w:rPr>
          <w:rFonts w:ascii="Arial" w:cs="Arial" w:eastAsia="Arial" w:hAnsi="Arial"/>
          <w:sz w:val="16"/>
          <w:szCs w:val="16"/>
          <w:color w:val="auto"/>
        </w:rPr>
        <w:t>Other significant valuation assumptions were related to valuing the loan portfolio. The key assumptions involved in valuing the non-performing portion of the loan portfolio included estimating future cash flows. The key assumptions involved in valuing the performing portion of the loan portfolio included determining a default rate and a rate of loss upon default. Changing these assumptions, or any other key assumptions, could have a material impact on the amount of goodwill impairment.</w:t>
      </w:r>
    </w:p>
    <w:p>
      <w:pPr>
        <w:spacing w:after="0" w:line="127" w:lineRule="exact"/>
        <w:rPr>
          <w:sz w:val="20"/>
          <w:szCs w:val="20"/>
          <w:color w:val="auto"/>
        </w:rPr>
      </w:pPr>
    </w:p>
    <w:p>
      <w:pPr>
        <w:jc w:val="both"/>
        <w:ind w:left="340" w:right="559" w:firstLine="747"/>
        <w:spacing w:after="0" w:line="302" w:lineRule="auto"/>
        <w:rPr>
          <w:sz w:val="20"/>
          <w:szCs w:val="20"/>
          <w:color w:val="auto"/>
        </w:rPr>
      </w:pPr>
      <w:r>
        <w:rPr>
          <w:rFonts w:ascii="Arial" w:cs="Arial" w:eastAsia="Arial" w:hAnsi="Arial"/>
          <w:sz w:val="16"/>
          <w:szCs w:val="16"/>
          <w:color w:val="auto"/>
        </w:rPr>
        <w:t>United will perform its annual goodwill impairment assessment in the fourth quarter. Conditions that could cause additional impairment charges include further deterioration in United’s financial performance or outlook for future performance, changes in long-term interest rates used to determine the discount rate for the discounted cash flows valuation method or lower stock price valuations for United or the peer group of banks used in the guideline public companies valuation method.</w:t>
      </w: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line="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559" w:firstLine="747"/>
        <w:spacing w:after="0" w:line="269"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as amended, or the Securities Act, and Section 21E of the Securities Exchange Act of 1934, as amended, or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42" w:lineRule="exact"/>
        <w:rPr>
          <w:sz w:val="20"/>
          <w:szCs w:val="20"/>
          <w:color w:val="auto"/>
        </w:rPr>
      </w:pPr>
    </w:p>
    <w:p>
      <w:pPr>
        <w:jc w:val="both"/>
        <w:ind w:left="340" w:right="559" w:firstLine="747"/>
        <w:spacing w:after="0" w:line="297" w:lineRule="auto"/>
        <w:rPr>
          <w:sz w:val="20"/>
          <w:szCs w:val="20"/>
          <w:color w:val="auto"/>
        </w:rPr>
      </w:pPr>
      <w:r>
        <w:rPr>
          <w:rFonts w:ascii="Arial" w:cs="Arial" w:eastAsia="Arial" w:hAnsi="Arial"/>
          <w:sz w:val="16"/>
          <w:szCs w:val="16"/>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our Annual Report on Form 10-K for the year ended December 31, 2008, as updated in our quarterly reports on Form 10-Q, and our Form 8-K/A filed on September 25, 2009, as well as the following:</w:t>
      </w:r>
    </w:p>
    <w:p>
      <w:pPr>
        <w:spacing w:after="0" w:line="131" w:lineRule="exact"/>
        <w:rPr>
          <w:sz w:val="20"/>
          <w:szCs w:val="20"/>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become profitable;</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results of our most recent internal stress test may not accurately predict the impact on our financial condition if the economy were to continue to deteriorate;</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condition of the banking system and financial markets;</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limited ability to raise capital or maintain liquidity;</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may not be able to raise capital consistent with our capital plan;</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access other sources of funding;</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changes in the cost and availability of funding;</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business is subject to the success of the local economies in which we operate;</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concentration of residential and commercial construction and development loans is subject to unique risks that could adversely affect our earnings;</w:t>
      </w:r>
    </w:p>
    <w:p>
      <w:pPr>
        <w:spacing w:after="0" w:line="14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 earnings would decrease;</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14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adverse effects on future earnings resulting from non-cash charges for goodwill impairment;</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may not fully realize our deferred tax asset balances;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competition from financial institutions and other financial service providers may adversely affect our profitability;</w:t>
      </w:r>
    </w:p>
    <w:p>
      <w:pPr>
        <w:spacing w:after="0" w:line="209" w:lineRule="exact"/>
        <w:rPr>
          <w:rFonts w:ascii="Arial" w:cs="Arial" w:eastAsia="Arial" w:hAnsi="Arial"/>
          <w:sz w:val="17"/>
          <w:szCs w:val="17"/>
          <w:b w:val="1"/>
          <w:bCs w:val="1"/>
          <w:color w:val="auto"/>
        </w:rPr>
      </w:pPr>
    </w:p>
    <w:p>
      <w:pPr>
        <w:ind w:left="1040" w:hanging="343"/>
        <w:spacing w:after="0"/>
        <w:tabs>
          <w:tab w:leader="none" w:pos="104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United States Department of Treasury (“Treasury”) may change the terms of our Series B Preferred Stock;</w:t>
      </w:r>
    </w:p>
    <w:p>
      <w:pPr>
        <w:spacing w:after="0" w:line="196" w:lineRule="exact"/>
        <w:rPr>
          <w:rFonts w:ascii="Arial" w:cs="Arial" w:eastAsia="Arial" w:hAnsi="Arial"/>
          <w:sz w:val="17"/>
          <w:szCs w:val="17"/>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may face risks with respect to future expansion and acquisitions;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financial services laws and regulations change;</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failure of other financial institutions;</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special assessment imposed by the FDIC on all FDIC-insured institutions, which will decrease our earnings in 2009, and any additional special assessments that the FDIC may impose in the future;</w:t>
      </w:r>
    </w:p>
    <w:p>
      <w:pPr>
        <w:spacing w:after="0" w:line="143"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are subject to a board resolution proposed to us by the Federal Reserve Bank of Atlanta, and we may become subject to an informal memorandum of understanding or formal enforcement action; and</w:t>
      </w:r>
    </w:p>
    <w:p>
      <w:pPr>
        <w:spacing w:after="0" w:line="129"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unanticipated regulatory or judicial proceedings or enforcement actions occur, or any such proceedings or enforcement actions are more severe that we anticipate.</w:t>
      </w:r>
    </w:p>
    <w:p>
      <w:pPr>
        <w:spacing w:after="0" w:line="130" w:lineRule="exact"/>
        <w:rPr>
          <w:sz w:val="20"/>
          <w:szCs w:val="20"/>
          <w:color w:val="auto"/>
        </w:rPr>
      </w:pPr>
    </w:p>
    <w:p>
      <w:pPr>
        <w:jc w:val="both"/>
        <w:ind w:left="340" w:right="559" w:firstLine="747"/>
        <w:spacing w:after="0" w:line="312" w:lineRule="auto"/>
        <w:rPr>
          <w:sz w:val="20"/>
          <w:szCs w:val="20"/>
          <w:color w:val="auto"/>
        </w:rPr>
      </w:pPr>
      <w:r>
        <w:rPr>
          <w:rFonts w:ascii="Arial" w:cs="Arial" w:eastAsia="Arial" w:hAnsi="Arial"/>
          <w:sz w:val="16"/>
          <w:szCs w:val="16"/>
          <w:color w:val="auto"/>
        </w:rPr>
        <w:t>All written or oral forward-looking statements attributable to us or any person acting on our behalf made after the date of this prospectus supplement are expressly qualified in their entirety by the risk factors and cautionary statements contained in and incorporated by reference into this prospectus supplement and the accompanying prospectus. We do not undertake any</w:t>
      </w:r>
    </w:p>
    <w:p>
      <w:pPr>
        <w:sectPr>
          <w:pgSz w:w="11900" w:h="16871" w:orient="portrait"/>
          <w:cols w:equalWidth="0" w:num="1">
            <w:col w:w="10219"/>
          </w:cols>
          <w:pgMar w:left="240" w:top="419" w:right="1440" w:bottom="0" w:gutter="0" w:footer="0" w:header="0"/>
        </w:sectPr>
      </w:pPr>
    </w:p>
    <w:bookmarkStart w:id="25" w:name="page26"/>
    <w:bookmarkEnd w:id="25"/>
    <w:p>
      <w:pPr>
        <w:ind w:right="559"/>
        <w:spacing w:after="0" w:line="277" w:lineRule="auto"/>
        <w:rPr>
          <w:sz w:val="20"/>
          <w:szCs w:val="20"/>
          <w:color w:val="auto"/>
        </w:rPr>
      </w:pPr>
      <w:r>
        <w:rPr>
          <w:rFonts w:ascii="Arial" w:cs="Arial" w:eastAsia="Arial" w:hAnsi="Arial"/>
          <w:sz w:val="18"/>
          <w:szCs w:val="18"/>
          <w:color w:val="auto"/>
        </w:rPr>
        <w:t>obligation to release publicly any revisions to such forward-looking statements to reflect events or circumstances after the date of this prospectus supplement or to reflect the occurrence of unanticipated events.</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6" w:name="page27"/>
    <w:bookmarkEnd w:id="26"/>
    <w:p>
      <w:pPr>
        <w:spacing w:after="0" w:line="1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GAAP Reconciliation and Explanation</w:t>
      </w:r>
    </w:p>
    <w:p>
      <w:pPr>
        <w:spacing w:after="0" w:line="202" w:lineRule="exact"/>
        <w:rPr>
          <w:sz w:val="20"/>
          <w:szCs w:val="20"/>
          <w:color w:val="auto"/>
        </w:rPr>
      </w:pPr>
    </w:p>
    <w:p>
      <w:pPr>
        <w:jc w:val="both"/>
        <w:ind w:left="340" w:right="559" w:firstLine="747"/>
        <w:spacing w:after="0" w:line="288" w:lineRule="auto"/>
        <w:rPr>
          <w:sz w:val="20"/>
          <w:szCs w:val="20"/>
          <w:color w:val="auto"/>
        </w:rPr>
      </w:pPr>
      <w:r>
        <w:rPr>
          <w:rFonts w:ascii="Arial" w:cs="Arial" w:eastAsia="Arial" w:hAnsi="Arial"/>
          <w:sz w:val="16"/>
          <w:szCs w:val="16"/>
          <w:color w:val="auto"/>
        </w:rPr>
        <w:t>This Form 10-Q contains non-GAAP financial measures determined by methods other than in accordance with GAAP. Such non-GAAP financial measures include, among others the following: operating revenue, operating expense, operating (loss) income, operating earnings (loss) per share and operating earnings (loss) per diluted share. Management uses these non-GAAP financial measures because it believes it is useful for evaluating our operations and performance over periods of time, as well as in managing and evaluating our business and in discussions about our operations and performance. Management believes these non-GAAP financial measures provides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26.</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w:t>
      </w:r>
    </w:p>
    <w:p>
      <w:pPr>
        <w:spacing w:after="0" w:line="189" w:lineRule="exact"/>
        <w:rPr>
          <w:sz w:val="20"/>
          <w:szCs w:val="20"/>
          <w:color w:val="auto"/>
        </w:rPr>
      </w:pPr>
    </w:p>
    <w:p>
      <w:pPr>
        <w:jc w:val="both"/>
        <w:ind w:left="340" w:right="559" w:firstLine="747"/>
        <w:spacing w:after="0" w:line="268" w:lineRule="auto"/>
        <w:rPr>
          <w:sz w:val="20"/>
          <w:szCs w:val="20"/>
          <w:color w:val="auto"/>
        </w:rPr>
      </w:pPr>
      <w:r>
        <w:rPr>
          <w:rFonts w:ascii="Arial" w:cs="Arial" w:eastAsia="Arial" w:hAnsi="Arial"/>
          <w:sz w:val="17"/>
          <w:szCs w:val="17"/>
          <w:color w:val="auto"/>
        </w:rPr>
        <w:t xml:space="preserve">On June 19, 2009, United Community Bank (“Bank”) acquired the banking operations of Southern Community Bank (“SCB”) from the Federal Deposit Insurance Corporation (“FDIC”). The Bank acquired $378.2 million of assets and assumed $366.8 million of liabilities. The Bank and the FDIC entered loss sharing agreements regarding future losses incurred on loans and foreclosed loan collateral existing at June 19, 2009. Under the terms of the loss sharing agreements, the FDIC will absorb 80 percent of losses and share in 80 percent of loss recoveries on the first $109 million of losses, and absorb 95 percent of losses and share in 95 percent of loss recoveries on losses exceeding $109 million. The term for loss sharing on residential real estate loans is ten years, while the term for loss sharing on all other loans is five years. The SCB acquisition was accounted for under the purchase method of accounting in accordance with the Financial Accounting Standards Board’s Accounting Standards Codification,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United recorded a gain totaling $11.4 million in the second quarter of 2009 resulting from the acquisition, which is a component of fee revenue on the consolidated statement of income. The amount of the gain is equal to the amount by which the fair value of assets purchased exceeded the fair value of liabilities assumed. See Note 2 of the Notes to unaudited Consolidated Financial Statements for additional information regarding the acquisition.</w:t>
      </w:r>
    </w:p>
    <w:p>
      <w:pPr>
        <w:spacing w:after="0" w:line="161"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The results of operations of SCB are included in the consolidated statement of income from the acquisition date of June 19, 2009.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559" w:firstLine="747"/>
        <w:spacing w:after="0" w:line="342" w:lineRule="auto"/>
        <w:rPr>
          <w:sz w:val="20"/>
          <w:szCs w:val="20"/>
          <w:color w:val="auto"/>
        </w:rPr>
      </w:pPr>
      <w:r>
        <w:rPr>
          <w:rFonts w:ascii="Arial" w:cs="Arial" w:eastAsia="Arial" w:hAnsi="Arial"/>
          <w:sz w:val="16"/>
          <w:szCs w:val="16"/>
          <w:color w:val="auto"/>
        </w:rPr>
        <w:t>The following discussion is intended to provide insight into the results of operations and financial condition of United and its subsidiaries and should be read in conjunction with the consolidated financial statements and accompanying notes.</w:t>
      </w:r>
    </w:p>
    <w:p>
      <w:pPr>
        <w:spacing w:after="0" w:line="97"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September 30, 2009, United had total consolidated assets of $8.4 billion, total loans of $5.4 billion, excluding the loans acquired from Southern Community Bank that are covered by loss sharing agreements, total deposits of $6.8 billion and stockholders’ equity of $1.0 billion.</w:t>
      </w:r>
    </w:p>
    <w:p>
      <w:pPr>
        <w:spacing w:after="0" w:line="148"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United’s activities are primarily conducted by its wholly owned Georgia banking subsidiary (the “Bank”) and Brintech, Inc., a consulting firm providing professional services to the financial services industry. The Bank operations are conducted under a community bank model that operates 27 “community banks” with local bank presidents and boards in north Georgia, the Atlanta metropolitan statistical area (“MSA”), the Gainesville MSA, coastal Georgia, western North Carolina, and east Tennessee.</w:t>
      </w:r>
    </w:p>
    <w:p>
      <w:pPr>
        <w:spacing w:after="0" w:line="148"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United reported a net loss of $68.7 million for the third quarter of 2009, which included a non-recurring, non-cash charge of $25 million for goodwill impairment. United’s net operating loss, which excludes the goodwill impairment charge, was $43.7 million for the third quarter of 2009. This compared with a net loss of $39.9 million for the third quarter of 2008. Diluted operating loss per common share was $.93 for the third quarter of 2009, compared with a diluted loss per common share of $.84 for the third quarter of 2008. The goodwill impairment charge represented $.50 of loss per share for the third quarter of 2009, increasing the net loss per diluted share to $1.43. The third quarter of 2009 operating loss reflects the continuing recessionary economic environment and credit losses primarily resulting from the weak residential construction and housing market.</w:t>
      </w:r>
    </w:p>
    <w:p>
      <w:pPr>
        <w:spacing w:after="0" w:line="140" w:lineRule="exact"/>
        <w:rPr>
          <w:sz w:val="20"/>
          <w:szCs w:val="20"/>
          <w:color w:val="auto"/>
        </w:rPr>
      </w:pPr>
    </w:p>
    <w:p>
      <w:pPr>
        <w:jc w:val="both"/>
        <w:ind w:left="340" w:right="559" w:firstLine="747"/>
        <w:spacing w:after="0" w:line="253" w:lineRule="auto"/>
        <w:rPr>
          <w:sz w:val="20"/>
          <w:szCs w:val="20"/>
          <w:color w:val="auto"/>
        </w:rPr>
      </w:pPr>
      <w:r>
        <w:rPr>
          <w:rFonts w:ascii="Arial" w:cs="Arial" w:eastAsia="Arial" w:hAnsi="Arial"/>
          <w:sz w:val="18"/>
          <w:szCs w:val="18"/>
          <w:color w:val="auto"/>
        </w:rPr>
        <w:t>For the nine-month period ended September 30, 2009, United reported a net loss of $188.5 million, including an $11.4 million gain from the acquisition of Southern Community Bank, $95 million in goodwill impairment charges recognized in the third and first quarters and a $2.9 million charge for a reduction in workforce recognized in the first quarter. United’s net operating loss for the first nine months of 2009, which excludes the gain on acquisition, goodwill impairment and severance costs, was $98.8 million, compared to a net operating loss for the first nine months of 2008 of $16.7 million. Diluted operating loss per common share was $2.17 for the nine months ended September 30, 2009, compared with a diluted operating loss per common share of $.35 for the same period in 2008. The gain on acquisition, goodwill impairment and severance costs represented $.15 of earnings per share, $1.95 of loss and $.04 of loss, respectively, for the year, bringing the net loss per common share to $4.01.</w:t>
      </w:r>
    </w:p>
    <w:p>
      <w:pPr>
        <w:spacing w:after="0" w:line="157"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Operating loss and operating loss per diluted share are non-GAAP performance measures. United’s management believes that operating performance is useful in analyzing the company’s financial performance trends since it excludes items that are non-recurring in nature. A reconciliation of these operating performance measures to GAAP performance measures is included in the table on page 26.</w:t>
      </w:r>
    </w:p>
    <w:p>
      <w:pPr>
        <w:sectPr>
          <w:pgSz w:w="11900" w:h="16851"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ectPr>
          <w:pgSz w:w="11900" w:h="16851" w:orient="portrait"/>
          <w:cols w:equalWidth="0" w:num="1">
            <w:col w:w="10219"/>
          </w:cols>
          <w:pgMar w:left="240" w:top="419" w:right="1440" w:bottom="0" w:gutter="0" w:footer="0" w:header="0"/>
          <w:type w:val="continuous"/>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89" w:lineRule="auto"/>
        <w:rPr>
          <w:sz w:val="20"/>
          <w:szCs w:val="20"/>
          <w:color w:val="auto"/>
        </w:rPr>
      </w:pPr>
      <w:r>
        <w:rPr>
          <w:rFonts w:ascii="Arial" w:cs="Arial" w:eastAsia="Arial" w:hAnsi="Arial"/>
          <w:sz w:val="16"/>
          <w:szCs w:val="16"/>
          <w:color w:val="auto"/>
        </w:rPr>
        <w:t>Compared to a year ago, operating earnings for the quarter and year-to-date decreased primarily as a result of a higher provision for loan losses related to the deteriorating credit conditions and resulting increase in charge-offs within the loan portfolio. Margin compression due to an increase in non-performing assets, competitive deposit pricing and the ongoing effect of efforts to maintain liquidity also contributed to lower earnings, although much progress has been made in restoring the margin after falling to 2.70% in the fourth quarter of 2008. The net interest margin of 3.39% for the third quarter of 2009 is up 22 basis points from the third quarter of 2008 and up 69 basis points from the fourth quarter of 2008, reflecting improvement in loan and deposit pricing. Housing sales remain at low levels, leaving a surplus of finished housing and lot inventory in our markets, most notably in the Atlanta MSA. This decline in housing sales negatively affects both the cash flows of our residential construction and land development customers, and the demand for foreclosed developed real estate held by United.</w:t>
      </w:r>
    </w:p>
    <w:p>
      <w:pPr>
        <w:spacing w:after="0" w:line="140"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Nonperforming assets of $415 million, which excludes assets of SCB that were covered by the loss sharing agreements with the FDIC, increased to 4.91% of total assets as of September 30, 2009, compared to 2.19% as of September 30, 2008 and 2.92% as of December 31, 2008. This increase was primarily the reflection of the continuing effects of declining home sales in United’s markets.</w:t>
      </w:r>
    </w:p>
    <w:p>
      <w:pPr>
        <w:spacing w:after="0" w:line="146"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Operating fee revenue increased $2.6 million, or 19%, and decreased $856,000, or 2%, from the third quarter and first nine months of 2008, respectively. The key contributors to the increase over the third quarter of 2008 were higher mortgage fees resulting from the higher level of refinancing activity brought on by historically low mortgage rates, higher consulting fees due to the completion of internally focused projects, a higher level of net securities gains and a higher level of earnings on United’s deferred compensation plan and bank owned life insurance assets. These increases were offset by lower brokerage fees due to the weak market and declining value of assets under management and slightly lower deposit service charges.</w:t>
      </w:r>
    </w:p>
    <w:p>
      <w:pPr>
        <w:spacing w:after="0" w:line="124"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6"/>
          <w:szCs w:val="16"/>
          <w:color w:val="auto"/>
        </w:rPr>
        <w:t>Operating expenses, excluding the $25 million non-recurring goodwill impairment charge, decreased $3.4 million, or 6%, from the third quarter of 2008. Decreases occurred in most expense categories with the exception of occupancy expense which includes the cost of the additional branch locations resulting from the acquisition of SCB, professional fees which include higher legal costs resulting from loan workouts and foreclosure activity, FDIC assessments and regulatory charges which reflects an increase in deposit insurance assessments that began in January of 2009, amortization of intangibles which includes the amortization of core deposit intangibles resulting from the SCB acquisition in the second quarter of 2009 and other expense which is due to a number of items including higher insurance costs. All other operating expense categories decreased from the third quarter of 2008. The decrease in salaries and employee benefits reflects the reduction in force that occurred earlier in the year and a decrease in annual incentives. The decrease in advertising and public relations expense reflects tighter control of discretionary spending. Foreclosed property expense was also down from a year ago but remains at an elevated level due to the higher level of nonperforming assets. For the first nine months of 2009, operating expenses, excluding non-recurring items, of $161.5 million is up $7.3 million from the same period of 2008. The key drivers of the increase are the special FDIC assessment of approximately $3.7 million that was expensed in the second quarter and a higher level of foreclosed property costs.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intangible assets and income taxes. In particular, United’s accounting policies related to allowance for loan losses, intangibles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United reported a net operating loss of $43.7 million for the third quarter of 2009. This compared to a net operating loss of $39.9 million for the same period in 2008. The 2009 net operating loss excludes a non-recurring, non-cash charge of $25 million for goodwill impairment. Including the goodwill impairment charge, the net loss for the third quarter of 2009 was $68.7 million. The third quarter 2009 diluted operating loss per share was $.93. This compared to diluted operating loss per share of $.84 for the third quarter of 2008. The diluted operating loss for the third quarter of 2009 excludes the goodwill impairment charge. Including the goodwill impairment charge, the third quarter 2009 net loss per diluted share was $1.43.</w:t>
      </w:r>
    </w:p>
    <w:p>
      <w:pPr>
        <w:spacing w:after="0" w:line="124"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For the first nine months of 2009, United reported a net operating loss of $98.8 million, which excluded the $11.4 million gain on acquisition, non-recurring, non-cash goodwill impairment charges of $95 million and non-recurring severance costs of $2.9 million. Net operating loss for the same period in 2008 was $16.7 million. Diluted operating loss per share for the nine months ended September 30, 2009 was $2.17, which excluded $.15 in earnings per share related to the gain on acquisition and $1.95 and $.04 in loss per share related to the goodwill impairment charges and severance costs, respectively. This compared to diluted operating loss per share of $.35 for the first nine months of 2008. The net operating losses in 2009 and 2008 reflect higher provisions for loan losses related to the continuing effect of the economic recession and the weak residential construction and housing markets. Including the non-recurring items, the net loss and net loss per diluted share for the first nine months of 2009 was $188.5 million and $4.01, respectively.</w:t>
      </w:r>
    </w:p>
    <w:p>
      <w:pPr>
        <w:spacing w:after="0" w:line="141"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Operating loss, operating loss per share and other operating performance measures are non-GAAP performance measures. United’s management believes that operating performance is useful in analyzing the company’s financial performance trends since it excludes items that are non-recurring in nature. A reconciliation of these operating performance measures to GAAP performance measures is included in the table on page 26.</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Financial Information</w:t>
      </w:r>
    </w:p>
    <w:p>
      <w:pPr>
        <w:spacing w:after="0" w:line="125"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2"/>
              </w:rPr>
              <w:t>2009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vMerge w:val="restart"/>
          </w:tcPr>
          <w:p>
            <w:pPr>
              <w:jc w:val="right"/>
              <w:ind w:right="13"/>
              <w:spacing w:after="0"/>
              <w:rPr>
                <w:sz w:val="20"/>
                <w:szCs w:val="20"/>
                <w:color w:val="auto"/>
              </w:rPr>
            </w:pPr>
            <w:r>
              <w:rPr>
                <w:rFonts w:ascii="Arial" w:cs="Arial" w:eastAsia="Arial" w:hAnsi="Arial"/>
                <w:sz w:val="13"/>
                <w:szCs w:val="13"/>
                <w:b w:val="1"/>
                <w:bCs w:val="1"/>
                <w:color w:val="auto"/>
              </w:rPr>
              <w:t>2008</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Third</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97"/>
              </w:rPr>
              <w:t>Quarter</w:t>
            </w:r>
          </w:p>
        </w:tc>
        <w:tc>
          <w:tcPr>
            <w:tcW w:w="80" w:type="dxa"/>
            <w:vAlign w:val="bottom"/>
          </w:tcPr>
          <w:p>
            <w:pPr>
              <w:spacing w:after="0"/>
              <w:rPr>
                <w:sz w:val="12"/>
                <w:szCs w:val="12"/>
                <w:color w:val="auto"/>
              </w:rPr>
            </w:pPr>
          </w:p>
        </w:tc>
        <w:tc>
          <w:tcPr>
            <w:tcW w:w="1580" w:type="dxa"/>
            <w:vAlign w:val="bottom"/>
            <w:gridSpan w:val="5"/>
          </w:tcPr>
          <w:p>
            <w:pPr>
              <w:jc w:val="right"/>
              <w:ind w:right="600"/>
              <w:spacing w:after="0" w:line="140" w:lineRule="exact"/>
              <w:rPr>
                <w:sz w:val="20"/>
                <w:szCs w:val="20"/>
                <w:color w:val="auto"/>
              </w:rPr>
            </w:pPr>
            <w:r>
              <w:rPr>
                <w:rFonts w:ascii="Arial" w:cs="Arial" w:eastAsia="Arial" w:hAnsi="Arial"/>
                <w:sz w:val="13"/>
                <w:szCs w:val="13"/>
                <w:b w:val="1"/>
                <w:bCs w:val="1"/>
                <w:color w:val="auto"/>
              </w:rPr>
              <w:t>For the Nine</w:t>
            </w:r>
          </w:p>
        </w:tc>
        <w:tc>
          <w:tcPr>
            <w:tcW w:w="680" w:type="dxa"/>
            <w:vAlign w:val="bottom"/>
            <w:gridSpan w:val="2"/>
          </w:tcPr>
          <w:p>
            <w:pPr>
              <w:jc w:val="right"/>
              <w:ind w:right="280"/>
              <w:spacing w:after="0" w:line="140" w:lineRule="exact"/>
              <w:rPr>
                <w:sz w:val="20"/>
                <w:szCs w:val="20"/>
                <w:color w:val="auto"/>
              </w:rPr>
            </w:pPr>
            <w:r>
              <w:rPr>
                <w:rFonts w:ascii="Arial" w:cs="Arial" w:eastAsia="Arial" w:hAnsi="Arial"/>
                <w:sz w:val="13"/>
                <w:szCs w:val="13"/>
                <w:b w:val="1"/>
                <w:bCs w:val="1"/>
                <w:color w:val="auto"/>
              </w:rPr>
              <w:t>YTD</w:t>
            </w:r>
          </w:p>
        </w:tc>
        <w:tc>
          <w:tcPr>
            <w:tcW w:w="0" w:type="dxa"/>
            <w:vAlign w:val="bottom"/>
          </w:tcPr>
          <w:p>
            <w:pPr>
              <w:spacing w:after="0"/>
              <w:rPr>
                <w:sz w:val="1"/>
                <w:szCs w:val="1"/>
                <w:color w:val="auto"/>
              </w:rPr>
            </w:pPr>
          </w:p>
        </w:tc>
      </w:tr>
      <w:tr>
        <w:trPr>
          <w:trHeight w:val="129"/>
        </w:trPr>
        <w:tc>
          <w:tcPr>
            <w:tcW w:w="2140" w:type="dxa"/>
            <w:vAlign w:val="bottom"/>
            <w:gridSpan w:val="2"/>
          </w:tcPr>
          <w:p>
            <w:pPr>
              <w:spacing w:after="0" w:line="129" w:lineRule="exact"/>
              <w:rPr>
                <w:sz w:val="20"/>
                <w:szCs w:val="20"/>
                <w:color w:val="auto"/>
              </w:rPr>
            </w:pPr>
            <w:r>
              <w:rPr>
                <w:rFonts w:ascii="Arial" w:cs="Arial" w:eastAsia="Arial" w:hAnsi="Arial"/>
                <w:sz w:val="13"/>
                <w:szCs w:val="13"/>
                <w:i w:val="1"/>
                <w:iCs w:val="1"/>
                <w:color w:val="auto"/>
              </w:rPr>
              <w:t>(in thousands, except per share</w:t>
            </w:r>
          </w:p>
        </w:tc>
        <w:tc>
          <w:tcPr>
            <w:tcW w:w="8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Third</w:t>
            </w:r>
          </w:p>
        </w:tc>
        <w:tc>
          <w:tcPr>
            <w:tcW w:w="80" w:type="dxa"/>
            <w:vAlign w:val="bottom"/>
          </w:tcPr>
          <w:p>
            <w:pPr>
              <w:spacing w:after="0"/>
              <w:rPr>
                <w:sz w:val="11"/>
                <w:szCs w:val="11"/>
                <w:color w:val="auto"/>
              </w:rPr>
            </w:pPr>
          </w:p>
        </w:tc>
        <w:tc>
          <w:tcPr>
            <w:tcW w:w="74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85"/>
              </w:rPr>
              <w:t>Second</w:t>
            </w:r>
          </w:p>
        </w:tc>
        <w:tc>
          <w:tcPr>
            <w:tcW w:w="80" w:type="dxa"/>
            <w:vAlign w:val="bottom"/>
          </w:tcPr>
          <w:p>
            <w:pPr>
              <w:spacing w:after="0"/>
              <w:rPr>
                <w:sz w:val="11"/>
                <w:szCs w:val="11"/>
                <w:color w:val="auto"/>
              </w:rPr>
            </w:pPr>
          </w:p>
        </w:tc>
        <w:tc>
          <w:tcPr>
            <w:tcW w:w="52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First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w w:val="97"/>
              </w:rPr>
              <w:t>Fourth</w:t>
            </w:r>
          </w:p>
        </w:tc>
        <w:tc>
          <w:tcPr>
            <w:tcW w:w="6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3"/>
                <w:szCs w:val="13"/>
                <w:b w:val="1"/>
                <w:bCs w:val="1"/>
                <w:color w:val="auto"/>
              </w:rPr>
              <w:t>Third</w:t>
            </w:r>
          </w:p>
        </w:tc>
        <w:tc>
          <w:tcPr>
            <w:tcW w:w="240" w:type="dxa"/>
            <w:vAlign w:val="bottom"/>
          </w:tcPr>
          <w:p>
            <w:pPr>
              <w:spacing w:after="0"/>
              <w:rPr>
                <w:sz w:val="11"/>
                <w:szCs w:val="11"/>
                <w:color w:val="auto"/>
              </w:rPr>
            </w:pPr>
          </w:p>
        </w:tc>
        <w:tc>
          <w:tcPr>
            <w:tcW w:w="72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w w:val="83"/>
              </w:rPr>
              <w:t>2009-2008</w:t>
            </w:r>
          </w:p>
        </w:tc>
        <w:tc>
          <w:tcPr>
            <w:tcW w:w="80" w:type="dxa"/>
            <w:vAlign w:val="bottom"/>
          </w:tcPr>
          <w:p>
            <w:pPr>
              <w:spacing w:after="0"/>
              <w:rPr>
                <w:sz w:val="11"/>
                <w:szCs w:val="11"/>
                <w:color w:val="auto"/>
              </w:rPr>
            </w:pPr>
          </w:p>
        </w:tc>
        <w:tc>
          <w:tcPr>
            <w:tcW w:w="1580" w:type="dxa"/>
            <w:vAlign w:val="bottom"/>
            <w:gridSpan w:val="5"/>
          </w:tcPr>
          <w:p>
            <w:pPr>
              <w:jc w:val="right"/>
              <w:ind w:right="540"/>
              <w:spacing w:after="0" w:line="129" w:lineRule="exact"/>
              <w:rPr>
                <w:sz w:val="20"/>
                <w:szCs w:val="20"/>
                <w:color w:val="auto"/>
              </w:rPr>
            </w:pPr>
            <w:r>
              <w:rPr>
                <w:rFonts w:ascii="Arial" w:cs="Arial" w:eastAsia="Arial" w:hAnsi="Arial"/>
                <w:sz w:val="13"/>
                <w:szCs w:val="13"/>
                <w:b w:val="1"/>
                <w:bCs w:val="1"/>
                <w:color w:val="auto"/>
              </w:rPr>
              <w:t>Months Ended</w:t>
            </w:r>
          </w:p>
        </w:tc>
        <w:tc>
          <w:tcPr>
            <w:tcW w:w="680" w:type="dxa"/>
            <w:vAlign w:val="bottom"/>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w w:val="83"/>
              </w:rPr>
              <w:t>2009-2008</w:t>
            </w:r>
          </w:p>
        </w:tc>
        <w:tc>
          <w:tcPr>
            <w:tcW w:w="0" w:type="dxa"/>
            <w:vAlign w:val="bottom"/>
          </w:tcPr>
          <w:p>
            <w:pPr>
              <w:spacing w:after="0"/>
              <w:rPr>
                <w:sz w:val="1"/>
                <w:szCs w:val="1"/>
                <w:color w:val="auto"/>
              </w:rPr>
            </w:pPr>
          </w:p>
        </w:tc>
      </w:tr>
      <w:tr>
        <w:trPr>
          <w:trHeight w:val="129"/>
        </w:trPr>
        <w:tc>
          <w:tcPr>
            <w:tcW w:w="20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i w:val="1"/>
                <w:iCs w:val="1"/>
                <w:color w:val="auto"/>
              </w:rPr>
              <w:t>data; taxable equivalent)</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Quarter</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93"/>
              </w:rPr>
              <w:t>Quarter</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Quarter</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Quarter</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3"/>
                <w:szCs w:val="13"/>
                <w:b w:val="1"/>
                <w:bCs w:val="1"/>
                <w:color w:val="auto"/>
              </w:rPr>
              <w:t>Quarter</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8"/>
              </w:rPr>
              <w:t>Change</w:t>
            </w: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2009</w:t>
            </w: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2008</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1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INCOME SUMMARY</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spacing w:after="0" w:line="135" w:lineRule="exact"/>
              <w:rPr>
                <w:sz w:val="20"/>
                <w:szCs w:val="20"/>
                <w:color w:val="auto"/>
              </w:rPr>
            </w:pPr>
            <w:r>
              <w:rPr>
                <w:rFonts w:ascii="Arial" w:cs="Arial" w:eastAsia="Arial" w:hAnsi="Arial"/>
                <w:sz w:val="13"/>
                <w:szCs w:val="13"/>
                <w:color w:val="auto"/>
              </w:rPr>
              <w:t>Interest revenue</w:t>
            </w:r>
            <w:r>
              <w:rPr>
                <w:rFonts w:ascii="Arial" w:cs="Arial" w:eastAsia="Arial" w:hAnsi="Arial"/>
                <w:sz w:val="10"/>
                <w:szCs w:val="10"/>
                <w:color w:val="auto"/>
              </w:rPr>
              <w:t>(1)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101,181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102,737</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103,562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108,434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112,510</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307,480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358,535</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38,177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41,855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46,150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56,561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53,719</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126,182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171,704</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gridSpan w:val="2"/>
          </w:tcPr>
          <w:p>
            <w:pPr>
              <w:ind w:left="400"/>
              <w:spacing w:after="0" w:line="143" w:lineRule="exact"/>
              <w:rPr>
                <w:sz w:val="20"/>
                <w:szCs w:val="20"/>
                <w:color w:val="auto"/>
              </w:rPr>
            </w:pPr>
            <w:r>
              <w:rPr>
                <w:rFonts w:ascii="Arial" w:cs="Arial" w:eastAsia="Arial" w:hAnsi="Arial"/>
                <w:sz w:val="13"/>
                <w:szCs w:val="13"/>
                <w:color w:val="auto"/>
              </w:rPr>
              <w:t>Net interest revenue</w:t>
            </w:r>
            <w:r>
              <w:rPr>
                <w:rFonts w:ascii="Arial" w:cs="Arial" w:eastAsia="Arial" w:hAnsi="Arial"/>
                <w:sz w:val="10"/>
                <w:szCs w:val="10"/>
                <w:color w:val="auto"/>
              </w:rPr>
              <w:t>(1)</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63,004</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60,882</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57,412</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51,873</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58,791</w:t>
            </w:r>
          </w:p>
        </w:tc>
        <w:tc>
          <w:tcPr>
            <w:tcW w:w="240" w:type="dxa"/>
            <w:vAlign w:val="bottom"/>
          </w:tcPr>
          <w:p>
            <w:pPr>
              <w:spacing w:after="0"/>
              <w:rPr>
                <w:sz w:val="12"/>
                <w:szCs w:val="12"/>
                <w:color w:val="auto"/>
              </w:rPr>
            </w:pP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7%</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181,298</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186,831</w:t>
            </w:r>
          </w:p>
        </w:tc>
        <w:tc>
          <w:tcPr>
            <w:tcW w:w="240" w:type="dxa"/>
            <w:vAlign w:val="bottom"/>
          </w:tcPr>
          <w:p>
            <w:pPr>
              <w:spacing w:after="0"/>
              <w:rPr>
                <w:sz w:val="12"/>
                <w:szCs w:val="12"/>
                <w:color w:val="auto"/>
              </w:rPr>
            </w:pPr>
          </w:p>
        </w:tc>
        <w:tc>
          <w:tcPr>
            <w:tcW w:w="6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Provision for loan losses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65,000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85,000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76,000</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220,000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99,000</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spacing w:after="0" w:line="135" w:lineRule="exact"/>
              <w:rPr>
                <w:sz w:val="20"/>
                <w:szCs w:val="20"/>
                <w:color w:val="auto"/>
              </w:rPr>
            </w:pPr>
            <w:r>
              <w:rPr>
                <w:rFonts w:ascii="Arial" w:cs="Arial" w:eastAsia="Arial" w:hAnsi="Arial"/>
                <w:sz w:val="13"/>
                <w:szCs w:val="13"/>
                <w:color w:val="auto"/>
              </w:rPr>
              <w:t>Operating fee revenue</w:t>
            </w: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15,671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13,050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12,846</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10,718</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13,121</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41,567</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42,423</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b w:val="1"/>
                <w:bCs w:val="1"/>
                <w:color w:val="auto"/>
              </w:rPr>
              <w:t>Total revenue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(16,325)</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13,932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5,258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(22,409)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(4,088)</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2,865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130,254</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35"/>
        </w:trPr>
        <w:tc>
          <w:tcPr>
            <w:tcW w:w="2140" w:type="dxa"/>
            <w:vAlign w:val="bottom"/>
            <w:gridSpan w:val="2"/>
          </w:tcPr>
          <w:p>
            <w:pPr>
              <w:spacing w:after="0" w:line="135" w:lineRule="exact"/>
              <w:rPr>
                <w:sz w:val="20"/>
                <w:szCs w:val="20"/>
                <w:color w:val="auto"/>
              </w:rPr>
            </w:pPr>
            <w:r>
              <w:rPr>
                <w:rFonts w:ascii="Arial" w:cs="Arial" w:eastAsia="Arial" w:hAnsi="Arial"/>
                <w:sz w:val="13"/>
                <w:szCs w:val="13"/>
                <w:color w:val="auto"/>
              </w:rPr>
              <w:t>Operating expenses</w:t>
            </w: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53,606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55,348</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52,569</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52,439</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56,970</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161,523</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154,260</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Operating loss before taxes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(69,931)</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(41,416)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(47,311)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(74,848)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(61,058)</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6"/>
              </w:rPr>
              <w:t>(158,658)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(24,006)</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spacing w:after="0" w:line="135" w:lineRule="exact"/>
              <w:rPr>
                <w:sz w:val="20"/>
                <w:szCs w:val="20"/>
                <w:color w:val="auto"/>
              </w:rPr>
            </w:pPr>
            <w:r>
              <w:rPr>
                <w:rFonts w:ascii="Arial" w:cs="Arial" w:eastAsia="Arial" w:hAnsi="Arial"/>
                <w:sz w:val="13"/>
                <w:szCs w:val="13"/>
                <w:color w:val="auto"/>
              </w:rPr>
              <w:t>Income tax benefit</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(26,213)</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(18,353)</w:t>
            </w: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(15,335)</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(28,101)</w:t>
            </w:r>
          </w:p>
        </w:tc>
        <w:tc>
          <w:tcPr>
            <w:tcW w:w="6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(21,184)</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(59,901)</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(7,303)</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b w:val="1"/>
                <w:bCs w:val="1"/>
                <w:color w:val="auto"/>
              </w:rPr>
              <w:t>Net operating loss</w:t>
            </w:r>
            <w:r>
              <w:rPr>
                <w:rFonts w:ascii="Arial" w:cs="Arial" w:eastAsia="Arial" w:hAnsi="Arial"/>
                <w:sz w:val="10"/>
                <w:szCs w:val="10"/>
                <w:color w:val="auto"/>
              </w:rPr>
              <w:t>(1)</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(43,718)</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(23,063)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(31,976)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(46,747)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(39,874)</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(98,757)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(16,703)</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140" w:type="dxa"/>
            <w:vAlign w:val="bottom"/>
            <w:gridSpan w:val="2"/>
          </w:tcPr>
          <w:p>
            <w:pPr>
              <w:spacing w:after="0" w:line="121" w:lineRule="exact"/>
              <w:rPr>
                <w:sz w:val="20"/>
                <w:szCs w:val="20"/>
                <w:color w:val="auto"/>
              </w:rPr>
            </w:pPr>
            <w:r>
              <w:rPr>
                <w:rFonts w:ascii="Arial" w:cs="Arial" w:eastAsia="Arial" w:hAnsi="Arial"/>
                <w:sz w:val="13"/>
                <w:szCs w:val="13"/>
                <w:color w:val="auto"/>
              </w:rPr>
              <w:t>Gain from acquisitions, net of tax</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ind w:left="20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7,062</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7,062</w:t>
            </w: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9"/>
              </w:rPr>
              <w:t>Noncash goodwill impairment charge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(25,000)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(70,000)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(95,000)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spacing w:after="0" w:line="135" w:lineRule="exact"/>
              <w:rPr>
                <w:sz w:val="20"/>
                <w:szCs w:val="20"/>
                <w:color w:val="auto"/>
              </w:rPr>
            </w:pPr>
            <w:r>
              <w:rPr>
                <w:rFonts w:ascii="Arial" w:cs="Arial" w:eastAsia="Arial" w:hAnsi="Arial"/>
                <w:sz w:val="13"/>
                <w:szCs w:val="13"/>
                <w:color w:val="auto"/>
              </w:rPr>
              <w:t>Severance costs, net of tax benefit</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(1,797)</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(1,797)</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b w:val="1"/>
                <w:bCs w:val="1"/>
                <w:color w:val="auto"/>
              </w:rPr>
              <w:t>Net loss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(68,718)</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(16,001)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6"/>
              </w:rPr>
              <w:t>(103,773)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(46,747)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(39,874)</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6"/>
              </w:rPr>
              <w:t>(188,492)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(16,703)</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140" w:type="dxa"/>
            <w:vAlign w:val="bottom"/>
            <w:gridSpan w:val="2"/>
          </w:tcPr>
          <w:p>
            <w:pPr>
              <w:spacing w:after="0" w:line="121" w:lineRule="exact"/>
              <w:rPr>
                <w:sz w:val="20"/>
                <w:szCs w:val="20"/>
                <w:color w:val="auto"/>
              </w:rPr>
            </w:pPr>
            <w:r>
              <w:rPr>
                <w:rFonts w:ascii="Arial" w:cs="Arial" w:eastAsia="Arial" w:hAnsi="Arial"/>
                <w:sz w:val="13"/>
                <w:szCs w:val="13"/>
                <w:color w:val="auto"/>
              </w:rPr>
              <w:t>Preferred dividends and discount</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140" w:type="dxa"/>
            <w:vAlign w:val="bottom"/>
            <w:gridSpan w:val="2"/>
          </w:tcPr>
          <w:p>
            <w:pPr>
              <w:ind w:left="200"/>
              <w:spacing w:after="0"/>
              <w:rPr>
                <w:sz w:val="20"/>
                <w:szCs w:val="20"/>
                <w:color w:val="auto"/>
              </w:rPr>
            </w:pPr>
            <w:r>
              <w:rPr>
                <w:rFonts w:ascii="Arial" w:cs="Arial" w:eastAsia="Arial" w:hAnsi="Arial"/>
                <w:sz w:val="13"/>
                <w:szCs w:val="13"/>
                <w:color w:val="auto"/>
              </w:rPr>
              <w:t>accretion</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2,562</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2,559</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2,554</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712</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4</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7,675</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12</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Net loss available to common</w:t>
            </w: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4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(71,280)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(18,560)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6"/>
              </w:rPr>
              <w:t>(106,327)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(47,459)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(39,878)</w:t>
            </w: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6"/>
              </w:rPr>
              <w:t>(196,167)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(16,715)</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PERFORMANCE MEASURES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4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Per common share:</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Diluted operating loss</w:t>
            </w:r>
            <w:r>
              <w:rPr>
                <w:rFonts w:ascii="Arial" w:cs="Arial" w:eastAsia="Arial" w:hAnsi="Arial"/>
                <w:sz w:val="10"/>
                <w:szCs w:val="10"/>
                <w:color w:val="auto"/>
              </w:rPr>
              <w:t>(1)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Diluted loss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(2.20)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(.84)</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(4.01)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(.35)</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Cash dividends declared</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Stock dividends declared</w:t>
            </w:r>
            <w:r>
              <w:rPr>
                <w:rFonts w:ascii="Arial" w:cs="Arial" w:eastAsia="Arial" w:hAnsi="Arial"/>
                <w:sz w:val="10"/>
                <w:szCs w:val="10"/>
                <w:color w:val="auto"/>
              </w:rPr>
              <w:t>(4)</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1 for 130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7"/>
              </w:rPr>
              <w:t>1 for 130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 for 130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 for 130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1 for 130</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 for 130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 for 130</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Book value</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8.85</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13.87</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14.70</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16.95</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17.12</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8.85</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17.12</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Tangible book value</w:t>
            </w:r>
            <w:r>
              <w:rPr>
                <w:rFonts w:ascii="Arial" w:cs="Arial" w:eastAsia="Arial" w:hAnsi="Arial"/>
                <w:sz w:val="10"/>
                <w:szCs w:val="10"/>
                <w:color w:val="auto"/>
              </w:rPr>
              <w:t>(1)</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8.85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9.65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10.39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10.48</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6.50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10.48</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35"/>
        </w:trPr>
        <w:tc>
          <w:tcPr>
            <w:tcW w:w="21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Key performance ratios: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Return on equity</w:t>
            </w:r>
            <w:r>
              <w:rPr>
                <w:rFonts w:ascii="Arial" w:cs="Arial" w:eastAsia="Arial" w:hAnsi="Arial"/>
                <w:sz w:val="10"/>
                <w:szCs w:val="10"/>
                <w:color w:val="auto"/>
              </w:rPr>
              <w:t>(2)(3)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(45.52)%</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(11.42)%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(58.28)%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(23.83)%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(19.07)%</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(39.11)%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(2.69)%</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Return on assets</w:t>
            </w: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(3.32)</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(.78)</w:t>
            </w: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(5.03)</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(2.19)</w:t>
            </w:r>
          </w:p>
        </w:tc>
        <w:tc>
          <w:tcPr>
            <w:tcW w:w="6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(1.94)</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(3.05)</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Net interest margin</w:t>
            </w:r>
            <w:r>
              <w:rPr>
                <w:rFonts w:ascii="Arial" w:cs="Arial" w:eastAsia="Arial" w:hAnsi="Arial"/>
                <w:sz w:val="10"/>
                <w:szCs w:val="10"/>
                <w:color w:val="auto"/>
              </w:rPr>
              <w:t>(3)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3.39</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3.28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3.08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3.17</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3.25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3.35</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Operating efficiency ratio</w:t>
            </w: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69.15</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74.15</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75.15</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81.34</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79.35</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72.72</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67.43</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Equity to assets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10.27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10.71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11.56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10.04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10.26</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10.84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10.29</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Tangible equity to assets</w:t>
            </w: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7.55</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8.24</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6.56</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6.64</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7.92</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6.71</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140" w:type="dxa"/>
            <w:vAlign w:val="bottom"/>
            <w:gridSpan w:val="2"/>
            <w:shd w:val="clear" w:color="auto" w:fill="CCEEFF"/>
          </w:tcPr>
          <w:p>
            <w:pPr>
              <w:ind w:left="400"/>
              <w:spacing w:after="0" w:line="121" w:lineRule="exact"/>
              <w:rPr>
                <w:sz w:val="20"/>
                <w:szCs w:val="20"/>
                <w:color w:val="auto"/>
              </w:rPr>
            </w:pPr>
            <w:r>
              <w:rPr>
                <w:rFonts w:ascii="Arial" w:cs="Arial" w:eastAsia="Arial" w:hAnsi="Arial"/>
                <w:sz w:val="13"/>
                <w:szCs w:val="13"/>
                <w:color w:val="auto"/>
              </w:rPr>
              <w:t>Tangible common equity to</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assets</w:t>
            </w: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5.36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6.09</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6.64</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5.74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6.70</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140" w:type="dxa"/>
            <w:vAlign w:val="bottom"/>
            <w:gridSpan w:val="2"/>
          </w:tcPr>
          <w:p>
            <w:pPr>
              <w:ind w:left="400"/>
              <w:spacing w:after="0" w:line="121" w:lineRule="exact"/>
              <w:rPr>
                <w:sz w:val="20"/>
                <w:szCs w:val="20"/>
                <w:color w:val="auto"/>
              </w:rPr>
            </w:pPr>
            <w:r>
              <w:rPr>
                <w:rFonts w:ascii="Arial" w:cs="Arial" w:eastAsia="Arial" w:hAnsi="Arial"/>
                <w:sz w:val="13"/>
                <w:szCs w:val="13"/>
                <w:color w:val="auto"/>
                <w:w w:val="93"/>
              </w:rPr>
              <w:t>Tangible common equity to risk-</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140" w:type="dxa"/>
            <w:vAlign w:val="bottom"/>
            <w:gridSpan w:val="2"/>
          </w:tcPr>
          <w:p>
            <w:pPr>
              <w:ind w:left="600"/>
              <w:spacing w:after="0"/>
              <w:rPr>
                <w:sz w:val="20"/>
                <w:szCs w:val="20"/>
                <w:color w:val="auto"/>
              </w:rPr>
            </w:pPr>
            <w:r>
              <w:rPr>
                <w:rFonts w:ascii="Arial" w:cs="Arial" w:eastAsia="Arial" w:hAnsi="Arial"/>
                <w:sz w:val="13"/>
                <w:szCs w:val="13"/>
                <w:color w:val="auto"/>
              </w:rPr>
              <w:t>weighted assets</w:t>
            </w:r>
            <w:r>
              <w:rPr>
                <w:rFonts w:ascii="Arial" w:cs="Arial" w:eastAsia="Arial" w:hAnsi="Arial"/>
                <w:sz w:val="10"/>
                <w:szCs w:val="10"/>
                <w:color w:val="auto"/>
              </w:rPr>
              <w:t>(1)</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10.33</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7.49</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8.03</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8.34</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8.26</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10.33</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8.26</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 QUALITY *</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Non-performing loans (NPLs)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304,381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287,848</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259,155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190,723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139,266</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304,381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139,266</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Foreclosed properties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110,610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104,754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75,383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59,768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38,438</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110,610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38,438</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40" w:type="dxa"/>
            <w:vAlign w:val="bottom"/>
            <w:gridSpan w:val="2"/>
          </w:tcPr>
          <w:p>
            <w:pPr>
              <w:ind w:left="400"/>
              <w:spacing w:after="0" w:line="128" w:lineRule="exact"/>
              <w:rPr>
                <w:sz w:val="20"/>
                <w:szCs w:val="20"/>
                <w:color w:val="auto"/>
              </w:rPr>
            </w:pPr>
            <w:r>
              <w:rPr>
                <w:rFonts w:ascii="Arial" w:cs="Arial" w:eastAsia="Arial" w:hAnsi="Arial"/>
                <w:sz w:val="13"/>
                <w:szCs w:val="13"/>
                <w:color w:val="auto"/>
              </w:rPr>
              <w:t>Total non-performing assets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ind w:left="600"/>
              <w:spacing w:after="0"/>
              <w:rPr>
                <w:sz w:val="20"/>
                <w:szCs w:val="20"/>
                <w:color w:val="auto"/>
              </w:rPr>
            </w:pPr>
            <w:r>
              <w:rPr>
                <w:rFonts w:ascii="Arial" w:cs="Arial" w:eastAsia="Arial" w:hAnsi="Arial"/>
                <w:sz w:val="13"/>
                <w:szCs w:val="13"/>
                <w:color w:val="auto"/>
              </w:rPr>
              <w:t>(NPAs)</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414,991</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392,602</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334,538</w:t>
            </w: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250,491</w:t>
            </w:r>
          </w:p>
        </w:tc>
        <w:tc>
          <w:tcPr>
            <w:tcW w:w="6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177,704</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414,991</w:t>
            </w:r>
          </w:p>
        </w:tc>
        <w:tc>
          <w:tcPr>
            <w:tcW w:w="6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177,704</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Allowance for loan losses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150,187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145,678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143,990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122,271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111,299</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150,187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111,299</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Net charge-offs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90,491</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58,312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43,281</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74,028</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55,736</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192,084</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77,124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w w:val="98"/>
              </w:rPr>
              <w:t>Allowance for loan losses to loans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2.80%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1.91%</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1.91%</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95"/>
              </w:rPr>
              <w:t>Net charge-offs to average loans</w:t>
            </w:r>
            <w:r>
              <w:rPr>
                <w:rFonts w:ascii="Arial" w:cs="Arial" w:eastAsia="Arial" w:hAnsi="Arial"/>
                <w:sz w:val="10"/>
                <w:szCs w:val="10"/>
                <w:color w:val="auto"/>
                <w:w w:val="95"/>
              </w:rPr>
              <w:t>(3)</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6.57</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3.09</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5.09</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3.77</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4.60</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14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rPr>
              <w:t>NPAs to loans and foreclosed</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properties</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5.86</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3.03</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7.58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3.03</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140" w:type="dxa"/>
            <w:vAlign w:val="bottom"/>
            <w:gridSpan w:val="2"/>
          </w:tcPr>
          <w:p>
            <w:pPr>
              <w:ind w:left="200"/>
              <w:spacing w:after="0"/>
              <w:rPr>
                <w:sz w:val="20"/>
                <w:szCs w:val="20"/>
                <w:color w:val="auto"/>
              </w:rPr>
            </w:pPr>
            <w:r>
              <w:rPr>
                <w:rFonts w:ascii="Arial" w:cs="Arial" w:eastAsia="Arial" w:hAnsi="Arial"/>
                <w:sz w:val="13"/>
                <w:szCs w:val="13"/>
                <w:color w:val="auto"/>
              </w:rPr>
              <w:t>NPAs to total assets</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4.91</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4.63</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4.09</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2.92</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2.19</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4.91</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2.19</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AVERAGE BALANCES</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Loans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5,565,498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5,597,259</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5,675,054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5,784,139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5,889,168</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5,612,202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5,926,731</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Investment securities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1,615,499</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1,771,482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1,712,654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1,508,808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1,454,740</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1,699,522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1,482,397</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5"/>
        </w:trPr>
        <w:tc>
          <w:tcPr>
            <w:tcW w:w="21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Earning assets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7,400,539</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7,442,178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7,530,230</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7,662,536</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7,384,287</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7,457,173</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7,451,017</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Total assets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8,208,199</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8,212,140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8,372,281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8,487,017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8,164,694</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8,263,605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8,262,853</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1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Deposits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6,689,948</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6,544,537</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6,780,531</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6,982,229</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6,597,339</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6,671,340</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6,370,753</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Shareholders’ equity</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843,130</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879,210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967,505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851,956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837,487</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896,159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849,912</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1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Common shares — basic</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49,771</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48,794</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48,324</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47,844</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47,417</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48,968</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47,210</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shares — diluted</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49,771</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48,794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48,324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47,844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47,417</w:t>
            </w: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48,968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47,210</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140" w:type="dxa"/>
            <w:vAlign w:val="bottom"/>
            <w:gridSpan w:val="2"/>
          </w:tcPr>
          <w:p>
            <w:pPr>
              <w:spacing w:after="0"/>
              <w:rPr>
                <w:sz w:val="20"/>
                <w:szCs w:val="20"/>
                <w:color w:val="auto"/>
              </w:rPr>
            </w:pPr>
            <w:r>
              <w:rPr>
                <w:rFonts w:ascii="Arial" w:cs="Arial" w:eastAsia="Arial" w:hAnsi="Arial"/>
                <w:sz w:val="13"/>
                <w:szCs w:val="13"/>
                <w:b w:val="1"/>
                <w:bCs w:val="1"/>
                <w:color w:val="auto"/>
              </w:rPr>
              <w:t>AT PERIOD END</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Loans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5,362,689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5,513,087</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5,632,705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5,704,861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5,829,937</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5,362,689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5,829,937</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21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Investment securities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1,532,514</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1,816,787</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1,719,033</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1,617,187</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1,400,827</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1,532,514</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1,400,827</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Total assets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8,443,617</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8,477,355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8,171,663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8,591,933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8,113,961</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8,443,617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8,113,961</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14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Deposits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6,821,306</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6,848,760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6,616,488</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7,003,624</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6,689,335</w:t>
            </w: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6,821,306</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6,689,335</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14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Shareholders’ equity</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1,006,638</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855,272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888,853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989,382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816,880</w:t>
            </w:r>
          </w:p>
        </w:tc>
        <w:tc>
          <w:tcPr>
            <w:tcW w:w="7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1,006,638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816,880</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0"/>
        </w:trPr>
        <w:tc>
          <w:tcPr>
            <w:tcW w:w="2140" w:type="dxa"/>
            <w:vAlign w:val="bottom"/>
            <w:gridSpan w:val="2"/>
          </w:tcPr>
          <w:p>
            <w:pPr>
              <w:ind w:left="200"/>
              <w:spacing w:after="0"/>
              <w:rPr>
                <w:sz w:val="20"/>
                <w:szCs w:val="20"/>
                <w:color w:val="auto"/>
              </w:rPr>
            </w:pPr>
            <w:r>
              <w:rPr>
                <w:rFonts w:ascii="Arial" w:cs="Arial" w:eastAsia="Arial" w:hAnsi="Arial"/>
                <w:sz w:val="13"/>
                <w:szCs w:val="13"/>
                <w:color w:val="auto"/>
              </w:rPr>
              <w:t>Common shares outstanding</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93,901</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48,933</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48,487</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48,009</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47,596</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93,901</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47,596</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720" w:right="559" w:hanging="388"/>
        <w:spacing w:after="0" w:line="264"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were determined using methods other than in accordance with generally accepted accounting principles (“GAAP”). A reconciliation to the most closely related financial measure prepared using GAAP is presented in the table on page 26.</w:t>
      </w:r>
    </w:p>
    <w:p>
      <w:pPr>
        <w:spacing w:after="0" w:line="32" w:lineRule="exact"/>
        <w:rPr>
          <w:rFonts w:ascii="Arial" w:cs="Arial" w:eastAsia="Arial" w:hAnsi="Arial"/>
          <w:sz w:val="18"/>
          <w:szCs w:val="18"/>
          <w:color w:val="auto"/>
        </w:rPr>
      </w:pPr>
    </w:p>
    <w:p>
      <w:pPr>
        <w:ind w:left="720" w:right="559" w:hanging="388"/>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available to common shareholders, which excludes preferred stock dividends, divided by average realized common equity, which excludes accumulated other comprehensive income (loss).</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Annualized.</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new shares issued for shares currently held.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4019"/>
        <w:spacing w:after="0" w:line="282" w:lineRule="auto"/>
        <w:rPr>
          <w:sz w:val="20"/>
          <w:szCs w:val="20"/>
          <w:color w:val="auto"/>
        </w:rPr>
      </w:pPr>
      <w:r>
        <w:rPr>
          <w:rFonts w:ascii="Arial" w:cs="Arial" w:eastAsia="Arial" w:hAnsi="Arial"/>
          <w:sz w:val="18"/>
          <w:szCs w:val="18"/>
          <w:b w:val="1"/>
          <w:bCs w:val="1"/>
          <w:color w:val="auto"/>
        </w:rPr>
        <w:t>Table 1 Continued — Operating Earnings to GAAP Earnings Reconciliation Selected Financial Information</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153"/>
        </w:trPr>
        <w:tc>
          <w:tcPr>
            <w:tcW w:w="2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2009</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2008</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b w:val="1"/>
                <w:bCs w:val="1"/>
                <w:color w:val="auto"/>
              </w:rPr>
              <w:t>For the Nine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20" w:type="dxa"/>
            <w:vAlign w:val="bottom"/>
            <w:gridSpan w:val="2"/>
          </w:tcPr>
          <w:p>
            <w:pPr>
              <w:spacing w:after="0" w:line="129" w:lineRule="exact"/>
              <w:rPr>
                <w:sz w:val="20"/>
                <w:szCs w:val="20"/>
                <w:color w:val="auto"/>
              </w:rPr>
            </w:pPr>
            <w:r>
              <w:rPr>
                <w:rFonts w:ascii="Arial" w:cs="Arial" w:eastAsia="Arial" w:hAnsi="Arial"/>
                <w:sz w:val="13"/>
                <w:szCs w:val="13"/>
                <w:i w:val="1"/>
                <w:iCs w:val="1"/>
                <w:color w:val="auto"/>
              </w:rPr>
              <w:t>(in thousands, except per share</w:t>
            </w:r>
          </w:p>
        </w:tc>
        <w:tc>
          <w:tcPr>
            <w:tcW w:w="100" w:type="dxa"/>
            <w:vAlign w:val="bottom"/>
          </w:tcPr>
          <w:p>
            <w:pPr>
              <w:spacing w:after="0"/>
              <w:rPr>
                <w:sz w:val="11"/>
                <w:szCs w:val="11"/>
                <w:color w:val="auto"/>
              </w:rPr>
            </w:pPr>
          </w:p>
        </w:tc>
        <w:tc>
          <w:tcPr>
            <w:tcW w:w="980" w:type="dxa"/>
            <w:vAlign w:val="bottom"/>
            <w:gridSpan w:val="2"/>
          </w:tcPr>
          <w:p>
            <w:pPr>
              <w:jc w:val="right"/>
              <w:ind w:right="580"/>
              <w:spacing w:after="0" w:line="129" w:lineRule="exact"/>
              <w:rPr>
                <w:sz w:val="20"/>
                <w:szCs w:val="20"/>
                <w:color w:val="auto"/>
              </w:rPr>
            </w:pPr>
            <w:r>
              <w:rPr>
                <w:rFonts w:ascii="Arial" w:cs="Arial" w:eastAsia="Arial" w:hAnsi="Arial"/>
                <w:sz w:val="13"/>
                <w:szCs w:val="13"/>
                <w:b w:val="1"/>
                <w:bCs w:val="1"/>
                <w:color w:val="auto"/>
              </w:rPr>
              <w:t>Third</w:t>
            </w: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29" w:lineRule="exact"/>
              <w:rPr>
                <w:sz w:val="20"/>
                <w:szCs w:val="20"/>
                <w:color w:val="auto"/>
              </w:rPr>
            </w:pPr>
            <w:r>
              <w:rPr>
                <w:rFonts w:ascii="Arial" w:cs="Arial" w:eastAsia="Arial" w:hAnsi="Arial"/>
                <w:sz w:val="13"/>
                <w:szCs w:val="13"/>
                <w:b w:val="1"/>
                <w:bCs w:val="1"/>
                <w:color w:val="auto"/>
                <w:w w:val="89"/>
              </w:rPr>
              <w:t>Second</w:t>
            </w:r>
          </w:p>
        </w:tc>
        <w:tc>
          <w:tcPr>
            <w:tcW w:w="100" w:type="dxa"/>
            <w:vAlign w:val="bottom"/>
          </w:tcPr>
          <w:p>
            <w:pPr>
              <w:spacing w:after="0"/>
              <w:rPr>
                <w:sz w:val="11"/>
                <w:szCs w:val="11"/>
                <w:color w:val="auto"/>
              </w:rPr>
            </w:pPr>
          </w:p>
        </w:tc>
        <w:tc>
          <w:tcPr>
            <w:tcW w:w="540" w:type="dxa"/>
            <w:vAlign w:val="bottom"/>
          </w:tcPr>
          <w:p>
            <w:pPr>
              <w:jc w:val="right"/>
              <w:ind w:right="117"/>
              <w:spacing w:after="0" w:line="129" w:lineRule="exact"/>
              <w:rPr>
                <w:sz w:val="20"/>
                <w:szCs w:val="20"/>
                <w:color w:val="auto"/>
              </w:rPr>
            </w:pPr>
            <w:r>
              <w:rPr>
                <w:rFonts w:ascii="Arial" w:cs="Arial" w:eastAsia="Arial" w:hAnsi="Arial"/>
                <w:sz w:val="13"/>
                <w:szCs w:val="13"/>
                <w:b w:val="1"/>
                <w:bCs w:val="1"/>
                <w:color w:val="auto"/>
              </w:rPr>
              <w:t>First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29" w:lineRule="exact"/>
              <w:rPr>
                <w:sz w:val="20"/>
                <w:szCs w:val="20"/>
                <w:color w:val="auto"/>
              </w:rPr>
            </w:pPr>
            <w:r>
              <w:rPr>
                <w:rFonts w:ascii="Arial" w:cs="Arial" w:eastAsia="Arial" w:hAnsi="Arial"/>
                <w:sz w:val="13"/>
                <w:szCs w:val="13"/>
                <w:b w:val="1"/>
                <w:bCs w:val="1"/>
                <w:color w:val="auto"/>
              </w:rPr>
              <w:t>Fourth</w:t>
            </w:r>
          </w:p>
        </w:tc>
        <w:tc>
          <w:tcPr>
            <w:tcW w:w="80" w:type="dxa"/>
            <w:vAlign w:val="bottom"/>
          </w:tcPr>
          <w:p>
            <w:pPr>
              <w:spacing w:after="0"/>
              <w:rPr>
                <w:sz w:val="11"/>
                <w:szCs w:val="11"/>
                <w:color w:val="auto"/>
              </w:rPr>
            </w:pPr>
          </w:p>
        </w:tc>
        <w:tc>
          <w:tcPr>
            <w:tcW w:w="56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Third</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5"/>
          </w:tcPr>
          <w:p>
            <w:pPr>
              <w:jc w:val="right"/>
              <w:ind w:right="520"/>
              <w:spacing w:after="0" w:line="129" w:lineRule="exact"/>
              <w:rPr>
                <w:sz w:val="20"/>
                <w:szCs w:val="20"/>
                <w:color w:val="auto"/>
              </w:rPr>
            </w:pPr>
            <w:r>
              <w:rPr>
                <w:rFonts w:ascii="Arial" w:cs="Arial" w:eastAsia="Arial" w:hAnsi="Arial"/>
                <w:sz w:val="13"/>
                <w:szCs w:val="13"/>
                <w:b w:val="1"/>
                <w:bCs w:val="1"/>
                <w:color w:val="auto"/>
              </w:rPr>
              <w:t>Months Ended</w:t>
            </w:r>
          </w:p>
        </w:tc>
        <w:tc>
          <w:tcPr>
            <w:tcW w:w="0" w:type="dxa"/>
            <w:vAlign w:val="bottom"/>
          </w:tcPr>
          <w:p>
            <w:pPr>
              <w:spacing w:after="0"/>
              <w:rPr>
                <w:sz w:val="1"/>
                <w:szCs w:val="1"/>
                <w:color w:val="auto"/>
              </w:rPr>
            </w:pPr>
          </w:p>
        </w:tc>
      </w:tr>
      <w:tr>
        <w:trPr>
          <w:trHeight w:val="129"/>
        </w:trPr>
        <w:tc>
          <w:tcPr>
            <w:tcW w:w="2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i w:val="1"/>
                <w:iCs w:val="1"/>
                <w:color w:val="auto"/>
              </w:rPr>
              <w:t>data; taxable equivalent)</w:t>
            </w: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93"/>
              </w:rPr>
              <w:t>Quarter</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3"/>
              </w:rPr>
              <w:t>Quarter</w:t>
            </w: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89"/>
              </w:rPr>
              <w:t>Quarter</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93"/>
              </w:rPr>
              <w:t>Quarter</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93"/>
              </w:rPr>
              <w:t>Quarter</w:t>
            </w:r>
          </w:p>
        </w:tc>
        <w:tc>
          <w:tcPr>
            <w:tcW w:w="3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2009</w:t>
            </w: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w w:val="82"/>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Interest revenue reconciliation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Interest revenue — taxable equivalent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101,181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102,737</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103,562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108,434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112,510</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307,480</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3"/>
              </w:rPr>
              <w:t>358,535</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Taxable equivalent adjustment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(580)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(488)</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(553)</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(571)</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(1,531)</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(1,708)</w:t>
            </w:r>
          </w:p>
        </w:tc>
        <w:tc>
          <w:tcPr>
            <w:tcW w:w="0" w:type="dxa"/>
            <w:vAlign w:val="bottom"/>
          </w:tcPr>
          <w:p>
            <w:pPr>
              <w:spacing w:after="0"/>
              <w:rPr>
                <w:sz w:val="1"/>
                <w:szCs w:val="1"/>
                <w:color w:val="auto"/>
              </w:rPr>
            </w:pPr>
          </w:p>
        </w:tc>
      </w:tr>
      <w:tr>
        <w:trPr>
          <w:trHeight w:val="142"/>
        </w:trPr>
        <w:tc>
          <w:tcPr>
            <w:tcW w:w="2420" w:type="dxa"/>
            <w:vAlign w:val="bottom"/>
            <w:gridSpan w:val="2"/>
          </w:tcPr>
          <w:p>
            <w:pPr>
              <w:ind w:left="200"/>
              <w:spacing w:after="0" w:line="143" w:lineRule="exact"/>
              <w:rPr>
                <w:sz w:val="20"/>
                <w:szCs w:val="20"/>
                <w:color w:val="auto"/>
              </w:rPr>
            </w:pPr>
            <w:r>
              <w:rPr>
                <w:rFonts w:ascii="Arial" w:cs="Arial" w:eastAsia="Arial" w:hAnsi="Arial"/>
                <w:sz w:val="13"/>
                <w:szCs w:val="13"/>
                <w:color w:val="auto"/>
              </w:rPr>
              <w:t>Interest revenue (GAAP)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100,601</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102,274</w:t>
            </w: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103,074</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107,881</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111,939</w:t>
            </w:r>
          </w:p>
        </w:tc>
        <w:tc>
          <w:tcPr>
            <w:tcW w:w="3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305,949</w:t>
            </w:r>
          </w:p>
        </w:tc>
        <w:tc>
          <w:tcPr>
            <w:tcW w:w="3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356,827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interest revenue reconciliation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w w:val="99"/>
              </w:rPr>
              <w:t>Net interest revenue — taxable equivalent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63,004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60,882</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57,412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51,873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58,791</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181,298</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3"/>
              </w:rPr>
              <w:t>186,831</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Taxable equivalent adjustment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(580)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(488)</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(553)</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(571)</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(1,531)</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(1,708)</w:t>
            </w:r>
          </w:p>
        </w:tc>
        <w:tc>
          <w:tcPr>
            <w:tcW w:w="0" w:type="dxa"/>
            <w:vAlign w:val="bottom"/>
          </w:tcPr>
          <w:p>
            <w:pPr>
              <w:spacing w:after="0"/>
              <w:rPr>
                <w:sz w:val="1"/>
                <w:szCs w:val="1"/>
                <w:color w:val="auto"/>
              </w:rPr>
            </w:pPr>
          </w:p>
        </w:tc>
      </w:tr>
      <w:tr>
        <w:trPr>
          <w:trHeight w:val="142"/>
        </w:trPr>
        <w:tc>
          <w:tcPr>
            <w:tcW w:w="2420" w:type="dxa"/>
            <w:vAlign w:val="bottom"/>
            <w:gridSpan w:val="2"/>
          </w:tcPr>
          <w:p>
            <w:pPr>
              <w:ind w:left="200"/>
              <w:spacing w:after="0" w:line="143" w:lineRule="exact"/>
              <w:rPr>
                <w:sz w:val="20"/>
                <w:szCs w:val="20"/>
                <w:color w:val="auto"/>
              </w:rPr>
            </w:pPr>
            <w:r>
              <w:rPr>
                <w:rFonts w:ascii="Arial" w:cs="Arial" w:eastAsia="Arial" w:hAnsi="Arial"/>
                <w:sz w:val="13"/>
                <w:szCs w:val="13"/>
                <w:color w:val="auto"/>
              </w:rPr>
              <w:t>Net interest revenue (GAAP)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62,424</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60,419</w:t>
            </w: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56,924</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51,320</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58,220</w:t>
            </w:r>
          </w:p>
        </w:tc>
        <w:tc>
          <w:tcPr>
            <w:tcW w:w="3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179,767</w:t>
            </w:r>
          </w:p>
        </w:tc>
        <w:tc>
          <w:tcPr>
            <w:tcW w:w="3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185,123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Fee revenue reconciliation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Operating fee revenue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15,671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13,050</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12,846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10,718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13,121</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41,567</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42,423</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Gain from acquisition</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11,390</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11,390</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420" w:type="dxa"/>
            <w:vAlign w:val="bottom"/>
            <w:gridSpan w:val="2"/>
          </w:tcPr>
          <w:p>
            <w:pPr>
              <w:ind w:left="200"/>
              <w:spacing w:after="0" w:line="143" w:lineRule="exact"/>
              <w:rPr>
                <w:sz w:val="20"/>
                <w:szCs w:val="20"/>
                <w:color w:val="auto"/>
              </w:rPr>
            </w:pPr>
            <w:r>
              <w:rPr>
                <w:rFonts w:ascii="Arial" w:cs="Arial" w:eastAsia="Arial" w:hAnsi="Arial"/>
                <w:sz w:val="13"/>
                <w:szCs w:val="13"/>
                <w:color w:val="auto"/>
              </w:rPr>
              <w:t>Fee revenue (GAAP)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15,671</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24,440</w:t>
            </w: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12,846</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10,718</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13,121</w:t>
            </w:r>
          </w:p>
        </w:tc>
        <w:tc>
          <w:tcPr>
            <w:tcW w:w="3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52,957</w:t>
            </w:r>
          </w:p>
        </w:tc>
        <w:tc>
          <w:tcPr>
            <w:tcW w:w="3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42,423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revenue reconciliation</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Total operating revenue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(16,325)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13,932</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5,258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(22,409)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(4,088)</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2,865</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3"/>
              </w:rPr>
              <w:t>130,254</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Taxable equivalent adjustment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(580)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(488)</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(553)</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(571)</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(1,531)</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(1,708)</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Gain from acquisition</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11,390</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11,390</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Total revenue (GAAP)</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(16,905)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24,859</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4,770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(22,962)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(4,659)</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12,724</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128,546</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Expense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Operating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53,606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55,348</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52,569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52,439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56,970</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161,523</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154,260</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Noncash goodwill impairment charge</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25,000</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70,000</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95,000</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Severance costs</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2,898</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2,898</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420" w:type="dxa"/>
            <w:vAlign w:val="bottom"/>
            <w:gridSpan w:val="2"/>
          </w:tcPr>
          <w:p>
            <w:pPr>
              <w:ind w:left="200"/>
              <w:spacing w:after="0" w:line="143" w:lineRule="exact"/>
              <w:rPr>
                <w:sz w:val="20"/>
                <w:szCs w:val="20"/>
                <w:color w:val="auto"/>
              </w:rPr>
            </w:pPr>
            <w:r>
              <w:rPr>
                <w:rFonts w:ascii="Arial" w:cs="Arial" w:eastAsia="Arial" w:hAnsi="Arial"/>
                <w:sz w:val="13"/>
                <w:szCs w:val="13"/>
                <w:color w:val="auto"/>
              </w:rPr>
              <w:t>Operating expense (GAAP)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78,606</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55,348</w:t>
            </w: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125,467</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52,439</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56,970</w:t>
            </w:r>
          </w:p>
        </w:tc>
        <w:tc>
          <w:tcPr>
            <w:tcW w:w="3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259,421</w:t>
            </w:r>
          </w:p>
        </w:tc>
        <w:tc>
          <w:tcPr>
            <w:tcW w:w="3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3"/>
              </w:rPr>
              <w:t>154,260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42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(Loss) income before taxes</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reconciliation</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Operating (loss) income before taxes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(69,931)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(41,416)</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(47,311)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(74,848)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(61,058)</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w w:val="93"/>
              </w:rPr>
              <w:t>(158,658)</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9"/>
              </w:rPr>
              <w:t>(24,006)</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Taxable equivalent adjustment</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(580)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(488)</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(553)</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(571)</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(1,531)</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(1,708)</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Gain from acquisition</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11,390</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11,390</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Noncash goodwill impairment charge</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(25,000)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(70,000)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(95,000)</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Severance costs</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(2,898)</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(2,898)</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(Loss) income before taxes (GAAP)</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(95,511)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(30,489)</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(120,697)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(75,401)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(61,629)</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w w:val="93"/>
              </w:rPr>
              <w:t>(246,697)</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9"/>
              </w:rPr>
              <w:t>(25,714)</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Income tax (benefit)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4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420" w:type="dxa"/>
            <w:vAlign w:val="bottom"/>
            <w:gridSpan w:val="2"/>
          </w:tcPr>
          <w:p>
            <w:pPr>
              <w:ind w:left="200"/>
              <w:spacing w:after="0"/>
              <w:rPr>
                <w:sz w:val="20"/>
                <w:szCs w:val="20"/>
                <w:color w:val="auto"/>
              </w:rPr>
            </w:pPr>
            <w:r>
              <w:rPr>
                <w:rFonts w:ascii="Arial" w:cs="Arial" w:eastAsia="Arial" w:hAnsi="Arial"/>
                <w:sz w:val="13"/>
                <w:szCs w:val="13"/>
                <w:b w:val="1"/>
                <w:bCs w:val="1"/>
                <w:color w:val="auto"/>
              </w:rPr>
              <w:t>reconciliation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Operating income tax (benefit)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(26,213)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(18,353)</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(15,335)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(28,101)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(21,184)</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(59,901)</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(7,303)</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Taxable equivalent adjustment</w:t>
            </w:r>
          </w:p>
        </w:tc>
        <w:tc>
          <w:tcPr>
            <w:tcW w:w="100" w:type="dxa"/>
            <w:vAlign w:val="bottom"/>
          </w:tcPr>
          <w:p>
            <w:pPr>
              <w:spacing w:after="0"/>
              <w:rPr>
                <w:sz w:val="11"/>
                <w:szCs w:val="11"/>
                <w:color w:val="auto"/>
              </w:rPr>
            </w:pP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(580)</w:t>
            </w:r>
          </w:p>
        </w:tc>
        <w:tc>
          <w:tcPr>
            <w:tcW w:w="80" w:type="dxa"/>
            <w:vAlign w:val="bottom"/>
          </w:tcPr>
          <w:p>
            <w:pPr>
              <w:spacing w:after="0"/>
              <w:rPr>
                <w:sz w:val="11"/>
                <w:szCs w:val="11"/>
                <w:color w:val="auto"/>
              </w:rPr>
            </w:pP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(463)</w:t>
            </w:r>
          </w:p>
        </w:tc>
        <w:tc>
          <w:tcPr>
            <w:tcW w:w="100" w:type="dxa"/>
            <w:vAlign w:val="bottom"/>
          </w:tcPr>
          <w:p>
            <w:pPr>
              <w:spacing w:after="0"/>
              <w:rPr>
                <w:sz w:val="11"/>
                <w:szCs w:val="11"/>
                <w:color w:val="auto"/>
              </w:rPr>
            </w:pPr>
          </w:p>
        </w:tc>
        <w:tc>
          <w:tcPr>
            <w:tcW w:w="9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(488)</w:t>
            </w:r>
          </w:p>
        </w:tc>
        <w:tc>
          <w:tcPr>
            <w:tcW w:w="80" w:type="dxa"/>
            <w:vAlign w:val="bottom"/>
          </w:tcPr>
          <w:p>
            <w:pPr>
              <w:spacing w:after="0"/>
              <w:rPr>
                <w:sz w:val="11"/>
                <w:szCs w:val="11"/>
                <w:color w:val="auto"/>
              </w:rPr>
            </w:pP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(553)</w:t>
            </w:r>
          </w:p>
        </w:tc>
        <w:tc>
          <w:tcPr>
            <w:tcW w:w="80" w:type="dxa"/>
            <w:vAlign w:val="bottom"/>
          </w:tcPr>
          <w:p>
            <w:pPr>
              <w:spacing w:after="0"/>
              <w:rPr>
                <w:sz w:val="11"/>
                <w:szCs w:val="11"/>
                <w:color w:val="auto"/>
              </w:rPr>
            </w:pP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(571)</w:t>
            </w:r>
          </w:p>
        </w:tc>
        <w:tc>
          <w:tcPr>
            <w:tcW w:w="140" w:type="dxa"/>
            <w:vAlign w:val="bottom"/>
          </w:tcPr>
          <w:p>
            <w:pPr>
              <w:spacing w:after="0"/>
              <w:rPr>
                <w:sz w:val="11"/>
                <w:szCs w:val="11"/>
                <w:color w:val="auto"/>
              </w:rPr>
            </w:pP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(1,531)</w:t>
            </w:r>
          </w:p>
        </w:tc>
        <w:tc>
          <w:tcPr>
            <w:tcW w:w="1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(1,708)</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Gain from acquisition, tax expense</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4,328</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4,328</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Severance costs, tax benefit</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(1,101)</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(1,101)</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Income tax (benefit) expense (GAAP)</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(26,793)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(14,488)</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(16,924)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(28,654)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(21,755)</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(58,205)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(9,011)</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(Loss)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4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420" w:type="dxa"/>
            <w:vAlign w:val="bottom"/>
            <w:gridSpan w:val="2"/>
          </w:tcPr>
          <w:p>
            <w:pPr>
              <w:ind w:left="200"/>
              <w:spacing w:after="0"/>
              <w:rPr>
                <w:sz w:val="20"/>
                <w:szCs w:val="20"/>
                <w:color w:val="auto"/>
              </w:rPr>
            </w:pPr>
            <w:r>
              <w:rPr>
                <w:rFonts w:ascii="Arial" w:cs="Arial" w:eastAsia="Arial" w:hAnsi="Arial"/>
                <w:sz w:val="13"/>
                <w:szCs w:val="13"/>
                <w:b w:val="1"/>
                <w:bCs w:val="1"/>
                <w:color w:val="auto"/>
              </w:rPr>
              <w:t>reconciliation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Operating (loss) earnings per common</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share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(0.53)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(0.71)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(0.99)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(0.84)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(2.17)</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(0.35)</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Gain from acquisition</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0.15</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0.15</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Noncash goodwill impairment charge</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(0.50)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(1.95)</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Severance costs</w:t>
            </w: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(0.04)</w:t>
            </w:r>
          </w:p>
        </w:tc>
        <w:tc>
          <w:tcPr>
            <w:tcW w:w="80" w:type="dxa"/>
            <w:vAlign w:val="bottom"/>
          </w:tcPr>
          <w:p>
            <w:pPr>
              <w:spacing w:after="0"/>
              <w:rPr>
                <w:sz w:val="12"/>
                <w:szCs w:val="12"/>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(0.04)</w:t>
            </w:r>
          </w:p>
        </w:tc>
        <w:tc>
          <w:tcPr>
            <w:tcW w:w="180" w:type="dxa"/>
            <w:vAlign w:val="bottom"/>
          </w:tcPr>
          <w:p>
            <w:pPr>
              <w:spacing w:after="0"/>
              <w:rPr>
                <w:sz w:val="12"/>
                <w:szCs w:val="12"/>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42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rPr>
              <w:t>(Loss) earnings per common share</w:t>
            </w: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(GAAP)</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(0.99)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(0.84)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(4.01)</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(0.35)</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Book value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Tangible book value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8.85</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9.65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10.39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10.48</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6.50</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10.48</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Effect of goodwill and other intangibles</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2.35</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5.02</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5.05</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6.56</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6.64</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2.35</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6.64</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Book value (GAAP)</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8.85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13.87</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14.70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16.95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8.85</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17.12</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Efficiency ratio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Operating efficiency ratio</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69.15%</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74.15%</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75.15%</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81.34%</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79.35%</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72.72%</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67.43%</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Gain from acquisition</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(9.82)</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(3.55)</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Noncash goodwill impairment charge</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32.24</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100.06</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40.68</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Severance costs</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4.14</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1.24</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Efficiency ratio (GAAP)</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101.39%</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64.33%</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179.35%</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81.34%</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79.35%</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111.09%</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67.43%</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9"/>
              </w:rPr>
              <w:t>Average equity to assets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Tangible common equity to assets</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5.36%</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5.77%</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6.09%</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6.21%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6.64%</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5.74%</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6.70%</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Effect of preferred equity</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2.19</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2.19</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2.15</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.35</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2.18</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Tangible equity to assets</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7.55</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7.96</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8.24</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6.56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6.64</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7.92</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Effect of goodwill and other intangibles</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2.72</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2.75</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3.32</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3.48</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3.62</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2.92</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Equity to assets (GAAP)</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10.27%</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10.71%</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11.56%</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10.04%</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10.26%</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10.84%</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10.29%</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Actual tangible common equity to risk-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4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420" w:type="dxa"/>
            <w:vAlign w:val="bottom"/>
            <w:gridSpan w:val="2"/>
          </w:tcPr>
          <w:p>
            <w:pPr>
              <w:ind w:left="200"/>
              <w:spacing w:after="0"/>
              <w:rPr>
                <w:sz w:val="20"/>
                <w:szCs w:val="20"/>
                <w:color w:val="auto"/>
              </w:rPr>
            </w:pPr>
            <w:r>
              <w:rPr>
                <w:rFonts w:ascii="Arial" w:cs="Arial" w:eastAsia="Arial" w:hAnsi="Arial"/>
                <w:sz w:val="13"/>
                <w:szCs w:val="13"/>
                <w:b w:val="1"/>
                <w:bCs w:val="1"/>
                <w:color w:val="auto"/>
              </w:rPr>
              <w:t>weighted assets reconciliation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Tangible common equity to risk-weighted</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10.33%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7.49%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8.03%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8.34%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8.26%</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10.33%</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8.26%</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Effect of other comprehensive income</w:t>
            </w:r>
          </w:p>
        </w:tc>
        <w:tc>
          <w:tcPr>
            <w:tcW w:w="100" w:type="dxa"/>
            <w:vAlign w:val="bottom"/>
          </w:tcPr>
          <w:p>
            <w:pPr>
              <w:spacing w:after="0"/>
              <w:rPr>
                <w:sz w:val="11"/>
                <w:szCs w:val="11"/>
                <w:color w:val="auto"/>
              </w:rPr>
            </w:pP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(.87)</w:t>
            </w:r>
          </w:p>
        </w:tc>
        <w:tc>
          <w:tcPr>
            <w:tcW w:w="80" w:type="dxa"/>
            <w:vAlign w:val="bottom"/>
          </w:tcPr>
          <w:p>
            <w:pPr>
              <w:spacing w:after="0"/>
              <w:rPr>
                <w:sz w:val="11"/>
                <w:szCs w:val="11"/>
                <w:color w:val="auto"/>
              </w:rPr>
            </w:pP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(.72)</w:t>
            </w:r>
          </w:p>
        </w:tc>
        <w:tc>
          <w:tcPr>
            <w:tcW w:w="100" w:type="dxa"/>
            <w:vAlign w:val="bottom"/>
          </w:tcPr>
          <w:p>
            <w:pPr>
              <w:spacing w:after="0"/>
              <w:rPr>
                <w:sz w:val="11"/>
                <w:szCs w:val="11"/>
                <w:color w:val="auto"/>
              </w:rPr>
            </w:pPr>
          </w:p>
        </w:tc>
        <w:tc>
          <w:tcPr>
            <w:tcW w:w="9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(1.00)</w:t>
            </w:r>
          </w:p>
        </w:tc>
        <w:tc>
          <w:tcPr>
            <w:tcW w:w="80" w:type="dxa"/>
            <w:vAlign w:val="bottom"/>
          </w:tcPr>
          <w:p>
            <w:pPr>
              <w:spacing w:after="0"/>
              <w:rPr>
                <w:sz w:val="11"/>
                <w:szCs w:val="11"/>
                <w:color w:val="auto"/>
              </w:rPr>
            </w:pP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(.91)</w:t>
            </w:r>
          </w:p>
        </w:tc>
        <w:tc>
          <w:tcPr>
            <w:tcW w:w="80" w:type="dxa"/>
            <w:vAlign w:val="bottom"/>
          </w:tcPr>
          <w:p>
            <w:pPr>
              <w:spacing w:after="0"/>
              <w:rPr>
                <w:sz w:val="11"/>
                <w:szCs w:val="11"/>
                <w:color w:val="auto"/>
              </w:rPr>
            </w:pP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(.28)</w:t>
            </w:r>
          </w:p>
        </w:tc>
        <w:tc>
          <w:tcPr>
            <w:tcW w:w="140" w:type="dxa"/>
            <w:vAlign w:val="bottom"/>
          </w:tcPr>
          <w:p>
            <w:pPr>
              <w:spacing w:after="0"/>
              <w:rPr>
                <w:sz w:val="11"/>
                <w:szCs w:val="11"/>
                <w:color w:val="auto"/>
              </w:rPr>
            </w:pPr>
          </w:p>
        </w:tc>
        <w:tc>
          <w:tcPr>
            <w:tcW w:w="8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(.87)</w:t>
            </w:r>
          </w:p>
        </w:tc>
        <w:tc>
          <w:tcPr>
            <w:tcW w:w="18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Effect of deferred tax limitation</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(.56)</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420" w:type="dxa"/>
            <w:vAlign w:val="bottom"/>
            <w:gridSpan w:val="2"/>
          </w:tcPr>
          <w:p>
            <w:pPr>
              <w:spacing w:after="0" w:line="135" w:lineRule="exact"/>
              <w:rPr>
                <w:sz w:val="20"/>
                <w:szCs w:val="20"/>
                <w:color w:val="auto"/>
              </w:rPr>
            </w:pPr>
            <w:r>
              <w:rPr>
                <w:rFonts w:ascii="Arial" w:cs="Arial" w:eastAsia="Arial" w:hAnsi="Arial"/>
                <w:sz w:val="13"/>
                <w:szCs w:val="13"/>
                <w:color w:val="auto"/>
              </w:rPr>
              <w:t>Effect of trust preferred</w:t>
            </w:r>
          </w:p>
        </w:tc>
        <w:tc>
          <w:tcPr>
            <w:tcW w:w="100" w:type="dxa"/>
            <w:vAlign w:val="bottom"/>
          </w:tcPr>
          <w:p>
            <w:pPr>
              <w:spacing w:after="0"/>
              <w:rPr>
                <w:sz w:val="11"/>
                <w:szCs w:val="11"/>
                <w:color w:val="auto"/>
              </w:rPr>
            </w:pPr>
          </w:p>
        </w:tc>
        <w:tc>
          <w:tcPr>
            <w:tcW w:w="98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.89</w:t>
            </w:r>
          </w:p>
        </w:tc>
        <w:tc>
          <w:tcPr>
            <w:tcW w:w="80" w:type="dxa"/>
            <w:vAlign w:val="bottom"/>
          </w:tcPr>
          <w:p>
            <w:pPr>
              <w:spacing w:after="0"/>
              <w:rPr>
                <w:sz w:val="11"/>
                <w:szCs w:val="11"/>
                <w:color w:val="auto"/>
              </w:rPr>
            </w:pPr>
          </w:p>
        </w:tc>
        <w:tc>
          <w:tcPr>
            <w:tcW w:w="9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.90</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.89</w:t>
            </w:r>
          </w:p>
        </w:tc>
        <w:tc>
          <w:tcPr>
            <w:tcW w:w="8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.88</w:t>
            </w: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.68</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.89</w:t>
            </w:r>
          </w:p>
        </w:tc>
        <w:tc>
          <w:tcPr>
            <w:tcW w:w="1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Effect of preferred equity</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2.94</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2.90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2.94</w:t>
            </w: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200"/>
              <w:spacing w:after="0"/>
              <w:rPr>
                <w:sz w:val="20"/>
                <w:szCs w:val="20"/>
                <w:color w:val="auto"/>
              </w:rPr>
            </w:pPr>
            <w:r>
              <w:rPr>
                <w:rFonts w:ascii="Arial" w:cs="Arial" w:eastAsia="Arial" w:hAnsi="Arial"/>
                <w:sz w:val="13"/>
                <w:szCs w:val="13"/>
                <w:color w:val="auto"/>
              </w:rPr>
              <w:t>Tier I capital ratio (Regulatory)</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12.73%</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10.44%</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10.88%</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11.21%</w:t>
            </w: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8.66%</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3" w:lineRule="exact"/>
              <w:rPr>
                <w:sz w:val="20"/>
                <w:szCs w:val="20"/>
                <w:color w:val="auto"/>
              </w:rPr>
            </w:pPr>
            <w:r>
              <w:rPr>
                <w:rFonts w:ascii="Arial" w:cs="Arial" w:eastAsia="Arial" w:hAnsi="Arial"/>
                <w:sz w:val="13"/>
                <w:szCs w:val="13"/>
                <w:color w:val="auto"/>
              </w:rPr>
              <w:t>12.73%</w:t>
            </w:r>
          </w:p>
        </w:tc>
        <w:tc>
          <w:tcPr>
            <w:tcW w:w="180" w:type="dxa"/>
            <w:vAlign w:val="bottom"/>
          </w:tcPr>
          <w:p>
            <w:pPr>
              <w:spacing w:after="0"/>
              <w:rPr>
                <w:sz w:val="12"/>
                <w:szCs w:val="12"/>
                <w:color w:val="auto"/>
              </w:rPr>
            </w:pPr>
          </w:p>
        </w:tc>
        <w:tc>
          <w:tcPr>
            <w:tcW w:w="56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8.66%</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02" w:lineRule="exact"/>
        <w:rPr>
          <w:sz w:val="20"/>
          <w:szCs w:val="20"/>
          <w:color w:val="auto"/>
        </w:rPr>
      </w:pPr>
    </w:p>
    <w:p>
      <w:pPr>
        <w:jc w:val="both"/>
        <w:ind w:left="340" w:right="559" w:firstLine="747"/>
        <w:spacing w:after="0" w:line="269"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Net interest revenue for the three months ended September 30, 2009 was $63.0 million, up $4.2 million, or 7%, from the third quarter of 2008. Average loans decreased $324 million, or 5%, from the third quarter last year. The decrease in the loan portfolio was a result of the slowdown in the housing market, particularly in the Atlanta MSA where period-end loans decreased $274 million from September 30, 2008. The decrease was also due to loan charge-offs, decreased loan demand and management’s efforts to rebalance the loan portfolio by reducing the concentration of residential construction loans, particularly in the Atlanta MSA where the housing market has been under considerable stress. Period-end loans in north Georgia, North Carolina, the Gainesville, Georgia MSA and coastal Georgia decreased $125 million, $29 million, $24 million and $17 million, respectively. In contrast, east Tennessee increased $3 million from the third quarter of 2008.</w:t>
      </w:r>
    </w:p>
    <w:p>
      <w:pPr>
        <w:spacing w:after="0" w:line="142"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Average interest-earning assets for the third quarter 2009 increased $16 million from the same period in 2008. An increase in the investment securities portfolio and other short-term investments of $340 million was partially offset by decreased loan balances of $324 million resulting from decreasing loan demand in light of the weak economy and management’s efforts to reduce United’s exposure to residential construction loans. Average interest-bearing liabilities decreased $9.6 million from the third quarter of 2008 with the Series B preferred stock of $180 million, issued in the fourth quarter as part of the U.S. Treasury’s Capital Purchase Program, funding the difference in the decrease of average interest-bearing liabilities and the increase in average interest-earning assets. Dividends on the Series B preferred shares and the related discount accretion are not included in net income (loss) but are subtracted from net income (loss) in the determination of net income (loss) available to common shareholders. The stock issued in the third quarter of 2009 closed on the last day of the quarter and therefore had very little impact on average balances.</w:t>
      </w:r>
    </w:p>
    <w:p>
      <w:pPr>
        <w:spacing w:after="0" w:line="137" w:lineRule="exact"/>
        <w:rPr>
          <w:sz w:val="20"/>
          <w:szCs w:val="20"/>
          <w:color w:val="auto"/>
        </w:rPr>
      </w:pPr>
    </w:p>
    <w:p>
      <w:pPr>
        <w:jc w:val="both"/>
        <w:ind w:left="340" w:right="559" w:firstLine="747"/>
        <w:spacing w:after="0" w:line="297"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defined as net interest revenue as a percent of average total interest-earning assets and takes into account the positive effect of investing non-interest-bearing deposits and capital.</w:t>
      </w:r>
    </w:p>
    <w:p>
      <w:pPr>
        <w:spacing w:after="0" w:line="131"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6"/>
          <w:szCs w:val="16"/>
          <w:color w:val="auto"/>
        </w:rPr>
        <w:t>For the three months ended September 30, 2009 and 2008, the net interest spread was 3.12 and 2.82%, respectively, while the net interest margin was 3.39% and 3.17%, respectively. The improved net interest margin for the quarter and the nine months reflects management’s focus on improving earnings performance. The margin had been on a downward trend throughout 2008 as a result of a rise in non-performing assets and higher than normal deposit pricing resulting from competition for deposits. The intense competition occurred due to liquidity pressures affecting the banking industry as a whole in the second half of 2008. The compression of the margin was also due to the lowering of the prime interest rate initiated by actions of the Federal Reserve beginning in September 2007 and the resulting downward repricing of our interest earning assets faster than our interest-bearing liabilities during 2008. Also contributing to the lower net interest margin was a shift in earning-asset mix from loans to investment securities. These factors continued to compress the net interest margin through most of the fourth quarter of 2008 leading to a net interest margin of 2.70% in the fourth quarter. Deposit pricing competition began to ease late in the fourth quarter of 2008 and United intensified its focus on loan pricing to ensure that it was being adequately compensated for the credit risk it was taking. The combined effect of easing deposit pricing and widening credit spreads in United’s loan portfolio led to the 69 basis point increase in the net interest margin from the fourth quarter of 2008 to the third quarter of 2009.</w:t>
      </w:r>
    </w:p>
    <w:p>
      <w:pPr>
        <w:spacing w:after="0" w:line="134"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The average yield on interest-earning assets for the third quarter of 2009 was 5.43%, compared with 6.07% in the third quarter of 2008. Loan yields were down 53 basis points compared with the third quarter of 2008, due to the effect on United’s primarily prime-based loan portfolio of the Federal Reserve’s policy of lowering interest rates to stimulate the economy and the higher level of non-performing loans.</w:t>
      </w:r>
    </w:p>
    <w:p>
      <w:pPr>
        <w:spacing w:after="0" w:line="146" w:lineRule="exact"/>
        <w:rPr>
          <w:sz w:val="20"/>
          <w:szCs w:val="20"/>
          <w:color w:val="auto"/>
        </w:rPr>
      </w:pPr>
    </w:p>
    <w:p>
      <w:pPr>
        <w:jc w:val="both"/>
        <w:ind w:left="340" w:right="559" w:firstLine="747"/>
        <w:spacing w:after="0" w:line="273" w:lineRule="auto"/>
        <w:rPr>
          <w:sz w:val="20"/>
          <w:szCs w:val="20"/>
          <w:color w:val="auto"/>
        </w:rPr>
      </w:pPr>
      <w:r>
        <w:rPr>
          <w:rFonts w:ascii="Arial" w:cs="Arial" w:eastAsia="Arial" w:hAnsi="Arial"/>
          <w:sz w:val="17"/>
          <w:szCs w:val="17"/>
          <w:color w:val="auto"/>
        </w:rPr>
        <w:t>The average cost of interest-bearing liabilities for the third quarter was 2.31% compared to 3.25% from the same period of 2008. Throughout most of 2008, United was unable to reduce deposit rates commensurate with the rate decreases in its loan portfolio. This trend became more visible in the third and fourth quarters of 2008 when industry liquidity pressures led to increased competition for deposits and did not allow United to reduce deposit rates to correspond with the Federal Reserve’s actions to lower interest rates. Late in the fourth quarter of 2008, liquidity pressures began to ease, allowing United to begin lowering its deposit rates and still maintain its strong liquidity position.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747"/>
        <w:spacing w:after="0" w:line="308" w:lineRule="auto"/>
        <w:rPr>
          <w:sz w:val="20"/>
          <w:szCs w:val="20"/>
          <w:color w:val="auto"/>
        </w:rPr>
      </w:pPr>
      <w:r>
        <w:rPr>
          <w:rFonts w:ascii="Arial" w:cs="Arial" w:eastAsia="Arial" w:hAnsi="Arial"/>
          <w:sz w:val="17"/>
          <w:szCs w:val="17"/>
          <w:color w:val="auto"/>
        </w:rPr>
        <w:t>The following table shows the relationship between interest revenue and expense, and the average amounts of interest-earning assets and interest-bearing liabilities for the three months ended September 30, 2009 and 2008.</w:t>
      </w:r>
    </w:p>
    <w:p>
      <w:pPr>
        <w:spacing w:after="0" w:line="116"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2 — Average Consolidated Balance Sheets and Net Interest Analysis </w:t>
      </w:r>
      <w:r>
        <w:rPr>
          <w:rFonts w:ascii="Arial" w:cs="Arial" w:eastAsia="Arial" w:hAnsi="Arial"/>
          <w:sz w:val="18"/>
          <w:szCs w:val="18"/>
          <w:color w:val="auto"/>
        </w:rPr>
        <w:t>For the Three Months Ended September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2009</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2008</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Rate</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$5,565,498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80,880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$5,889,168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93,270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1,585,154</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18,492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4.67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1,422,321</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18,258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2"/>
        </w:trPr>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Federal funds sold and other interest-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219,542</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1,272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2.32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40,379</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409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7,400,539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101,181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7,384,287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112,510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(147,074)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(93,687)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107,062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111,741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179,764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180,825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581,528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8,208,199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8,164,694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$1,238,596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$1,463,744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6,778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628,392</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2,711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1.71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421,626</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2,296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180,216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182,525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1,918,439</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13,300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2.75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1,779,550</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17,812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1,292,786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1,530,719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15,825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820" w:type="dxa"/>
            <w:vAlign w:val="bottom"/>
          </w:tcPr>
          <w:p>
            <w:pPr>
              <w:jc w:val="right"/>
              <w:spacing w:after="0"/>
              <w:rPr>
                <w:sz w:val="20"/>
                <w:szCs w:val="20"/>
                <w:color w:val="auto"/>
              </w:rPr>
            </w:pPr>
            <w:r>
              <w:rPr>
                <w:rFonts w:ascii="Arial" w:cs="Arial" w:eastAsia="Arial" w:hAnsi="Arial"/>
                <w:sz w:val="18"/>
                <w:szCs w:val="18"/>
                <w:color w:val="auto"/>
              </w:rPr>
              <w:t>707,678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4,777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2.68</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530,705</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5,407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5,966,107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33,552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5,908,869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48,271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425"/>
        </w:trPr>
        <w:tc>
          <w:tcPr>
            <w:tcW w:w="320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234,211</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256,742</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Federal Home Loan Bank advances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210,625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286,540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150,353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2,712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7.16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118,756</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2,227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662,038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5,448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421"/>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6,561,296</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38,177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2.31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6,570,907</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53,719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723,841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688,470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79,932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7,365,069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7,327,207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843,130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837,487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400"/>
              <w:spacing w:after="0" w:line="205" w:lineRule="exact"/>
              <w:rPr>
                <w:sz w:val="20"/>
                <w:szCs w:val="20"/>
                <w:color w:val="auto"/>
              </w:rPr>
            </w:pPr>
            <w:r>
              <w:rPr>
                <w:rFonts w:ascii="Arial" w:cs="Arial" w:eastAsia="Arial" w:hAnsi="Arial"/>
                <w:sz w:val="18"/>
                <w:szCs w:val="18"/>
                <w:b w:val="1"/>
                <w:bCs w:val="1"/>
                <w:color w:val="auto"/>
                <w:w w:val="97"/>
              </w:rPr>
              <w:t>Total liabilities and shareholders’</w:t>
            </w: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equity</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8,208,199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8,164,694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63,004</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58,791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3.12%</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32" w:lineRule="exact"/>
        <w:rPr>
          <w:rFonts w:ascii="Arial" w:cs="Arial" w:eastAsia="Arial" w:hAnsi="Arial"/>
          <w:sz w:val="18"/>
          <w:szCs w:val="18"/>
          <w:color w:val="auto"/>
        </w:rPr>
      </w:pPr>
    </w:p>
    <w:p>
      <w:pPr>
        <w:ind w:left="680" w:hanging="348"/>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Included in the average balance of loans outstanding are loans where the accrual of interest has been discontinued.</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$13.8 million in 2009 and pretax unrealized losses of $11.7 million in 2008 are included in other assets for purposes of this presentation.</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09"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9"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747"/>
        <w:spacing w:after="0" w:line="308" w:lineRule="auto"/>
        <w:rPr>
          <w:sz w:val="20"/>
          <w:szCs w:val="20"/>
          <w:color w:val="auto"/>
        </w:rPr>
      </w:pPr>
      <w:r>
        <w:rPr>
          <w:rFonts w:ascii="Arial" w:cs="Arial" w:eastAsia="Arial" w:hAnsi="Arial"/>
          <w:sz w:val="17"/>
          <w:szCs w:val="17"/>
          <w:color w:val="auto"/>
        </w:rPr>
        <w:t>The following table shows the relationship between interest revenue and expense, and the average amounts of interest-earning assets and interest-bearing liabilities for the nine months ended September 30, 2009 and 2008.</w:t>
      </w:r>
    </w:p>
    <w:p>
      <w:pPr>
        <w:spacing w:after="0" w:line="116"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3 — Average Consolidated Balance Sheets and Net Interest Analysis </w:t>
      </w:r>
      <w:r>
        <w:rPr>
          <w:rFonts w:ascii="Arial" w:cs="Arial" w:eastAsia="Arial" w:hAnsi="Arial"/>
          <w:sz w:val="18"/>
          <w:szCs w:val="18"/>
          <w:color w:val="auto"/>
        </w:rPr>
        <w:t>For the Nine Months Ended September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w w:val="99"/>
              </w:rPr>
              <w:t>2008</w:t>
            </w: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Average</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6"/>
                <w:szCs w:val="16"/>
                <w:color w:val="auto"/>
              </w:rPr>
            </w:pPr>
          </w:p>
        </w:tc>
        <w:tc>
          <w:tcPr>
            <w:tcW w:w="94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87"/>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200" w:type="dxa"/>
            <w:vAlign w:val="bottom"/>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Balance</w:t>
            </w:r>
          </w:p>
        </w:tc>
        <w:tc>
          <w:tcPr>
            <w:tcW w:w="3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280" w:type="dxa"/>
            <w:vAlign w:val="bottom"/>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Rate</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14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7"/>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$5,612,202</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$ 244,196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$5,926,731</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$ 299,601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1,669,768</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59,101</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4.72</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1,447,409</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55,765</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29,754</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34,988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2"/>
        </w:trPr>
        <w:tc>
          <w:tcPr>
            <w:tcW w:w="36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5"/>
              </w:rPr>
              <w:t>Federal funds sold and other interest-earning</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400"/>
              <w:spacing w:after="0"/>
              <w:rPr>
                <w:sz w:val="20"/>
                <w:szCs w:val="20"/>
                <w:color w:val="auto"/>
              </w:rPr>
            </w:pPr>
            <w:r>
              <w:rPr>
                <w:rFonts w:ascii="Arial" w:cs="Arial" w:eastAsia="Arial" w:hAnsi="Arial"/>
                <w:sz w:val="18"/>
                <w:szCs w:val="18"/>
                <w:color w:val="auto"/>
              </w:rPr>
              <w:t>assets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145,449</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2,618</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2.40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41,889</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1,292</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7,457,173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307,480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7,451,017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358,534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(141,255)</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(93,165)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104,444</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136,920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179,569</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181,210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663,674</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586,871</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8,263,605</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8,262,853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$1,284,522</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$1,476,998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22,581</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366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543,122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7,217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427,676</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7,519</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177,147</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184,713</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66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1,918,379</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45,859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3.20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1,659,308</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53,320</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1,336,876</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34,444</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3.44</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1,460,277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48,330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366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726,352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15,997</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2.94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480,166</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15,106</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5,986,398</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112,603</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5,689,138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147,416</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425"/>
        </w:trPr>
        <w:tc>
          <w:tcPr>
            <w:tcW w:w="3660" w:type="dxa"/>
            <w:vAlign w:val="bottom"/>
            <w:gridSpan w:val="2"/>
          </w:tcPr>
          <w:p>
            <w:pPr>
              <w:ind w:left="400"/>
              <w:spacing w:after="0"/>
              <w:rPr>
                <w:sz w:val="20"/>
                <w:szCs w:val="20"/>
                <w:color w:val="auto"/>
              </w:rPr>
            </w:pPr>
            <w:r>
              <w:rPr>
                <w:rFonts w:ascii="Arial" w:cs="Arial" w:eastAsia="Arial" w:hAnsi="Arial"/>
                <w:sz w:val="18"/>
                <w:szCs w:val="18"/>
                <w:color w:val="auto"/>
              </w:rPr>
              <w:t>Federal funds purchased and other</w:t>
            </w: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202,008</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1,761</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396,798</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7,254</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Federal Home Loan Bank advances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241,863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3,577</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452,826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10,668</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366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150,788</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8,241</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7.31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111,607</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6,366</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594,659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13,579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961,231</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24,288</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Total interest-bearing liabilities</w:t>
            </w: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60" w:type="dxa"/>
            <w:vAlign w:val="bottom"/>
            <w:gridSpan w:val="2"/>
            <w:vMerge w:val="continue"/>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6,581,057</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126,182</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6,650,369</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171,704</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684,942</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681,615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101,447</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80,957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4"/>
              </w:rPr>
              <w:t>7,367,446</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7,412,941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896,159</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849,912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 shareholders’</w:t>
            </w: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800"/>
              <w:spacing w:after="0"/>
              <w:rPr>
                <w:sz w:val="20"/>
                <w:szCs w:val="20"/>
                <w:color w:val="auto"/>
              </w:rPr>
            </w:pPr>
            <w:r>
              <w:rPr>
                <w:rFonts w:ascii="Arial" w:cs="Arial" w:eastAsia="Arial" w:hAnsi="Arial"/>
                <w:sz w:val="18"/>
                <w:szCs w:val="18"/>
                <w:b w:val="1"/>
                <w:bCs w:val="1"/>
                <w:color w:val="auto"/>
              </w:rPr>
              <w:t>equity</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8,263,605</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8,262,853</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$ 181,298</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$ 186,830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2.95%</w:t>
            </w: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line="20" w:lineRule="exact"/>
              <w:rPr>
                <w:sz w:val="1"/>
                <w:szCs w:val="1"/>
                <w:color w:val="auto"/>
              </w:rPr>
            </w:pPr>
          </w:p>
        </w:tc>
      </w:tr>
      <w:tr>
        <w:trPr>
          <w:trHeight w:val="210"/>
        </w:trPr>
        <w:tc>
          <w:tcPr>
            <w:tcW w:w="36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32" w:lineRule="exact"/>
        <w:rPr>
          <w:rFonts w:ascii="Arial" w:cs="Arial" w:eastAsia="Arial" w:hAnsi="Arial"/>
          <w:sz w:val="18"/>
          <w:szCs w:val="18"/>
          <w:color w:val="auto"/>
        </w:rPr>
      </w:pPr>
    </w:p>
    <w:p>
      <w:pPr>
        <w:ind w:left="680" w:hanging="348"/>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Included in the average balance of loans outstanding are loans where the accrual of interest has been discontinued.</w:t>
      </w:r>
    </w:p>
    <w:p>
      <w:pPr>
        <w:spacing w:after="0" w:line="88" w:lineRule="exact"/>
        <w:rPr>
          <w:rFonts w:ascii="Arial" w:cs="Arial" w:eastAsia="Arial" w:hAnsi="Arial"/>
          <w:sz w:val="17"/>
          <w:szCs w:val="17"/>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Securities available for sale are shown at amortized cost. Pretax unrealized gains of $13.0 million in 2009 and $5.7 million in 2008 are included in other assets for purposes of this presentation.</w:t>
      </w:r>
    </w:p>
    <w:p>
      <w:pPr>
        <w:spacing w:after="0" w:line="21" w:lineRule="exact"/>
        <w:rPr>
          <w:rFonts w:ascii="Arial" w:cs="Arial" w:eastAsia="Arial" w:hAnsi="Arial"/>
          <w:sz w:val="18"/>
          <w:szCs w:val="18"/>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325"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25"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56" w:lineRule="exact"/>
        <w:rPr>
          <w:sz w:val="20"/>
          <w:szCs w:val="20"/>
          <w:color w:val="auto"/>
        </w:rPr>
      </w:pPr>
    </w:p>
    <w:p>
      <w:pPr>
        <w:ind w:left="340" w:right="3559"/>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3480" w:type="dxa"/>
            <w:vAlign w:val="bottom"/>
            <w:gridSpan w:val="11"/>
          </w:tcPr>
          <w:p>
            <w:pPr>
              <w:spacing w:after="0"/>
              <w:rPr>
                <w:sz w:val="20"/>
                <w:szCs w:val="20"/>
                <w:color w:val="auto"/>
              </w:rPr>
            </w:pPr>
            <w:r>
              <w:rPr>
                <w:rFonts w:ascii="Arial" w:cs="Arial" w:eastAsia="Arial" w:hAnsi="Arial"/>
                <w:sz w:val="18"/>
                <w:szCs w:val="18"/>
                <w:b w:val="1"/>
                <w:bCs w:val="1"/>
                <w:color w:val="auto"/>
                <w:w w:val="98"/>
              </w:rPr>
              <w:t>Three Months Ended September 30, 2009</w:t>
            </w:r>
          </w:p>
        </w:tc>
        <w:tc>
          <w:tcPr>
            <w:tcW w:w="3140" w:type="dxa"/>
            <w:vAlign w:val="bottom"/>
            <w:gridSpan w:val="10"/>
          </w:tcPr>
          <w:p>
            <w:pPr>
              <w:jc w:val="center"/>
              <w:ind w:right="60"/>
              <w:spacing w:after="0"/>
              <w:rPr>
                <w:sz w:val="20"/>
                <w:szCs w:val="20"/>
                <w:color w:val="auto"/>
              </w:rPr>
            </w:pPr>
            <w:r>
              <w:rPr>
                <w:rFonts w:ascii="Arial" w:cs="Arial" w:eastAsia="Arial" w:hAnsi="Arial"/>
                <w:sz w:val="18"/>
                <w:szCs w:val="18"/>
                <w:b w:val="1"/>
                <w:bCs w:val="1"/>
                <w:color w:val="auto"/>
                <w:w w:val="90"/>
              </w:rPr>
              <w:t>Nine Months Ended September 30, 2009</w:t>
            </w: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Compared to 2008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Compared to 2008</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6"/>
              </w:rPr>
              <w:t>Increase (decrease)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Due to Changes in</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Due to Changes in</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89"/>
              </w:rPr>
              <w:t>Volume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6"/>
              </w:rPr>
              <w:t>Volume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8"/>
                <w:szCs w:val="18"/>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(4,957)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(7,433)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(15,289)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(40,116)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(55,405)</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Tax-exempt securities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sold and 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interest-earning assets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(1,037)</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1,326</w:t>
            </w:r>
          </w:p>
        </w:tc>
      </w:tr>
      <w:tr>
        <w:trPr>
          <w:trHeight w:val="205"/>
        </w:trPr>
        <w:tc>
          <w:tcPr>
            <w:tcW w:w="2700" w:type="dxa"/>
            <w:vAlign w:val="bottom"/>
          </w:tcPr>
          <w:p>
            <w:pPr>
              <w:ind w:left="400"/>
              <w:spacing w:after="0" w:line="205" w:lineRule="exact"/>
              <w:rPr>
                <w:sz w:val="20"/>
                <w:szCs w:val="20"/>
                <w:color w:val="auto"/>
              </w:rPr>
            </w:pPr>
            <w:r>
              <w:rPr>
                <w:rFonts w:ascii="Arial" w:cs="Arial" w:eastAsia="Arial" w:hAnsi="Arial"/>
                <w:sz w:val="18"/>
                <w:szCs w:val="18"/>
                <w:b w:val="1"/>
                <w:bCs w:val="1"/>
                <w:color w:val="auto"/>
              </w:rPr>
              <w:t>Total interest-earning</w:t>
            </w: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700" w:type="dxa"/>
            <w:vAlign w:val="bottom"/>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(1,904)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(9,425)</w:t>
            </w: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(11,329)</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(3,114)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(47,940)</w:t>
            </w: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(51,054)</w:t>
            </w:r>
          </w:p>
        </w:tc>
      </w:tr>
      <w:tr>
        <w:trPr>
          <w:trHeight w:val="223"/>
        </w:trPr>
        <w:tc>
          <w:tcPr>
            <w:tcW w:w="2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(917)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(3,333)</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(11,241)</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(13,873)</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9"/>
              </w:rPr>
              <w:t>Time deposits less than $100,000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(5,816)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(14,978)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(7,461)</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Time deposits greater than</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(2,226)</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(3,493)</w:t>
            </w: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(3,834)</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(10,052)</w:t>
            </w: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(13,886)</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(5,388)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w:t>
            </w: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Total interest-bearing deposits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(15,341)</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(14,719)</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(43,890)</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(34,813)</w:t>
            </w:r>
          </w:p>
        </w:tc>
        <w:tc>
          <w:tcPr>
            <w:tcW w:w="80" w:type="dxa"/>
            <w:vAlign w:val="bottom"/>
          </w:tcPr>
          <w:p>
            <w:pPr>
              <w:spacing w:after="0"/>
              <w:rPr>
                <w:sz w:val="20"/>
                <w:szCs w:val="20"/>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purchased &amp; 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(2,834)</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(5,493)</w:t>
            </w: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Federal Home Loan Bank</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advances</w:t>
            </w: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(502)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(3,942)</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(3,149)</w:t>
            </w: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(7,091)</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w:t>
            </w: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Total borrowed funds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(6,259)</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(10,709)</w:t>
            </w:r>
          </w:p>
        </w:tc>
        <w:tc>
          <w:tcPr>
            <w:tcW w:w="80" w:type="dxa"/>
            <w:vAlign w:val="bottom"/>
          </w:tcPr>
          <w:p>
            <w:pPr>
              <w:spacing w:after="0"/>
              <w:rPr>
                <w:sz w:val="20"/>
                <w:szCs w:val="20"/>
                <w:color w:val="auto"/>
              </w:rPr>
            </w:pPr>
          </w:p>
        </w:tc>
      </w:tr>
      <w:tr>
        <w:trPr>
          <w:trHeight w:val="198"/>
        </w:trPr>
        <w:tc>
          <w:tcPr>
            <w:tcW w:w="270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Total interest-bearing</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(16,144)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(15,542)</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(50,149)</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(45,522)</w:t>
            </w:r>
          </w:p>
        </w:tc>
      </w:tr>
      <w:tr>
        <w:trPr>
          <w:trHeight w:val="421"/>
        </w:trPr>
        <w:tc>
          <w:tcPr>
            <w:tcW w:w="2700" w:type="dxa"/>
            <w:vAlign w:val="bottom"/>
          </w:tcPr>
          <w:p>
            <w:pPr>
              <w:ind w:left="600"/>
              <w:spacing w:after="0"/>
              <w:rPr>
                <w:sz w:val="20"/>
                <w:szCs w:val="20"/>
                <w:color w:val="auto"/>
              </w:rPr>
            </w:pPr>
            <w:r>
              <w:rPr>
                <w:rFonts w:ascii="Arial" w:cs="Arial" w:eastAsia="Arial" w:hAnsi="Arial"/>
                <w:sz w:val="18"/>
                <w:szCs w:val="18"/>
                <w:b w:val="1"/>
                <w:bCs w:val="1"/>
                <w:color w:val="auto"/>
              </w:rPr>
              <w:t>Increase in net interest</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2700" w:type="dxa"/>
            <w:vAlign w:val="bottom"/>
          </w:tcPr>
          <w:p>
            <w:pPr>
              <w:ind w:left="80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(2,506)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6,719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4,213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(7,741)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2,209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(5,532)</w:t>
            </w:r>
          </w:p>
        </w:tc>
      </w:tr>
      <w:tr>
        <w:trPr>
          <w:trHeight w:val="20"/>
        </w:trPr>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85" w:lineRule="exact"/>
        <w:rPr>
          <w:sz w:val="20"/>
          <w:szCs w:val="20"/>
          <w:color w:val="auto"/>
        </w:rPr>
      </w:pPr>
    </w:p>
    <w:p>
      <w:pPr>
        <w:jc w:val="both"/>
        <w:ind w:left="340" w:right="559" w:firstLine="747"/>
        <w:spacing w:after="0" w:line="269" w:lineRule="auto"/>
        <w:rPr>
          <w:sz w:val="20"/>
          <w:szCs w:val="20"/>
          <w:color w:val="auto"/>
        </w:rPr>
      </w:pPr>
      <w:r>
        <w:rPr>
          <w:rFonts w:ascii="Arial" w:cs="Arial" w:eastAsia="Arial" w:hAnsi="Arial"/>
          <w:sz w:val="17"/>
          <w:szCs w:val="17"/>
          <w:color w:val="auto"/>
        </w:rPr>
        <w:t>The provision for loan losses is based on management’s evaluation of losses inherent in the loan portfolio and corresponding analysis of the allowance for loan losses at quarter-end. The provision for loan losses was $95 million and $220 million for the third quarter and the first nine months of 2009, respectively, compared with $76 million and $99 million, respectively, for the same periods in 2008. Net loan charge-offs as an annualized percentage of average outstanding loans for the three months ended September 30, 2009 were 6.45%, compared to 3.77% for the third quarter of 2008. The amount of provision recorded in the third quarter was the amount required such that the total allowance for loan losses reflects, in the estimation of management, the appropriate balance and is appropriate to cover inherent losses in the loan portfolio. The increases in the provision and the allowance for loan losses compared to a year ago were due to an increase in substandard loans, deterioration in the collateral values leading to an expectation of higher charge-offs upon default, further weakening of the residential construction and housing markets, and the recessionary economic environment. For the nine months ended September 30, 2009, net loan charge-offs as an annualized percentage of average outstanding loans were 4.58%, compared to 1.74% for the same period in 2008.</w:t>
      </w:r>
    </w:p>
    <w:p>
      <w:pPr>
        <w:spacing w:after="0" w:line="153"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As the residential construction and housing markets have struggled, most notably in the Atlanta MSA, it has been difficult for many builders and developers to obtain cash flow from selling lots and houses needed to service debt. This deterioration of the residential construction and housing market was the primary factor that resulted in higher credit losses and an increase in non-performing assets. Although a majority of the losses have been within the residential construction and development portion of the portfolio in the Atlanta MSA, credit quality deterioration has been observed in other markets and loan categories. Additional discussion on loan quality and the allowance for loan losses is included in the Asset Quality section of this report on page 35.</w:t>
      </w:r>
    </w:p>
    <w:p>
      <w:pPr>
        <w:sectPr>
          <w:pgSz w:w="11900" w:h="16838" w:orient="portrait"/>
          <w:cols w:equalWidth="0" w:num="1">
            <w:col w:w="10219"/>
          </w:cols>
          <w:pgMar w:left="240" w:top="419" w:right="1440" w:bottom="406"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06"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Revenue</w:t>
      </w:r>
    </w:p>
    <w:p>
      <w:pPr>
        <w:spacing w:after="0" w:line="198"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Fee revenue for the three and nine months ended September 30, 2009 was $15.7 million and $53.0 million, respectively. Fee revenue for the nine months ended September 30, 2009 includes an $11.4 million gain on the acquisition of SCB. Excluding the gain on acquisition, operating fee revenue was $15.7 million and $41.6 million, respectively, for the third quarter and first nine months of 2009, increasing $2.6 million, or 19%, and decreasing $856,000, or 2%, respectively, from the same periods in 2008.</w:t>
      </w:r>
    </w:p>
    <w:p>
      <w:pPr>
        <w:spacing w:after="0" w:line="148"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The following table presents the components of fee revenue for the third quarters of 2009 and 2008, and the first nine months of 2009 and 2008.</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Nine Months Ended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Pr>
          <w:p>
            <w:pPr>
              <w:spacing w:after="0"/>
              <w:rPr>
                <w:sz w:val="20"/>
                <w:szCs w:val="20"/>
                <w:color w:val="auto"/>
              </w:rPr>
            </w:pPr>
          </w:p>
        </w:tc>
        <w:tc>
          <w:tcPr>
            <w:tcW w:w="20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2008</w:t>
            </w:r>
          </w:p>
        </w:tc>
        <w:tc>
          <w:tcPr>
            <w:tcW w:w="3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2008</w:t>
            </w:r>
          </w:p>
        </w:tc>
        <w:tc>
          <w:tcPr>
            <w:tcW w:w="3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and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8,171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1,832</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1,410</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7,308</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5,575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5,048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Brokerage fees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905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1,642</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2,812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788</w:t>
            </w:r>
          </w:p>
        </w:tc>
        <w:tc>
          <w:tcPr>
            <w:tcW w:w="3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4,099</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3,832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fee 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41,567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42,423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Gain from acquisition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11,390</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fee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42,423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Service charges and fees of $8.1 million were level with the third quarter of 2008. For the first nine months of 2009, service charges and fees of $22.7 million were down $1.2 million, or 5%, from the same period in 2008. This decrease was primarily due to a lower volume of overdraft fees.</w:t>
      </w:r>
    </w:p>
    <w:p>
      <w:pPr>
        <w:spacing w:after="0" w:line="141"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Mortgage loans and related fees for the third quarter and first nine months of 2009, were up $422,000, or 30%, and $1.7 million, or 31%, respectively, from the same periods in 2008. The increase is due to a significant increase in the level of refinancing activity as mortgage rates fell to historical lows. In the third quarter of 2009, United closed 610 loans totaling $97 million compared with 492 loans totaling $84 million in the third quarter of 2008. Mortgage production for the first nine months of 2009 was 2,614 closed loans totaling $439 million, which compared very favorably with 1,706 loans totaling $296 million for the same period in 2008. Substantially all originated residential mortgages were sold into the secondary market including the right to service these loans.</w:t>
      </w:r>
    </w:p>
    <w:p>
      <w:pPr>
        <w:spacing w:after="0" w:line="149" w:lineRule="exact"/>
        <w:rPr>
          <w:sz w:val="20"/>
          <w:szCs w:val="20"/>
          <w:color w:val="auto"/>
        </w:rPr>
      </w:pPr>
    </w:p>
    <w:p>
      <w:pPr>
        <w:jc w:val="both"/>
        <w:ind w:left="340" w:right="559" w:firstLine="747"/>
        <w:spacing w:after="0" w:line="253" w:lineRule="auto"/>
        <w:rPr>
          <w:sz w:val="20"/>
          <w:szCs w:val="20"/>
          <w:color w:val="auto"/>
        </w:rPr>
      </w:pPr>
      <w:r>
        <w:rPr>
          <w:rFonts w:ascii="Arial" w:cs="Arial" w:eastAsia="Arial" w:hAnsi="Arial"/>
          <w:sz w:val="18"/>
          <w:szCs w:val="18"/>
          <w:color w:val="auto"/>
        </w:rPr>
        <w:t>Consulting fees increased $555,000, or 32%, compared to the third quarter of 2008. Much of the increase was a result of strong demand for regulatory compliance assistance services. For the first nine months of 2009, consulting fees were down $738,000, or 13%, compared with the first nine months of 2008. This year-to-date decrease is a direct result of the current economic stress affecting the financial services industry which has led to limited sales of new consulting projects. During the last half of 2008 and the first quarter of 2009 several consultants were engaged in United’s internal project to improve financial performance through revenue enhancement and cost savings initiatives. This project allowed Brintech to maintain the consultants’ productivity while providing a valuable service to United; however, these services do not result in the recognition of consolidated consulting fee revenue for financial reporting purposes since the services were performed by a wholly-owned subsidiary.</w:t>
      </w:r>
    </w:p>
    <w:p>
      <w:pPr>
        <w:spacing w:after="0" w:line="170" w:lineRule="exact"/>
        <w:rPr>
          <w:sz w:val="20"/>
          <w:szCs w:val="20"/>
          <w:color w:val="auto"/>
        </w:rPr>
      </w:pPr>
    </w:p>
    <w:p>
      <w:pPr>
        <w:jc w:val="both"/>
        <w:ind w:left="340" w:right="559" w:firstLine="747"/>
        <w:spacing w:after="0" w:line="308" w:lineRule="auto"/>
        <w:rPr>
          <w:sz w:val="20"/>
          <w:szCs w:val="20"/>
          <w:color w:val="auto"/>
        </w:rPr>
      </w:pPr>
      <w:r>
        <w:rPr>
          <w:rFonts w:ascii="Arial" w:cs="Arial" w:eastAsia="Arial" w:hAnsi="Arial"/>
          <w:sz w:val="17"/>
          <w:szCs w:val="17"/>
          <w:color w:val="auto"/>
        </w:rPr>
        <w:t>Brokerage fees of $456,000 were down $449,000, or 50%, from the third quarter of 2008 due to the continuing weak market conditions. Year-to-date brokerage fees were down $1.2 million, or 42%, from the same period in 2008.</w:t>
      </w:r>
    </w:p>
    <w:p>
      <w:pPr>
        <w:spacing w:after="0" w:line="106"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The net securities gains of $741,000 for the first nine months of 2009 include a charge of $743,000 for the impairment of an equity investment in Silverton Bank, NA, a financial institution that failed during the second quarter. United wrote off its entire investment in Silverton.</w:t>
      </w:r>
    </w:p>
    <w:p>
      <w:pPr>
        <w:spacing w:after="0" w:line="141" w:lineRule="exact"/>
        <w:rPr>
          <w:sz w:val="20"/>
          <w:szCs w:val="20"/>
          <w:color w:val="auto"/>
        </w:rPr>
      </w:pPr>
    </w:p>
    <w:p>
      <w:pPr>
        <w:jc w:val="both"/>
        <w:ind w:left="340" w:right="559" w:firstLine="747"/>
        <w:spacing w:after="0" w:line="254" w:lineRule="auto"/>
        <w:rPr>
          <w:sz w:val="20"/>
          <w:szCs w:val="20"/>
          <w:color w:val="auto"/>
        </w:rPr>
      </w:pPr>
      <w:r>
        <w:rPr>
          <w:rFonts w:ascii="Arial" w:cs="Arial" w:eastAsia="Arial" w:hAnsi="Arial"/>
          <w:sz w:val="18"/>
          <w:szCs w:val="18"/>
          <w:color w:val="auto"/>
        </w:rPr>
        <w:t>The gain from acquisition recorded in the first nine months of 2009 resulted from the SCB acquisition which was accounted for as a bargain purchase. In this bargain purchase, the fair values of the net assets and liabilities received from the acquisition exceeded the purchase price of those assets and liabilities. With the SCB acquisition, United received assets, including a cash payment from the FDIC, with an estimated fair value of $378.2 million and liabilities with an estimated fair value of $366.8 million. The difference between the assets received and liabilities assumed of $11.4 million resulted in a gain from the acquisition. The fair values are preliminary and are subject to refinement for up to one year after the closing date as information relative to closing date fair values becomes available. Changes to the closing date fair values will result in future adjustments to the gain from the acquisition.</w:t>
      </w:r>
    </w:p>
    <w:p>
      <w:pPr>
        <w:sectPr>
          <w:pgSz w:w="11900" w:h="16838" w:orient="portrait"/>
          <w:cols w:equalWidth="0" w:num="1">
            <w:col w:w="10219"/>
          </w:cols>
          <w:pgMar w:left="240" w:top="419" w:right="1440" w:bottom="717"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17"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Other fee revenue of $1.8 million increased $1.0 million, or 130%, from the third quarter of 2008. The increase was due to higher earnings on deferred compensation plan assets and Bank Owned Life Insurance (“BOLI”) assets. Year-to-date, other fee revenue decreased $267,000, or 7%, from the first nine months of 2008 primarily due to lower earnings on BOLI assets. In the second half of 2008 and through the first quarter of 2009, United’s BOLI assets were held in money market funds that yielded nominal earnings on the cash surrender value due to a dispute with the carrier that was settled early in the second quarter of 2009.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jc w:val="both"/>
        <w:ind w:left="340" w:right="559" w:firstLine="747"/>
        <w:spacing w:after="0" w:line="273" w:lineRule="auto"/>
        <w:rPr>
          <w:sz w:val="20"/>
          <w:szCs w:val="20"/>
          <w:color w:val="auto"/>
        </w:rPr>
      </w:pPr>
      <w:r>
        <w:rPr>
          <w:rFonts w:ascii="Arial" w:cs="Arial" w:eastAsia="Arial" w:hAnsi="Arial"/>
          <w:sz w:val="17"/>
          <w:szCs w:val="17"/>
          <w:color w:val="auto"/>
        </w:rPr>
        <w:t>Operating expenses excluding non-recurring items for the third quarter of 2009 were $53.6 million, down $3.4 million, or 6%, from third quarter 2008. For the nine months ended September 30, 2009, total operating expenses excluding non-recurring items were $161.5 million, up $7.3 million, or 5%, from the same period in 2008. Non-recurring charges include $25 million for goodwill impairment in the third quarter and $95 million for goodwill impairment and $2.9 million in severance costs for the first nine months of 2009. Including those non-recurring charges, operating expenses for the third quarter and first nine months of 2009 were $78.6 million and $259.4 million, respectively.</w:t>
      </w:r>
    </w:p>
    <w:p>
      <w:pPr>
        <w:spacing w:after="0" w:line="138"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The following table presents the components of operating expenses for the three and nine months ended September 30, 2009 and 2008.</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6 — Operating Expenses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2"/>
              </w:rPr>
              <w:t>Three Months Ended</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ind w:left="40"/>
              <w:spacing w:after="0"/>
              <w:rPr>
                <w:sz w:val="20"/>
                <w:szCs w:val="20"/>
                <w:color w:val="auto"/>
              </w:rPr>
            </w:pPr>
            <w:r>
              <w:rPr>
                <w:rFonts w:ascii="Arial" w:cs="Arial" w:eastAsia="Arial" w:hAnsi="Arial"/>
                <w:sz w:val="18"/>
                <w:szCs w:val="18"/>
                <w:b w:val="1"/>
                <w:bCs w:val="1"/>
                <w:color w:val="auto"/>
              </w:rPr>
              <w:t>Nine Months Ended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Pr>
          <w:p>
            <w:pPr>
              <w:spacing w:after="0"/>
              <w:rPr>
                <w:sz w:val="20"/>
                <w:szCs w:val="20"/>
                <w:color w:val="auto"/>
              </w:rPr>
            </w:pPr>
          </w:p>
        </w:tc>
        <w:tc>
          <w:tcPr>
            <w:tcW w:w="20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2008</w:t>
            </w:r>
          </w:p>
        </w:tc>
        <w:tc>
          <w:tcPr>
            <w:tcW w:w="3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25,881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28,626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82,778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86,133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3,732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3,909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11,106</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11,593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3,905</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11,758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11,325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1,399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4,759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4,533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2,255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1,596</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7,354</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5,196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Foreclosed property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10,109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17,974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13,872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FDIC assessments and other</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regulatory charges</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2,801</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1,509</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12,293</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4,040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752</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3,944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3,672</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9,029</w:t>
            </w:r>
          </w:p>
        </w:tc>
        <w:tc>
          <w:tcPr>
            <w:tcW w:w="1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10,545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 expenses, excluding</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non-recurring items</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53,606</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56,970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161,523</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154,260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Severance costs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78,606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56,970</w:t>
            </w:r>
          </w:p>
        </w:tc>
        <w:tc>
          <w:tcPr>
            <w:tcW w:w="3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259,421</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154,260</w:t>
            </w:r>
          </w:p>
        </w:tc>
        <w:tc>
          <w:tcPr>
            <w:tcW w:w="3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Salaries and employee benefits for the third quarter 2009 totaled $25.9 million, down $2.7 million, or 10%, from the same period of 2008. For the first nine months of 2009, salaries and employee benefits of $82.8 million were down $3.4 million, or 4%, from the first nine months of 2008. As a result of United’s reduction in workforce, employee salaries decreased approximately $1 million from the third quarter of 2008. A decrease in annual incentives contributed $1.1 million to the decrease and lower group medical insurance costs resulting from the lower headcount and plan modifications contributed approximately $700,000 to the decrease. Through the reduction in workforce, United reduced headcount from 1,994 employees at December 31, 2008 to 1,867 at September 30, 2009, which includes 54 employees added through the second quarter acquisition of SCB.</w:t>
      </w:r>
    </w:p>
    <w:p>
      <w:pPr>
        <w:spacing w:after="0" w:line="127" w:lineRule="exact"/>
        <w:rPr>
          <w:sz w:val="20"/>
          <w:szCs w:val="20"/>
          <w:color w:val="auto"/>
        </w:rPr>
      </w:pPr>
    </w:p>
    <w:p>
      <w:pPr>
        <w:jc w:val="both"/>
        <w:ind w:left="340" w:right="559" w:firstLine="747"/>
        <w:spacing w:after="0" w:line="308" w:lineRule="auto"/>
        <w:rPr>
          <w:sz w:val="20"/>
          <w:szCs w:val="20"/>
          <w:color w:val="auto"/>
        </w:rPr>
      </w:pPr>
      <w:r>
        <w:rPr>
          <w:rFonts w:ascii="Arial" w:cs="Arial" w:eastAsia="Arial" w:hAnsi="Arial"/>
          <w:sz w:val="17"/>
          <w:szCs w:val="17"/>
          <w:color w:val="auto"/>
        </w:rPr>
        <w:t>Advertising and public relations expense of $887,000 for the third quarter of 2009 was down $512,000, or 37%, and year-to-date expense of $3.2 million was down $1.6 million, or 33%, as United controlled discretionary spending.</w:t>
      </w:r>
    </w:p>
    <w:p>
      <w:pPr>
        <w:spacing w:after="0" w:line="120"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Professional fees for the third quarter of 2009 of $2.3 million were up $659,000, or 41%, from the same period in 2008. Year-to-date professional fees of $7.4 million were up $2.2 million, or 30%, over the same period in 2008. The increase is primarily related to legal fees incurred in the loan workout and foreclosure process.</w:t>
      </w:r>
    </w:p>
    <w:p>
      <w:pPr>
        <w:spacing w:after="0" w:line="141"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Foreclosed property expense of $7.9 million for the third quarter of 2009 was down $2.2 million from the third quarter of 2008. Foreclosed property expenses have remained elevated throughout the weak economic cycle. For the first nine months of 2009, foreclosed property expense of $18.0 million was up $4.1 million over the first nine months of 2008. This expense category includes legal fees, property taxes, marketing costs, utility services, maintenance and repair charges as well as realized losses and write downs associated with foreclosed properties. Realized losses and write-downs were $4.1 million and $8.5 million for the three- and nine-months ended September 30, 2009, compared to $8.3 million and $10.4 million, respectively for 2008.</w:t>
      </w:r>
    </w:p>
    <w:p>
      <w:pPr>
        <w:sectPr>
          <w:pgSz w:w="11900" w:h="16838" w:orient="portrait"/>
          <w:cols w:equalWidth="0" w:num="1">
            <w:col w:w="10219"/>
          </w:cols>
          <w:pgMar w:left="240" w:top="419" w:right="1440" w:bottom="676"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76"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FDIC assessments and other regulatory charges of $2.8 million and $12.3 million for the third quarter and first nine months of 2009, increased $1.3 million and $8.3 million, respectively, from the third quarter and first nine months of 2008 reflecting both the increase in FDIC insurance premiums and a $3.7 million provision for the one time special assessment charged to all depository institutions that was accrued in the second quarter of 2009.</w:t>
      </w:r>
    </w:p>
    <w:p>
      <w:pPr>
        <w:spacing w:after="0" w:line="160"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Other expense of $3.9 million for the third quarter of 2009 increased $272,000 from the third quarter of 2008. Year-to-date, other expenses of $9.0 million decreased $1.5 million from the first nine months of 2008. The year-to-date decrease was the result of an accrual in fourth quarter 2008 for $2.4 million related to a disputed charge from the transfer of BOLI investments. The disputed charge was settled in United’s favor during the second quarter of 2009 and the charge was reversed thereby reducing other expense.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Income tax benefit for the third quarter 2009 was $26.8 million as compared with an income tax benefit of $21.8 million for the third quarter of 2008, representing an effective tax rate of 28.1% and 35.3%, respectively. For the first nine months of 2009, income tax benefit was $58.2 million as compared with an income tax benefit of $9.0 million for the same period in 2008, representing an effective tax rate of 23.6% and 35.0%, respectively. The effective tax rates were different from the statutory tax rates primarily due to interest revenue on certain investment securities and loans that are exempt from income taxes, tax exempt fee revenue, tax credits received on affordable housing investments, goodwill impairment charges and the change in valuation allowance on deferred tax assets as discussed below.</w:t>
      </w:r>
    </w:p>
    <w:p>
      <w:pPr>
        <w:spacing w:after="0" w:line="151"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The year-to-date effective tax rate for 2009 also reflects a decision by management to reinstate certain BOLI policies which United had surrendered in the third quarter of 2008. United notified the carrier of its intent to surrender the policies in the fourth quarter of 2008 due to a dispute with the carrier. The policies required a six month waiting period before the surrender became effective. Prior to the expiration of the six month waiting period, United and the carrier were able to reach an acceptable settlement of the dispute and the surrender transaction was terminated. The tax charge recorded in 2008 was reversed during the second quarter of 2009.</w:t>
      </w:r>
    </w:p>
    <w:p>
      <w:pPr>
        <w:spacing w:after="0" w:line="153"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The effective tax rate for the third quarter and first nine months of 2009 also reflects the tax treatment of the $25 million and $95 million goodwill impairment charges. Since the majority of United’s goodwill originated from acquisitions that were treated as tax-free exchanges, no goodwill was recognized for tax reporting purposes and therefore no tax deduction is allowed for the impairment charge. Likewise, no tax benefit is recognized in the financial statements relating to the goodwill impairment charges. The year-to-date 2009 effective tax rate also reflects a valuation allowance established for deferred tax assets. Management determined that it is more likely than not that approximately $3.9 million, net of Federal benefit, in prior year state low income housing tax credits will expire unused due to their very short three year carry forward period. Absent the goodwill impairment charges, the BOLI transactions and the valuation allowance on deferred tax assets, United’s effective tax rate for the third quarter and first nine months of 2009 would have been approximately 38%.</w:t>
      </w:r>
    </w:p>
    <w:p>
      <w:pPr>
        <w:spacing w:after="0" w:line="141" w:lineRule="exact"/>
        <w:rPr>
          <w:sz w:val="20"/>
          <w:szCs w:val="20"/>
          <w:color w:val="auto"/>
        </w:rPr>
      </w:pPr>
    </w:p>
    <w:p>
      <w:pPr>
        <w:jc w:val="both"/>
        <w:ind w:left="340" w:right="559" w:firstLine="747"/>
        <w:spacing w:after="0" w:line="287" w:lineRule="auto"/>
        <w:rPr>
          <w:sz w:val="20"/>
          <w:szCs w:val="20"/>
          <w:color w:val="auto"/>
        </w:rPr>
      </w:pPr>
      <w:r>
        <w:rPr>
          <w:rFonts w:ascii="Arial" w:cs="Arial" w:eastAsia="Arial" w:hAnsi="Arial"/>
          <w:sz w:val="16"/>
          <w:szCs w:val="16"/>
          <w:color w:val="auto"/>
        </w:rPr>
        <w:t xml:space="preserve">At September 30, 2009, United had net deferred tax assets of $33.8 million, including a valuation allowance of $3.9 million related to state tax credits that are expected to expire unused. Accounting Standards Codification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requires that companies assess whether a valuation allowance should be established against their deferred tax assets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September 30, 2009, United’s management believes that it is more likely than not that, with the exception of those state tax credits that are expected to expire unused due to a relatively short carryforward period of only three years, it will be able to realize its deferred tax benefits through its ability to carry losses forward to future profitable years. Despite recent losses and the challenging economic environment, United has a history of strong earnings, is well-capitalized, and has cautiously optimistic expectations regarding future taxable income. The deferred tax assets will be analyzed quarterly for changes affecting realizability, and there can be no guarantee that a valuation allowance will not be necessary in future periods.</w:t>
      </w:r>
    </w:p>
    <w:p>
      <w:pPr>
        <w:spacing w:after="0" w:line="142"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Additional information regarding income taxes can be found in Note 14 to the consolidated financial statements filed with United’s 2008 Form 10-K.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Review</w:t>
      </w:r>
    </w:p>
    <w:p>
      <w:pPr>
        <w:spacing w:after="0" w:line="189"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Total assets at September 30, 2009 and 2008 were $8.4 billion and $8.1 billion, respectively. Average total assets for the third quarter of 2009 were $8.2 billion, level with $8.2 billion in the third quarter of 2008.</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United reviews its goodwill for impairment annually or more frequently if circumstances indicate that goodwill has been impaired. United completed its annual goodwill impairment assessment as of December 31, 2008. In completing the annual assessment, United engaged an international accounting firm to assist with the valuation. United’s year-end goodwill impairment assessment indicated that there was no goodwill impairment.</w:t>
      </w:r>
    </w:p>
    <w:p>
      <w:pPr>
        <w:sectPr>
          <w:pgSz w:w="11900" w:h="16838" w:orient="portrait"/>
          <w:cols w:equalWidth="0" w:num="1">
            <w:col w:w="10219"/>
          </w:cols>
          <w:pgMar w:left="240" w:top="419" w:right="1440" w:bottom="919"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19"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71" w:lineRule="auto"/>
        <w:rPr>
          <w:sz w:val="20"/>
          <w:szCs w:val="20"/>
          <w:color w:val="auto"/>
        </w:rPr>
      </w:pPr>
      <w:r>
        <w:rPr>
          <w:rFonts w:ascii="Arial" w:cs="Arial" w:eastAsia="Arial" w:hAnsi="Arial"/>
          <w:sz w:val="17"/>
          <w:szCs w:val="17"/>
          <w:color w:val="auto"/>
        </w:rPr>
        <w:t>During the first quarter of 2009, United’s stock price fell from $13.58 at December 31, 2008 to a low of $2.28 in the first quarter and ended the first quarter of 2009 at $4.16 which management believes reflected uncertainty about the economic cycle. Additionally, the stock prices of the peer group used as part of the valuation analysis in the year-end goodwill impairment assessment experienced similar declines. The current economic environment has resulted in lower earnings with higher credit costs and those costs have been reflected in the income statement as well as valuation adjustments to the loan balances through increases to the level of the allowance for loan losses. With the stock price trading at a significant discount to book value and tangible book value and these other factors, management believed that goodwill should be re-assessed for impairment in the first quarter of 2009.</w:t>
      </w:r>
    </w:p>
    <w:p>
      <w:pPr>
        <w:spacing w:after="0" w:line="152" w:lineRule="exact"/>
        <w:rPr>
          <w:sz w:val="20"/>
          <w:szCs w:val="20"/>
          <w:color w:val="auto"/>
        </w:rPr>
      </w:pPr>
    </w:p>
    <w:p>
      <w:pPr>
        <w:jc w:val="both"/>
        <w:ind w:left="340" w:right="559" w:firstLine="747"/>
        <w:spacing w:after="0" w:line="276" w:lineRule="auto"/>
        <w:rPr>
          <w:sz w:val="20"/>
          <w:szCs w:val="20"/>
          <w:color w:val="auto"/>
        </w:rPr>
      </w:pPr>
      <w:r>
        <w:rPr>
          <w:rFonts w:ascii="Arial" w:cs="Arial" w:eastAsia="Arial" w:hAnsi="Arial"/>
          <w:sz w:val="17"/>
          <w:szCs w:val="17"/>
          <w:color w:val="auto"/>
        </w:rPr>
        <w:t>Although conditions in the second quarter did not lead management to believe at the time that further impairment existed, United’s financial condition and credit losses continued to deteriorate into the third quarter of 2009. Although some credit deterioration was expected at the time the first quarter impairment assessment was performed, conditions continued to weaken beyond earlier expectations and the rising level of nonperforming loans and credit losses led management to believe that further impairment might exist and another interim test was warranted in the third quarter of 2009.</w:t>
      </w:r>
    </w:p>
    <w:p>
      <w:pPr>
        <w:spacing w:after="0" w:line="132" w:lineRule="exact"/>
        <w:rPr>
          <w:sz w:val="20"/>
          <w:szCs w:val="20"/>
          <w:color w:val="auto"/>
        </w:rPr>
      </w:pPr>
    </w:p>
    <w:p>
      <w:pPr>
        <w:jc w:val="both"/>
        <w:ind w:left="340" w:right="559" w:firstLine="747"/>
        <w:spacing w:after="0" w:line="289" w:lineRule="auto"/>
        <w:rPr>
          <w:sz w:val="20"/>
          <w:szCs w:val="20"/>
          <w:color w:val="auto"/>
        </w:rPr>
      </w:pPr>
      <w:r>
        <w:rPr>
          <w:rFonts w:ascii="Arial" w:cs="Arial" w:eastAsia="Arial" w:hAnsi="Arial"/>
          <w:sz w:val="16"/>
          <w:szCs w:val="16"/>
          <w:color w:val="auto"/>
        </w:rPr>
        <w:t>In performing the first and third quarter assessment, United engaged the same third party valuation firm used to assist with the annual goodwill impairment assessment. The interim assessment in the first quarter was performed using a consistent approach with the annual assessment in the fourth quarter. The first step (Step 1) of the goodwill impairment analysis was to determine if the fair value of United exceeded the book value of equity, which would imply that goodwill is not impaired. The Step 1 analysis included three commonly used valuation techniques including an earnings approach that considered discounted future expected cash earnings and two market approaches. The first market approach was the guideline public company method that considered United’s implied value by comparing United to a select peer group of public companies and their current market valuation and the second market approach was the merger and acquisition method that considered the amount an acquiring company might be willing to pay to gain control of United based on recent merger and acquisition activity.</w:t>
      </w:r>
    </w:p>
    <w:p>
      <w:pPr>
        <w:spacing w:after="0" w:line="126" w:lineRule="exact"/>
        <w:rPr>
          <w:sz w:val="20"/>
          <w:szCs w:val="20"/>
          <w:color w:val="auto"/>
        </w:rPr>
      </w:pPr>
    </w:p>
    <w:p>
      <w:pPr>
        <w:jc w:val="both"/>
        <w:ind w:left="340" w:right="559" w:firstLine="747"/>
        <w:spacing w:after="0" w:line="297" w:lineRule="auto"/>
        <w:rPr>
          <w:sz w:val="20"/>
          <w:szCs w:val="20"/>
          <w:color w:val="auto"/>
        </w:rPr>
      </w:pPr>
      <w:r>
        <w:rPr>
          <w:rFonts w:ascii="Arial" w:cs="Arial" w:eastAsia="Arial" w:hAnsi="Arial"/>
          <w:sz w:val="16"/>
          <w:szCs w:val="16"/>
          <w:color w:val="auto"/>
        </w:rPr>
        <w:t>At December 31, 2008, United’s Step 1 analysis indicated that the fair value of United exceeded book value. All three valuation techniques used in Step 1 of the interim assessments in the first and third quarters showed a decline in value from the annual assessment performed at year-end due to deteriorating market conditions in the financial services industry and a decline in United’s internal earnings forecast related to further credit quality deterioration. The Step 1 analysis performed in the first and third quarters indicated that the estimated fair value of United had fallen below its book value.</w:t>
      </w:r>
    </w:p>
    <w:p>
      <w:pPr>
        <w:spacing w:after="0" w:line="131" w:lineRule="exact"/>
        <w:rPr>
          <w:sz w:val="20"/>
          <w:szCs w:val="20"/>
          <w:color w:val="auto"/>
        </w:rPr>
      </w:pPr>
    </w:p>
    <w:p>
      <w:pPr>
        <w:jc w:val="both"/>
        <w:ind w:left="340" w:right="559" w:firstLine="747"/>
        <w:spacing w:after="0" w:line="273" w:lineRule="auto"/>
        <w:rPr>
          <w:sz w:val="20"/>
          <w:szCs w:val="20"/>
          <w:color w:val="auto"/>
        </w:rPr>
      </w:pPr>
      <w:r>
        <w:rPr>
          <w:rFonts w:ascii="Arial" w:cs="Arial" w:eastAsia="Arial" w:hAnsi="Arial"/>
          <w:sz w:val="17"/>
          <w:szCs w:val="17"/>
          <w:color w:val="auto"/>
        </w:rPr>
        <w:t>The declining valuation determined in Step 1 led to Step 2 of the goodwill impairment assessment which required United to determine the fair value of all assets and liabilities, including separately identifiable intangible assets, and determine the implied goodwill as the difference between the value of United determined in Step 1 and the value of the underlying assets and liabilities determined in Step 2. In the first quarter, the implied value of goodwill resulting from the Step 2 analysis was $70 million less than the carrying amount of goodwill which led to the $70 million charge to earnings. In the third quarter the implied value of goodwill fell further leading to an additional charge of $25 million.</w:t>
      </w:r>
    </w:p>
    <w:p>
      <w:pPr>
        <w:spacing w:after="0" w:line="138"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There are a number of valuation assumptions required to determine the value of the assets and liabilities. The most significant assumption in determining the estimated fair value of United as a whole and the amount of any resulting impairment was the discount rate used in discounted cash flows valuation method. The discount rate selected was 15% which considered a risk-free rate of return that was adjusted for the industry median beta, equity risk and size premiums, and a company-specific risk premium.</w:t>
      </w:r>
    </w:p>
    <w:p>
      <w:pPr>
        <w:spacing w:after="0" w:line="148"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An increase in the discount rate of one percentage point would result in a decrease in the estimated value of United of approximately $30 million which would mean an increase in goodwill impairment by that amount. A decrease of one percentage point would result in an increase in the estimated value of United of approximately $36 million which would mean a decrease in the amount of goodwill impairment in the same amount.</w:t>
      </w:r>
    </w:p>
    <w:p>
      <w:pPr>
        <w:spacing w:after="0" w:line="160"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Other significant assumptions relate to the value of the loan portfolio. Those assumptions included estimates of cash flows on non-performing loans and probability of default rates and loss on default rates for performing loans. Changes in those assumptions, or any other significant assumptions, could have a significant impact on the results of the goodwill impairment assessment and result in future impairment charges.</w:t>
      </w:r>
    </w:p>
    <w:p>
      <w:pPr>
        <w:spacing w:after="0" w:line="146" w:lineRule="exact"/>
        <w:rPr>
          <w:sz w:val="20"/>
          <w:szCs w:val="20"/>
          <w:color w:val="auto"/>
        </w:rPr>
      </w:pPr>
    </w:p>
    <w:p>
      <w:pPr>
        <w:jc w:val="both"/>
        <w:ind w:left="340" w:right="559" w:firstLine="747"/>
        <w:spacing w:after="0" w:line="297" w:lineRule="auto"/>
        <w:rPr>
          <w:sz w:val="20"/>
          <w:szCs w:val="20"/>
          <w:color w:val="auto"/>
        </w:rPr>
      </w:pPr>
      <w:r>
        <w:rPr>
          <w:rFonts w:ascii="Arial" w:cs="Arial" w:eastAsia="Arial" w:hAnsi="Arial"/>
          <w:sz w:val="16"/>
          <w:szCs w:val="16"/>
          <w:color w:val="auto"/>
        </w:rPr>
        <w:t>United will perform its annual goodwill impairment assessment in the fourth quarter. Events and conditions that could lead to further goodwill impairment include, among other things, changes in the long-term risk free interest rate or any of the risk premium assumptions used to compile the discount rate for the discounted cash flows valuation method used in Step 1, changes in stock price valuations for United or the selected peer group of banks used to determine United’s value under the guideline public companies method or further deterioration in United’s financial performance or outlook for future financial performance.</w:t>
      </w:r>
    </w:p>
    <w:p>
      <w:pPr>
        <w:spacing w:after="0" w:line="118"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Because goodwill is an intangible asset that cannot be sold separately or otherwise disposed of, it is not recognized in determining capital adequacy for regulatory purposes. Therefore the goodwill impairment charge in the first and third quarters had no effect on United’s regulatory capital ratios.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7 — Loans Outstanding (excludes loans covered by loss share agreement)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1,787,444</w:t>
            </w:r>
          </w:p>
        </w:tc>
        <w:tc>
          <w:tcPr>
            <w:tcW w:w="3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1,626,966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1,603,651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379,782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499,663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508,832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402,609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410,529</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425,052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2,569,835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2,537,158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2,537,535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1,184,916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1,478,679</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1,595,981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1,460,917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1,526,388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1,528,499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147,021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162,636</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167,922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5,362,689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5,704,861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5,829,937</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12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Atlanta MSA</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1,525,680</w:t>
            </w:r>
          </w:p>
        </w:tc>
        <w:tc>
          <w:tcPr>
            <w:tcW w:w="3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1,705,561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1,800,041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401,642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420,169</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426,050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North Georgia</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1,941,643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2,040,082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2,066,163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Western North Carolina</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785,874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809,863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815,280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Coastal Georgia</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440,586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463,642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457,710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267,264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265,544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264,693</w:t>
            </w:r>
          </w:p>
        </w:tc>
        <w:tc>
          <w:tcPr>
            <w:tcW w:w="0" w:type="dxa"/>
            <w:vAlign w:val="bottom"/>
          </w:tcPr>
          <w:p>
            <w:pPr>
              <w:spacing w:after="0"/>
              <w:rPr>
                <w:sz w:val="1"/>
                <w:szCs w:val="1"/>
                <w:color w:val="auto"/>
              </w:rPr>
            </w:pPr>
          </w:p>
        </w:tc>
      </w:tr>
      <w:tr>
        <w:trPr>
          <w:trHeight w:val="223"/>
        </w:trPr>
        <w:tc>
          <w:tcPr>
            <w:tcW w:w="512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5,362,689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5,704,861</w:t>
            </w:r>
          </w:p>
        </w:tc>
        <w:tc>
          <w:tcPr>
            <w:tcW w:w="4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5,829,937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Substantially all of United’s loans are to customers located in the immediate market areas of its community banks in Georgia, North Carolina, and Tennessee. At September 30, 2009, total loans, excluding loans acquired from Southern Community Bank that are covered by loss sharing agreements with the FDIC, were $5.4 billion, a decrease of $467 million, or 8%, from September 30, 2008. The rate of loan growth began to decline in the first quarter of 2007 and, except for commercial real estate loans, the balances have continued to decline through 2008 and into 2009. The decrease in the loan portfolio was primarily due to deterioration in the residential construction and housing markets. This deterioration resulted in part in an oversupply of lot inventory, houses and land within United’s markets, which further slowed construction activities and acquisition and development projects. To date, the decline in the housing market has been most severe in the Atlanta MSA although there has been some migration of deterioration into United’s other markets.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85"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 xml:space="preserve"> in United’s Annual Report on Form 10-K.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7"/>
          <w:szCs w:val="17"/>
          <w:color w:val="auto"/>
        </w:rPr>
        <w:t>United classifies performing loans as substandard loans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8"/>
              </w:rPr>
              <w:t>June 30,</w:t>
            </w: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2"/>
              </w:rPr>
              <w:t>September 30,</w:t>
            </w:r>
          </w:p>
        </w:tc>
      </w:tr>
      <w:tr>
        <w:trPr>
          <w:trHeight w:val="234"/>
        </w:trPr>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0"/>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Commercial (sec. by 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69,657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65,211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43,228</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33,574</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50,888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36,316</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31,733</w:t>
            </w: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15,552</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16,603</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11,814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14,931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20,694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22,497</w:t>
            </w:r>
          </w:p>
        </w:tc>
      </w:tr>
      <w:tr>
        <w:trPr>
          <w:trHeight w:val="223"/>
        </w:trPr>
        <w:tc>
          <w:tcPr>
            <w:tcW w:w="282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178,833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117,787</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111,875</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79,474</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72,674</w:t>
            </w:r>
          </w:p>
        </w:tc>
        <w:tc>
          <w:tcPr>
            <w:tcW w:w="80" w:type="dxa"/>
            <w:vAlign w:val="bottom"/>
          </w:tcPr>
          <w:p>
            <w:pPr>
              <w:spacing w:after="0"/>
              <w:rPr>
                <w:sz w:val="19"/>
                <w:szCs w:val="19"/>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148,094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138,353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159,963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184,589</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83,504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71,959</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62,374</w:t>
            </w: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51,291</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44,724</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3,466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2,012</w:t>
            </w:r>
          </w:p>
        </w:tc>
      </w:tr>
      <w:tr>
        <w:trPr>
          <w:trHeight w:val="223"/>
        </w:trPr>
        <w:tc>
          <w:tcPr>
            <w:tcW w:w="282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473,247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341,306</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315,824</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293,780</w:t>
            </w: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303,999</w:t>
            </w:r>
          </w:p>
        </w:tc>
        <w:tc>
          <w:tcPr>
            <w:tcW w:w="8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747"/>
        <w:spacing w:after="0" w:line="273" w:lineRule="auto"/>
        <w:rPr>
          <w:sz w:val="20"/>
          <w:szCs w:val="20"/>
          <w:color w:val="auto"/>
        </w:rPr>
      </w:pPr>
      <w:r>
        <w:rPr>
          <w:rFonts w:ascii="Arial" w:cs="Arial" w:eastAsia="Arial" w:hAnsi="Arial"/>
          <w:sz w:val="17"/>
          <w:szCs w:val="17"/>
          <w:color w:val="auto"/>
        </w:rPr>
        <w:t>At September 30, 2009, performing substandard loans totaled $473.2 million and increased $131.9 million from the prior quarter-end, $179.5 million from year-end 2008, and $169.2 million from a year ago. Residential construction loans, particularly in Atlanta, have represented the largest proportion of both performing substandard and nonperforming loans. Over the past three quarters, the rate of increase in substandard residential construction loans had slowed and the balances had leveled off before increasing in the third quarter. The increase in the third quarter is primarily the result of a decision to reclassify most residential construction loans with interest reserves as substandard from the watch classification.</w:t>
      </w:r>
    </w:p>
    <w:p>
      <w:pPr>
        <w:spacing w:after="0" w:line="138"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The increase in substandard residential mortgages is primarily related to rising unemployment rates. The increase in substandard commercial loans reflects the challenging economic environment and current recession. United classifies loans as non-accrual substandard loans (or “non-performing loans”) when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Payments received on a non-accrual loan are applied to reduce outstanding principal.</w:t>
      </w:r>
    </w:p>
    <w:p>
      <w:pPr>
        <w:spacing w:after="0" w:line="138"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Reviews of substandard performing and non-performing loans, past due loans and larger credits, are conducted on a regular basis with management during the quarter and are designed to identify risk migration and potential charges to the allowance for loan losses. These reviews are performed by the responsible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United also uses external loan review in addition to United’s internal loan review and to ensure the independence of the loan review process.</w:t>
      </w:r>
    </w:p>
    <w:p>
      <w:pPr>
        <w:spacing w:after="0" w:line="124" w:lineRule="exact"/>
        <w:rPr>
          <w:sz w:val="20"/>
          <w:szCs w:val="20"/>
          <w:color w:val="auto"/>
        </w:rPr>
      </w:pPr>
    </w:p>
    <w:p>
      <w:pPr>
        <w:jc w:val="both"/>
        <w:ind w:left="340" w:right="559" w:firstLine="747"/>
        <w:spacing w:after="0" w:line="290"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appropriate to absorb losses inherent in the loan portfolio at quarter-end.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increases in the provision and the allowance for loan losses compared to a year ago were due to increasing trends in substandard loans, deterioration in the collateral values leading to an expectation of higher charge-offs upon default, further weakening of the residential construction and housing markets, and the recessionary economic environment.</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747"/>
        <w:spacing w:after="0" w:line="277" w:lineRule="auto"/>
        <w:rPr>
          <w:sz w:val="20"/>
          <w:szCs w:val="20"/>
          <w:color w:val="auto"/>
        </w:rPr>
      </w:pPr>
      <w:r>
        <w:rPr>
          <w:rFonts w:ascii="Arial" w:cs="Arial" w:eastAsia="Arial" w:hAnsi="Arial"/>
          <w:sz w:val="18"/>
          <w:szCs w:val="18"/>
          <w:color w:val="auto"/>
        </w:rPr>
        <w:t>The following table presents a summary of the changes in the allowance for loan losses for the three and nine months ended September 30, 2009 and 2008.</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9 — Allowance for Loan Losses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Pr>
          <w:p>
            <w:pPr>
              <w:spacing w:after="0"/>
              <w:rPr>
                <w:sz w:val="18"/>
                <w:szCs w:val="18"/>
                <w:color w:val="auto"/>
              </w:rPr>
            </w:pPr>
          </w:p>
        </w:tc>
        <w:tc>
          <w:tcPr>
            <w:tcW w:w="23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145,678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91,035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122,271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89,423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95,000</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76,000</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220,000</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99,000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10,584</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17,438</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1,379</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4,380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5,191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3,094</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9,279</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1,759</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67,916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50,305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150,528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65,467</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5,132</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3,359</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11,832</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7,031</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2,138</w:t>
            </w:r>
          </w:p>
        </w:tc>
      </w:tr>
      <w:tr>
        <w:trPr>
          <w:trHeight w:val="230"/>
        </w:trPr>
        <w:tc>
          <w:tcPr>
            <w:tcW w:w="416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92,572</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55,972</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197,641</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78,124</w:t>
            </w:r>
          </w:p>
        </w:tc>
        <w:tc>
          <w:tcPr>
            <w:tcW w:w="160" w:type="dxa"/>
            <w:vAlign w:val="bottom"/>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1,302</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3,507</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w:t>
            </w:r>
          </w:p>
        </w:tc>
      </w:tr>
      <w:tr>
        <w:trPr>
          <w:trHeight w:val="230"/>
        </w:trPr>
        <w:tc>
          <w:tcPr>
            <w:tcW w:w="416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0"/>
                <w:szCs w:val="20"/>
                <w:color w:val="auto"/>
              </w:rPr>
            </w:pPr>
          </w:p>
        </w:tc>
      </w:tr>
      <w:tr>
        <w:trPr>
          <w:trHeight w:val="216"/>
        </w:trPr>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charge-offs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90,491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55,736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192,084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77,124</w:t>
            </w:r>
          </w:p>
        </w:tc>
      </w:tr>
      <w:tr>
        <w:trPr>
          <w:trHeight w:val="223"/>
        </w:trPr>
        <w:tc>
          <w:tcPr>
            <w:tcW w:w="4160" w:type="dxa"/>
            <w:vAlign w:val="bottom"/>
          </w:tcPr>
          <w:p>
            <w:pPr>
              <w:ind w:left="400"/>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150,187</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111,299</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150,187</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111,299</w:t>
            </w:r>
          </w:p>
        </w:tc>
        <w:tc>
          <w:tcPr>
            <w:tcW w:w="16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At period-end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5,362,689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5,829,937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5,362,689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5,829,937</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5,565,498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5,889,168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5,612,202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5,926,731</w:t>
            </w: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16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Net charge-offs</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6.45</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16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bl>
    <w:p>
      <w:pPr>
        <w:spacing w:after="0" w:line="107" w:lineRule="exact"/>
        <w:rPr>
          <w:sz w:val="20"/>
          <w:szCs w:val="20"/>
          <w:color w:val="auto"/>
        </w:rPr>
      </w:pPr>
    </w:p>
    <w:p>
      <w:pPr>
        <w:ind w:left="680" w:hanging="34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Excluding impaired loans with no allocated reserve, the coverage ratio was 149% at September 30, 2009.</w:t>
      </w:r>
    </w:p>
    <w:p>
      <w:pPr>
        <w:spacing w:after="0" w:line="185"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Management believes that the allowance for loan losses at September 30, 2009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98"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The table below summarizes non-performing assets, excluding assets covered by the loss-sharing agreement with the FDIC. These assets have been excluded from the review of non-performing assets, as the loss-sharing agreement with the FDIC and purchase price adjustments to reflect credit losses effectively eliminate the likelihood of recognizing any losses on the covered assets.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10 — Non-Performing Assets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304,381</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190,723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139,266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loans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304,381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190,723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139,266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OREO</w:t>
            </w:r>
          </w:p>
        </w:tc>
        <w:tc>
          <w:tcPr>
            <w:tcW w:w="2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110,610</w:t>
            </w: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59,768</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38,438</w:t>
            </w:r>
          </w:p>
        </w:tc>
      </w:tr>
      <w:tr>
        <w:trPr>
          <w:trHeight w:val="27"/>
        </w:trPr>
        <w:tc>
          <w:tcPr>
            <w:tcW w:w="5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414,991</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250,491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177,704</w:t>
            </w: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12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22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8"/>
              </w:rPr>
              <w:t>Non-performing assets as a percentage of total loans and OREO</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2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r>
    </w:tbl>
    <w:p>
      <w:pPr>
        <w:spacing w:after="0" w:line="147"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Non-performing loans totaled $304.4 million, compared with $190.7 million at December 31, 2008 and $139.3 million at September 30, 2008. The ratio of non-performing loans to total loans increased substantially from September 30, 2008 and December 31, 2008 reflecting continued deterioration in United’s residential construction and development portfolio primarily in the Atlanta MSA and deterioration in other loan types and markets. Non-performing assets, which include non-performing loans and foreclosed real estate, totaled $415.0 million at September 30, 2009, compared with $250.5 million at December 31, 2008 and $177.7 million at September 30, 2008. United’s position throughout the recession has been to actively and aggressively work to dispose of problem assets quickly.</w:t>
      </w:r>
    </w:p>
    <w:p>
      <w:pPr>
        <w:spacing w:after="0" w:line="151" w:lineRule="exact"/>
        <w:rPr>
          <w:sz w:val="20"/>
          <w:szCs w:val="20"/>
          <w:color w:val="auto"/>
        </w:rPr>
      </w:pPr>
    </w:p>
    <w:p>
      <w:pPr>
        <w:jc w:val="both"/>
        <w:ind w:left="340" w:right="559" w:firstLine="747"/>
        <w:spacing w:after="0" w:line="308" w:lineRule="auto"/>
        <w:rPr>
          <w:sz w:val="20"/>
          <w:szCs w:val="20"/>
          <w:color w:val="auto"/>
        </w:rPr>
      </w:pPr>
      <w:r>
        <w:rPr>
          <w:rFonts w:ascii="Arial" w:cs="Arial" w:eastAsia="Arial" w:hAnsi="Arial"/>
          <w:sz w:val="17"/>
          <w:szCs w:val="17"/>
          <w:color w:val="auto"/>
        </w:rPr>
        <w:t>The following table summarizes non-performing assets by category and market. As with Tables 7, 8 and 10, assets covered by the loss-sharing agreement with the FDIC, related to the acquisition of SCB, are excluded from this table.</w:t>
      </w:r>
    </w:p>
    <w:p>
      <w:pPr>
        <w:spacing w:after="0" w:line="102" w:lineRule="exact"/>
        <w:rPr>
          <w:sz w:val="20"/>
          <w:szCs w:val="20"/>
          <w:color w:val="auto"/>
        </w:rPr>
      </w:pPr>
    </w:p>
    <w:p>
      <w:pPr>
        <w:ind w:left="340" w:right="4459"/>
        <w:spacing w:after="0" w:line="282" w:lineRule="auto"/>
        <w:rPr>
          <w:sz w:val="20"/>
          <w:szCs w:val="20"/>
          <w:color w:val="auto"/>
        </w:rPr>
      </w:pPr>
      <w:r>
        <w:rPr>
          <w:rFonts w:ascii="Arial" w:cs="Arial" w:eastAsia="Arial" w:hAnsi="Arial"/>
          <w:sz w:val="18"/>
          <w:szCs w:val="18"/>
          <w:b w:val="1"/>
          <w:bCs w:val="1"/>
          <w:color w:val="auto"/>
        </w:rPr>
        <w:t xml:space="preserve">Table 11 — Non-Performing Assets (“NPAs”) by Category and Market </w:t>
      </w:r>
      <w:r>
        <w:rPr>
          <w:rFonts w:ascii="Arial" w:cs="Arial" w:eastAsia="Arial" w:hAnsi="Arial"/>
          <w:sz w:val="18"/>
          <w:szCs w:val="18"/>
          <w:i w:val="1"/>
          <w:iCs w:val="1"/>
          <w:color w:val="auto"/>
        </w:rPr>
        <w:t>(dollars in thousands)</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6"/>
          </w:tcPr>
          <w:p>
            <w:pPr>
              <w:jc w:val="right"/>
              <w:spacing w:after="0"/>
              <w:rPr>
                <w:sz w:val="20"/>
                <w:szCs w:val="20"/>
                <w:color w:val="auto"/>
              </w:rPr>
            </w:pPr>
            <w:r>
              <w:rPr>
                <w:rFonts w:ascii="Arial" w:cs="Arial" w:eastAsia="Arial" w:hAnsi="Arial"/>
                <w:sz w:val="16"/>
                <w:szCs w:val="16"/>
                <w:b w:val="1"/>
                <w:bCs w:val="1"/>
                <w:color w:val="auto"/>
              </w:rPr>
              <w:t>September 30, 2009</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6"/>
          </w:tcPr>
          <w:p>
            <w:pPr>
              <w:jc w:val="right"/>
              <w:spacing w:after="0"/>
              <w:rPr>
                <w:sz w:val="20"/>
                <w:szCs w:val="20"/>
                <w:color w:val="auto"/>
              </w:rPr>
            </w:pPr>
            <w:r>
              <w:rPr>
                <w:rFonts w:ascii="Arial" w:cs="Arial" w:eastAsia="Arial" w:hAnsi="Arial"/>
                <w:sz w:val="16"/>
                <w:szCs w:val="16"/>
                <w:b w:val="1"/>
                <w:bCs w:val="1"/>
                <w:color w:val="auto"/>
              </w:rPr>
              <w:t>December 31, 2008</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8"/>
          </w:tcPr>
          <w:p>
            <w:pPr>
              <w:jc w:val="right"/>
              <w:ind w:right="580"/>
              <w:spacing w:after="0"/>
              <w:rPr>
                <w:sz w:val="20"/>
                <w:szCs w:val="20"/>
                <w:color w:val="auto"/>
              </w:rPr>
            </w:pPr>
            <w:r>
              <w:rPr>
                <w:rFonts w:ascii="Arial" w:cs="Arial" w:eastAsia="Arial" w:hAnsi="Arial"/>
                <w:sz w:val="16"/>
                <w:szCs w:val="16"/>
                <w:b w:val="1"/>
                <w:bCs w:val="1"/>
                <w:color w:val="auto"/>
              </w:rPr>
              <w:t>September 30, 2008</w:t>
            </w: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Non-</w:t>
            </w: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Non-</w:t>
            </w: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Non-</w:t>
            </w: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rPr>
              <w:t>Performing</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rPr>
              <w:t>Performing</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9"/>
              </w:rPr>
              <w:t>Total</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Performing</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Loans</w:t>
            </w:r>
          </w:p>
        </w:tc>
        <w:tc>
          <w:tcPr>
            <w:tcW w:w="820" w:type="dxa"/>
            <w:vAlign w:val="bottom"/>
            <w:gridSpan w:val="3"/>
          </w:tcPr>
          <w:p>
            <w:pPr>
              <w:ind w:left="80"/>
              <w:spacing w:after="0"/>
              <w:rPr>
                <w:sz w:val="20"/>
                <w:szCs w:val="20"/>
                <w:color w:val="auto"/>
              </w:rPr>
            </w:pPr>
            <w:r>
              <w:rPr>
                <w:rFonts w:ascii="Arial" w:cs="Arial" w:eastAsia="Arial" w:hAnsi="Arial"/>
                <w:sz w:val="16"/>
                <w:szCs w:val="16"/>
                <w:b w:val="1"/>
                <w:bCs w:val="1"/>
                <w:color w:val="auto"/>
              </w:rPr>
              <w:t>OREO</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NPAs</w:t>
            </w: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7"/>
              </w:rPr>
              <w:t>Loans</w:t>
            </w:r>
          </w:p>
        </w:tc>
        <w:tc>
          <w:tcPr>
            <w:tcW w:w="7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OREO</w:t>
            </w: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3"/>
              </w:rPr>
              <w:t>NPAs</w:t>
            </w:r>
          </w:p>
        </w:tc>
        <w:tc>
          <w:tcPr>
            <w:tcW w:w="14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Loans</w:t>
            </w:r>
          </w:p>
        </w:tc>
        <w:tc>
          <w:tcPr>
            <w:tcW w:w="740" w:type="dxa"/>
            <w:vAlign w:val="bottom"/>
            <w:gridSpan w:val="3"/>
          </w:tcPr>
          <w:p>
            <w:pPr>
              <w:ind w:left="20"/>
              <w:spacing w:after="0"/>
              <w:rPr>
                <w:sz w:val="20"/>
                <w:szCs w:val="20"/>
                <w:color w:val="auto"/>
              </w:rPr>
            </w:pPr>
            <w:r>
              <w:rPr>
                <w:rFonts w:ascii="Arial" w:cs="Arial" w:eastAsia="Arial" w:hAnsi="Arial"/>
                <w:sz w:val="16"/>
                <w:szCs w:val="16"/>
                <w:b w:val="1"/>
                <w:bCs w:val="1"/>
                <w:color w:val="auto"/>
              </w:rPr>
              <w:t>OREO</w:t>
            </w:r>
          </w:p>
        </w:tc>
        <w:tc>
          <w:tcPr>
            <w:tcW w:w="10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6"/>
                <w:szCs w:val="16"/>
                <w:b w:val="1"/>
                <w:bCs w:val="1"/>
                <w:color w:val="auto"/>
              </w:rPr>
              <w:t>NPAs</w:t>
            </w:r>
          </w:p>
        </w:tc>
        <w:tc>
          <w:tcPr>
            <w:tcW w:w="0" w:type="dxa"/>
            <w:vAlign w:val="bottom"/>
          </w:tcPr>
          <w:p>
            <w:pPr>
              <w:spacing w:after="0"/>
              <w:rPr>
                <w:sz w:val="1"/>
                <w:szCs w:val="1"/>
                <w:color w:val="auto"/>
              </w:rPr>
            </w:pPr>
          </w:p>
        </w:tc>
      </w:tr>
      <w:tr>
        <w:trPr>
          <w:trHeight w:val="185"/>
        </w:trPr>
        <w:tc>
          <w:tcPr>
            <w:tcW w:w="1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NPAs BY</w:t>
            </w: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CATEGORY</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Commercial (sec. by</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0"/>
              <w:spacing w:after="0"/>
              <w:rPr>
                <w:sz w:val="20"/>
                <w:szCs w:val="20"/>
                <w:color w:val="auto"/>
              </w:rPr>
            </w:pPr>
            <w:r>
              <w:rPr>
                <w:rFonts w:ascii="Arial" w:cs="Arial" w:eastAsia="Arial" w:hAnsi="Arial"/>
                <w:sz w:val="16"/>
                <w:szCs w:val="16"/>
                <w:color w:val="auto"/>
              </w:rPr>
              <w:t>RE)</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38,379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12,566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50,945</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15,188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2,427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17,615</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9,961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854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10,815</w:t>
            </w:r>
          </w:p>
        </w:tc>
        <w:tc>
          <w:tcPr>
            <w:tcW w:w="0" w:type="dxa"/>
            <w:vAlign w:val="bottom"/>
          </w:tcPr>
          <w:p>
            <w:pPr>
              <w:spacing w:after="0"/>
              <w:rPr>
                <w:sz w:val="1"/>
                <w:szCs w:val="1"/>
                <w:color w:val="auto"/>
              </w:rPr>
            </w:pPr>
          </w:p>
        </w:tc>
      </w:tr>
      <w:tr>
        <w:trPr>
          <w:trHeight w:val="196"/>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Commercial</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construction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38,505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5,543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44,048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3,846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2,924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Commercial &amp;</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0"/>
              <w:spacing w:after="0"/>
              <w:rPr>
                <w:sz w:val="20"/>
                <w:szCs w:val="20"/>
                <w:color w:val="auto"/>
              </w:rPr>
            </w:pPr>
            <w:r>
              <w:rPr>
                <w:rFonts w:ascii="Arial" w:cs="Arial" w:eastAsia="Arial" w:hAnsi="Arial"/>
                <w:sz w:val="16"/>
                <w:szCs w:val="16"/>
                <w:color w:val="auto"/>
              </w:rPr>
              <w:t>industrial</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3,794</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1,920</w:t>
            </w:r>
          </w:p>
        </w:tc>
        <w:tc>
          <w:tcPr>
            <w:tcW w:w="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1,920</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1,556</w:t>
            </w: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commercial</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80,678</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18,109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98,787</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18,621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4,760</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23,381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14,441</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15,670</w:t>
            </w: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0"/>
              <w:spacing w:after="0"/>
              <w:rPr>
                <w:sz w:val="20"/>
                <w:szCs w:val="20"/>
                <w:color w:val="auto"/>
              </w:rPr>
            </w:pPr>
            <w:r>
              <w:rPr>
                <w:rFonts w:ascii="Arial" w:cs="Arial" w:eastAsia="Arial" w:hAnsi="Arial"/>
                <w:sz w:val="16"/>
                <w:szCs w:val="16"/>
                <w:color w:val="auto"/>
              </w:rPr>
              <w:t>construction</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171,027</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79,045</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w w:val="86"/>
              </w:rPr>
              <w:t>250,072</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144,836</w:t>
            </w:r>
          </w:p>
        </w:tc>
        <w:tc>
          <w:tcPr>
            <w:tcW w:w="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w w:val="85"/>
              </w:rPr>
              <w:t>48,572</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w w:val="86"/>
              </w:rPr>
              <w:t>193,408</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102,095</w:t>
            </w: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w w:val="85"/>
              </w:rPr>
              <w:t>32,453</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134,548</w:t>
            </w: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Residential mortgage</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50,626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13,456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64,082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25,574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6,436</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32,010</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21,335</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4,756</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26,091</w:t>
            </w: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Consumer /</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0"/>
              <w:spacing w:after="0"/>
              <w:rPr>
                <w:sz w:val="20"/>
                <w:szCs w:val="20"/>
                <w:color w:val="auto"/>
              </w:rPr>
            </w:pPr>
            <w:r>
              <w:rPr>
                <w:rFonts w:ascii="Arial" w:cs="Arial" w:eastAsia="Arial" w:hAnsi="Arial"/>
                <w:sz w:val="16"/>
                <w:szCs w:val="16"/>
                <w:color w:val="auto"/>
              </w:rPr>
              <w:t>installment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2,050</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2,050</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1,692</w:t>
            </w:r>
          </w:p>
        </w:tc>
        <w:tc>
          <w:tcPr>
            <w:tcW w:w="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1,692</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1,395</w:t>
            </w: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30"/>
        </w:trPr>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NPAs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304,381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6"/>
              </w:rPr>
              <w:t>110,610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6"/>
              </w:rPr>
              <w:t>414,991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190,723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5"/>
              </w:rPr>
              <w:t>59,768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6"/>
              </w:rPr>
              <w:t>250,491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139,266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5"/>
              </w:rPr>
              <w:t>38,438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177,704</w:t>
            </w: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rPr>
                <w:sz w:val="20"/>
                <w:szCs w:val="20"/>
                <w:color w:val="auto"/>
              </w:rPr>
            </w:pPr>
            <w:r>
              <w:rPr>
                <w:rFonts w:ascii="Arial" w:cs="Arial" w:eastAsia="Arial" w:hAnsi="Arial"/>
                <w:sz w:val="16"/>
                <w:szCs w:val="16"/>
                <w:b w:val="1"/>
                <w:bCs w:val="1"/>
                <w:color w:val="auto"/>
              </w:rPr>
              <w:t>NPAs BY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560" w:type="dxa"/>
            <w:vAlign w:val="bottom"/>
          </w:tcPr>
          <w:p>
            <w:pPr>
              <w:ind w:left="200"/>
              <w:spacing w:after="0"/>
              <w:rPr>
                <w:sz w:val="20"/>
                <w:szCs w:val="20"/>
                <w:color w:val="auto"/>
              </w:rPr>
            </w:pPr>
            <w:r>
              <w:rPr>
                <w:rFonts w:ascii="Arial" w:cs="Arial" w:eastAsia="Arial" w:hAnsi="Arial"/>
                <w:sz w:val="16"/>
                <w:szCs w:val="16"/>
                <w:b w:val="1"/>
                <w:bCs w:val="1"/>
                <w:color w:val="auto"/>
              </w:rPr>
              <w:t>MARKET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Atlanta MSA</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120,599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54,670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6"/>
              </w:rPr>
              <w:t>175,269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105,476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5"/>
              </w:rPr>
              <w:t>42,336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6"/>
              </w:rPr>
              <w:t>147,812</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80,805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5"/>
              </w:rPr>
              <w:t>27,011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107,816</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6"/>
                <w:szCs w:val="16"/>
                <w:color w:val="auto"/>
              </w:rPr>
              <w:t>Gainesville MSA</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12,916</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8,429</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21,345</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16,208</w:t>
            </w:r>
          </w:p>
        </w:tc>
        <w:tc>
          <w:tcPr>
            <w:tcW w:w="8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1,110</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17,318</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15,105</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15,753</w:t>
            </w: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North Georgia</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96,373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36,718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6"/>
              </w:rPr>
              <w:t>133,091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31,631</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5"/>
              </w:rPr>
              <w:t>12,785</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44,416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20,812</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8,337</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29,149</w:t>
            </w:r>
          </w:p>
        </w:tc>
        <w:tc>
          <w:tcPr>
            <w:tcW w:w="0" w:type="dxa"/>
            <w:vAlign w:val="bottom"/>
          </w:tcPr>
          <w:p>
            <w:pPr>
              <w:spacing w:after="0"/>
              <w:rPr>
                <w:sz w:val="1"/>
                <w:szCs w:val="1"/>
                <w:color w:val="auto"/>
              </w:rPr>
            </w:pPr>
          </w:p>
        </w:tc>
      </w:tr>
      <w:tr>
        <w:trPr>
          <w:trHeight w:val="193"/>
        </w:trPr>
        <w:tc>
          <w:tcPr>
            <w:tcW w:w="1560" w:type="dxa"/>
            <w:vAlign w:val="bottom"/>
          </w:tcPr>
          <w:p>
            <w:pPr>
              <w:spacing w:after="0"/>
              <w:rPr>
                <w:sz w:val="20"/>
                <w:szCs w:val="20"/>
                <w:color w:val="auto"/>
              </w:rPr>
            </w:pPr>
            <w:r>
              <w:rPr>
                <w:rFonts w:ascii="Arial" w:cs="Arial" w:eastAsia="Arial" w:hAnsi="Arial"/>
                <w:sz w:val="16"/>
                <w:szCs w:val="16"/>
                <w:color w:val="auto"/>
              </w:rPr>
              <w:t>Western North</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60" w:type="dxa"/>
            <w:vAlign w:val="bottom"/>
          </w:tcPr>
          <w:p>
            <w:pPr>
              <w:ind w:left="200"/>
              <w:spacing w:after="0"/>
              <w:rPr>
                <w:sz w:val="20"/>
                <w:szCs w:val="20"/>
                <w:color w:val="auto"/>
              </w:rPr>
            </w:pPr>
            <w:r>
              <w:rPr>
                <w:rFonts w:ascii="Arial" w:cs="Arial" w:eastAsia="Arial" w:hAnsi="Arial"/>
                <w:sz w:val="16"/>
                <w:szCs w:val="16"/>
                <w:color w:val="auto"/>
              </w:rPr>
              <w:t>Carolina</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25,775</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5,918</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31,693</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18,509</w:t>
            </w:r>
          </w:p>
        </w:tc>
        <w:tc>
          <w:tcPr>
            <w:tcW w:w="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2,986</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21,495</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13,432</w:t>
            </w: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14,941</w:t>
            </w: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spacing w:after="0"/>
              <w:rPr>
                <w:sz w:val="20"/>
                <w:szCs w:val="20"/>
                <w:color w:val="auto"/>
              </w:rPr>
            </w:pPr>
            <w:r>
              <w:rPr>
                <w:rFonts w:ascii="Arial" w:cs="Arial" w:eastAsia="Arial" w:hAnsi="Arial"/>
                <w:sz w:val="16"/>
                <w:szCs w:val="16"/>
                <w:color w:val="auto"/>
              </w:rPr>
              <w:t>Coastal Georgia</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38,414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3,045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41,459</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11,863</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138</w:t>
            </w: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12,001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3,682</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4,283</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20"/>
                <w:szCs w:val="20"/>
                <w:color w:val="auto"/>
              </w:rPr>
            </w:pPr>
            <w:r>
              <w:rPr>
                <w:rFonts w:ascii="Arial" w:cs="Arial" w:eastAsia="Arial" w:hAnsi="Arial"/>
                <w:sz w:val="16"/>
                <w:szCs w:val="16"/>
                <w:color w:val="auto"/>
              </w:rPr>
              <w:t>East Tennessee</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10,304</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12,134</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7,036</w:t>
            </w:r>
          </w:p>
        </w:tc>
        <w:tc>
          <w:tcPr>
            <w:tcW w:w="8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413</w:t>
            </w:r>
          </w:p>
        </w:tc>
        <w:tc>
          <w:tcPr>
            <w:tcW w:w="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7,449</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5,430</w:t>
            </w:r>
          </w:p>
        </w:tc>
        <w:tc>
          <w:tcPr>
            <w:tcW w:w="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5,762</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Total NPAs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304,381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6"/>
              </w:rPr>
              <w:t>110,610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6"/>
              </w:rPr>
              <w:t>414,991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190,723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5"/>
              </w:rPr>
              <w:t>59,768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6"/>
              </w:rPr>
              <w:t>250,491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139,266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5"/>
              </w:rPr>
              <w:t>38,438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177,704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555"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55"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89" w:lineRule="auto"/>
        <w:rPr>
          <w:sz w:val="20"/>
          <w:szCs w:val="20"/>
          <w:color w:val="auto"/>
        </w:rPr>
      </w:pPr>
      <w:r>
        <w:rPr>
          <w:rFonts w:ascii="Arial" w:cs="Arial" w:eastAsia="Arial" w:hAnsi="Arial"/>
          <w:sz w:val="16"/>
          <w:szCs w:val="16"/>
          <w:color w:val="auto"/>
        </w:rPr>
        <w:t>Non-performing assets in the residential construction category were $250.1 million at September 30, 2009, compared with $134.5 million at September 30, 2008, an increase of $115.6 million, or 86%. Other categories of non-performing assets have also experienced significant increases, with commercial non-performing assets of $98.9 million, up $83.1 million over the prior year, and residential non-performing assets of $64.1 million, up $38.0 million from September 30, 2008. As described previously, the majority of the increase in non-performing assets has been in the Atlanta MSA, where non-performing assets of $175.3 million are up $67.5 million, or 63%, over September 30, 2008. United’s north Georgia market has also seen a significant increase. Non-performing assets in the north Georgia market at September 30, 2009 were $133.1 million, compared with $29.1 million at the end of the third quarter of 2008. The increase in nonperforming loans in the coastal Georgia market was primarily due to one large commercial relationship that was placed on non-accrual.</w:t>
      </w:r>
    </w:p>
    <w:p>
      <w:pPr>
        <w:spacing w:after="0" w:line="140"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At September 30, 2009, December 31, 2008 and September 30, 2008 there were $238.2 million, $142.3 million and $94.0 million, respectively, of loans classified as impaired. Of these, $203.8 million, $92.6 million and $42.4 million, respectively, did not have a specific reserve allocated. At September 30, 2009 $34.5 million had specific reserves allocated totaling $8.2 million. At December 31, 2008, $49.7 million had specific reserves allocated totaling $15.7 million. At September 30, 2008, $51.6 million had specific reserves allocated totaling $17.2 million. The average recorded investment in impaired loans for the quarters ended September 30, 2009 and 2008 was $244.1 million and $100.6 million, respectively. There was no interest revenue recognized on loans while they were impaired for the first nine months of 2009 or 2008.</w:t>
      </w:r>
    </w:p>
    <w:p>
      <w:pPr>
        <w:spacing w:after="0" w:line="137" w:lineRule="exact"/>
        <w:rPr>
          <w:sz w:val="20"/>
          <w:szCs w:val="20"/>
          <w:color w:val="auto"/>
        </w:rPr>
      </w:pPr>
    </w:p>
    <w:p>
      <w:pPr>
        <w:jc w:val="both"/>
        <w:ind w:left="340" w:right="559" w:firstLine="747"/>
        <w:spacing w:after="0" w:line="308" w:lineRule="auto"/>
        <w:rPr>
          <w:sz w:val="20"/>
          <w:szCs w:val="20"/>
          <w:color w:val="auto"/>
        </w:rPr>
      </w:pPr>
      <w:r>
        <w:rPr>
          <w:rFonts w:ascii="Arial" w:cs="Arial" w:eastAsia="Arial" w:hAnsi="Arial"/>
          <w:sz w:val="17"/>
          <w:szCs w:val="17"/>
          <w:color w:val="auto"/>
        </w:rPr>
        <w:t>The table below summarizes activity related to OREO for the three and nine months ended September 30, 2009. Assets covered by the loss sharing agreement with the FDIC, related to the acquisition of SCB, are excluded from this table.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12 — OREO Rollforward</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Nine Months</w:t>
            </w:r>
          </w:p>
        </w:tc>
      </w:tr>
      <w:tr>
        <w:trPr>
          <w:trHeight w:val="216"/>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660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6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r>
      <w:tr>
        <w:trPr>
          <w:trHeight w:val="210"/>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104,754</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59,768</w:t>
            </w:r>
          </w:p>
        </w:tc>
      </w:tr>
      <w:tr>
        <w:trPr>
          <w:trHeight w:val="432"/>
        </w:trPr>
        <w:tc>
          <w:tcPr>
            <w:tcW w:w="6600" w:type="dxa"/>
            <w:vAlign w:val="bottom"/>
          </w:tcPr>
          <w:p>
            <w:pPr>
              <w:spacing w:after="0"/>
              <w:rPr>
                <w:sz w:val="20"/>
                <w:szCs w:val="20"/>
                <w:color w:val="auto"/>
              </w:rPr>
            </w:pPr>
            <w:r>
              <w:rPr>
                <w:rFonts w:ascii="Arial" w:cs="Arial" w:eastAsia="Arial" w:hAnsi="Arial"/>
                <w:sz w:val="18"/>
                <w:szCs w:val="18"/>
                <w:color w:val="auto"/>
              </w:rPr>
              <w:t>Foreclosures transferred in</w:t>
            </w:r>
          </w:p>
        </w:tc>
        <w:tc>
          <w:tcPr>
            <w:tcW w:w="22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56,624</w:t>
            </w:r>
          </w:p>
        </w:tc>
        <w:tc>
          <w:tcPr>
            <w:tcW w:w="2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159,783</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Capital costs added</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Proceeds from sales</w:t>
            </w:r>
          </w:p>
        </w:tc>
        <w:tc>
          <w:tcPr>
            <w:tcW w:w="2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(47,240)</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(103,991)</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Write downs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Losses from sales</w:t>
            </w:r>
          </w:p>
        </w:tc>
        <w:tc>
          <w:tcPr>
            <w:tcW w:w="2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(2,201)</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r>
      <w:tr>
        <w:trPr>
          <w:trHeight w:val="223"/>
        </w:trPr>
        <w:tc>
          <w:tcPr>
            <w:tcW w:w="6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110,610</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110,610</w:t>
            </w:r>
          </w:p>
        </w:tc>
      </w:tr>
      <w:tr>
        <w:trPr>
          <w:trHeight w:val="20"/>
        </w:trPr>
        <w:tc>
          <w:tcPr>
            <w:tcW w:w="6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firstLine="747"/>
        <w:spacing w:after="0" w:line="271" w:lineRule="auto"/>
        <w:rPr>
          <w:sz w:val="20"/>
          <w:szCs w:val="20"/>
          <w:color w:val="auto"/>
        </w:rPr>
      </w:pPr>
      <w:r>
        <w:rPr>
          <w:rFonts w:ascii="Arial" w:cs="Arial" w:eastAsia="Arial" w:hAnsi="Arial"/>
          <w:sz w:val="17"/>
          <w:szCs w:val="17"/>
          <w:color w:val="auto"/>
        </w:rPr>
        <w:t xml:space="preserve">OREO is initially recorded at fair value, less cost to sell. If the fair value, less cost to sell at the time of foreclosure, is less than the loan balance, the deficiency is charged against the allowance for loan losses. If the fair value, less cost to sell, of the OREO decreases during the holding period, a valuation allowance is established with a charge to foreclosed property costs. When the OREO is sold, a gain or loss is recognized on the sale for the difference between the sales proceeds and the carrying amount of the property. Financed sales of OREO are accounted for in accordance with Accounting Standards Codification, Topic 360, Subtopic 20, </w:t>
      </w:r>
      <w:r>
        <w:rPr>
          <w:rFonts w:ascii="Arial" w:cs="Arial" w:eastAsia="Arial" w:hAnsi="Arial"/>
          <w:sz w:val="17"/>
          <w:szCs w:val="17"/>
          <w:i w:val="1"/>
          <w:iCs w:val="1"/>
          <w:color w:val="auto"/>
        </w:rPr>
        <w:t>Real Estate Sales</w:t>
      </w:r>
      <w:r>
        <w:rPr>
          <w:rFonts w:ascii="Arial" w:cs="Arial" w:eastAsia="Arial" w:hAnsi="Arial"/>
          <w:sz w:val="17"/>
          <w:szCs w:val="17"/>
          <w:color w:val="auto"/>
        </w:rPr>
        <w:t xml:space="preserve"> (“ASC 360-20”). For the third quarter and first nine months of 2009, United transferred foreclosures into OREO of $56.6 million and $159.8 million, respectively. During the same periods, proceeds from sales of OREO were $47.2 million and $104.0 million, respectively.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85"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available for sale at quarter-end increased $131.7 million from a year ago. At September 30, 2009 and 2008, the securities portfolio represented approximately 18% and 17% of total assets, respectively.</w:t>
      </w:r>
    </w:p>
    <w:p>
      <w:pPr>
        <w:spacing w:after="0" w:line="138"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The investment securities portfolio primarily consists of U.S. Government sponsored agency mortgage-backed securities, non-agency mortgage-backed securities, U.S. Government agency securities,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time period.</w:t>
      </w:r>
    </w:p>
    <w:p>
      <w:pPr>
        <w:sectPr>
          <w:pgSz w:w="11900" w:h="16838" w:orient="portrait"/>
          <w:cols w:equalWidth="0" w:num="1">
            <w:col w:w="10219"/>
          </w:cols>
          <w:pgMar w:left="240" w:top="419" w:right="1440" w:bottom="474"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74"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Total deposits as of September 30, 2009 were $6.8 billion, an increase of $132 million, or 2%, from September 30, 2008. Total non-interest-bearing demand deposit accounts of $703.1 million increased $22.9 million, or 3%, and NOW, money market and savings accounts of $2.2 billion increased $219 million, or 11%. The increase was primarily in money market deposits as customers sought higher yields without the time commitment of certificates of deposit. Since December 31, 2008, United has seen increases in balances of non-interest bearing-demand, money market and savings balances as a result of internal efforts to raise core deposits.</w:t>
      </w:r>
    </w:p>
    <w:p>
      <w:pPr>
        <w:spacing w:after="0" w:line="153" w:lineRule="exact"/>
        <w:rPr>
          <w:sz w:val="20"/>
          <w:szCs w:val="20"/>
          <w:color w:val="auto"/>
        </w:rPr>
      </w:pPr>
    </w:p>
    <w:p>
      <w:pPr>
        <w:jc w:val="both"/>
        <w:ind w:left="340" w:right="559" w:firstLine="747"/>
        <w:spacing w:after="0" w:line="287" w:lineRule="auto"/>
        <w:rPr>
          <w:sz w:val="20"/>
          <w:szCs w:val="20"/>
          <w:color w:val="auto"/>
        </w:rPr>
      </w:pPr>
      <w:r>
        <w:rPr>
          <w:rFonts w:ascii="Arial" w:cs="Arial" w:eastAsia="Arial" w:hAnsi="Arial"/>
          <w:sz w:val="16"/>
          <w:szCs w:val="16"/>
          <w:color w:val="auto"/>
        </w:rPr>
        <w:t>Total time deposits, excluding brokered deposits, as of September 30, 2009 were $3.1 billion, down $205 million from September 30, 2008. Time deposits less than $100,000 totaled $1.9 billion, an increase of $39.8 million, or 2%, from a year ago. The acquisition of SCB added approximately $108 million, therefore time deposits less than $100,000 decreased approximately $68 million absent the acquisition. Time deposits of $100,000 and greater, totaled $1.2 billion as of September 30, 2009, a decrease of $244 million, or 16%, from September 30, 2008. During the second quarter of 2008, United made a decision to actively pursue time deposits by offering a 15 month certificate of deposit at an attractive rate, in order to increase liquidity. The program was successful in adding over $400 million of customer deposits. Those certificates of deposit matured in the third quarter of 2009 and United did not offer a special rate upon their maturity. Approximately half of the certificates of deposit that were part of the 15-month special renewed at standard rates in effect at the time of renewal. The other half left the bank, accounting for most of the decline in the balance of certificates of deposit from a year ago. United also utilizes “brokered” time deposits, issued in certificates of less than $100,000, as an alternate source of cost-effective funding. Brokered time deposits as of September 30, 2009 were $840 million, compared with $745 million at September 30, 2008.</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98" w:lineRule="exact"/>
        <w:rPr>
          <w:sz w:val="20"/>
          <w:szCs w:val="20"/>
          <w:color w:val="auto"/>
        </w:rPr>
      </w:pPr>
    </w:p>
    <w:p>
      <w:pPr>
        <w:jc w:val="both"/>
        <w:ind w:left="340" w:right="559" w:firstLine="747"/>
        <w:spacing w:after="0" w:line="276" w:lineRule="auto"/>
        <w:rPr>
          <w:sz w:val="20"/>
          <w:szCs w:val="20"/>
          <w:color w:val="auto"/>
        </w:rPr>
      </w:pPr>
      <w:r>
        <w:rPr>
          <w:rFonts w:ascii="Arial" w:cs="Arial" w:eastAsia="Arial" w:hAnsi="Arial"/>
          <w:sz w:val="17"/>
          <w:szCs w:val="17"/>
          <w:color w:val="auto"/>
        </w:rPr>
        <w:t>The Bank is a shareholder in the Federal Home Loan Bank (“FHLB”) of Atlanta. Through this affiliation, FHLB secured advances totaled $314.7 million and $285.4 million as of September 30, 2009 and 2008, respectively. United anticipates continued use of this short- and long-term source of funds. FHLB advances outstanding at September 30, 2009 had both fixed and floating interest rates from .44% to 4.49%. Additional information regarding FHLB advances, is provided in Note 10 to the consolidated financial statements included in United’s 2008 Form 10-K.</w:t>
      </w:r>
    </w:p>
    <w:p>
      <w:pPr>
        <w:spacing w:after="0" w:line="132"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At September 30, 2009, United had $102 million in Federal funds purchased, repurchase agreements, and other short-term borrowings outstanding, compared to $120 million outstanding at September 30, 2008. United takes advantage of these additional sources of liquidity when rates are favorable compared to other forms of short-term borrowings, such as FHLB advances and brokered deposits.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02" w:lineRule="exact"/>
        <w:rPr>
          <w:sz w:val="20"/>
          <w:szCs w:val="20"/>
          <w:color w:val="auto"/>
        </w:rPr>
      </w:pPr>
    </w:p>
    <w:p>
      <w:pPr>
        <w:jc w:val="both"/>
        <w:ind w:left="340" w:right="559" w:firstLine="747"/>
        <w:spacing w:after="0" w:line="302" w:lineRule="auto"/>
        <w:rPr>
          <w:sz w:val="20"/>
          <w:szCs w:val="20"/>
          <w:color w:val="auto"/>
        </w:rPr>
      </w:pPr>
      <w:r>
        <w:rPr>
          <w:rFonts w:ascii="Arial" w:cs="Arial" w:eastAsia="Arial" w:hAnsi="Arial"/>
          <w:sz w:val="16"/>
          <w:szCs w:val="16"/>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14" w:lineRule="exact"/>
        <w:rPr>
          <w:sz w:val="20"/>
          <w:szCs w:val="20"/>
          <w:color w:val="auto"/>
        </w:rPr>
      </w:pPr>
    </w:p>
    <w:p>
      <w:pPr>
        <w:jc w:val="both"/>
        <w:ind w:left="340" w:right="559" w:firstLine="747"/>
        <w:spacing w:after="0" w:line="279" w:lineRule="auto"/>
        <w:rPr>
          <w:sz w:val="20"/>
          <w:szCs w:val="20"/>
          <w:color w:val="auto"/>
        </w:rPr>
      </w:pPr>
      <w:r>
        <w:rPr>
          <w:rFonts w:ascii="Arial" w:cs="Arial" w:eastAsia="Arial" w:hAnsi="Arial"/>
          <w:sz w:val="17"/>
          <w:szCs w:val="17"/>
          <w:color w:val="auto"/>
        </w:rPr>
        <w:t>Net interest revenue is influenced by changes in the level of interest rates. United manages its exposure to fluctuations in interest rates through policies established by the Asset/Liability Management Committee (“ALCO”). ALCO meets regularly and has responsibility for approving asset/liability management policies, formulating and implementing strategies to improve balance sheet positioning and/or earnings, and reviewing United’s interest rate sensitivity.</w:t>
      </w:r>
    </w:p>
    <w:p>
      <w:pPr>
        <w:spacing w:after="0" w:line="131" w:lineRule="exact"/>
        <w:rPr>
          <w:sz w:val="20"/>
          <w:szCs w:val="20"/>
          <w:color w:val="auto"/>
        </w:rPr>
      </w:pPr>
    </w:p>
    <w:p>
      <w:pPr>
        <w:jc w:val="both"/>
        <w:ind w:left="340" w:right="559" w:firstLine="747"/>
        <w:spacing w:after="0" w:line="290" w:lineRule="auto"/>
        <w:rPr>
          <w:sz w:val="20"/>
          <w:szCs w:val="20"/>
          <w:color w:val="auto"/>
        </w:rPr>
      </w:pPr>
      <w:r>
        <w:rPr>
          <w:rFonts w:ascii="Arial" w:cs="Arial" w:eastAsia="Arial" w:hAnsi="Arial"/>
          <w:sz w:val="16"/>
          <w:szCs w:val="16"/>
          <w:color w:val="auto"/>
        </w:rPr>
        <w:t>One of the tools management uses to estimate the sensitivity of net interest revenue to changes in interest rates is an interest rate simulation model. Such estimates are based upon a number of assumptions for each scenario, including maintaining current balance sheet levels, deposit repricing characteristics and the rate of prepayments. The simulation model measures the potential change in net interest revenue over a twelve-month period under multiple interest rate scenarios. The base scenario assumes rates remain flat over the next twelve months and is the scenario to which all others are compared to in order to measure the change in net interest revenue. A second commonly analyzed scenario is a most likely scenario that projects the most likely change in rates over the next twelve months based on the slope of the yield curve. Other scenarios analyzed may include rate shocks, narrowing or widening spreads, and yield curve steepening or flattening.</w:t>
      </w:r>
    </w:p>
    <w:p>
      <w:pPr>
        <w:spacing w:after="0" w:line="139" w:lineRule="exact"/>
        <w:rPr>
          <w:sz w:val="20"/>
          <w:szCs w:val="20"/>
          <w:color w:val="auto"/>
        </w:rPr>
      </w:pPr>
    </w:p>
    <w:p>
      <w:pPr>
        <w:jc w:val="both"/>
        <w:ind w:left="340" w:right="559" w:firstLine="747"/>
        <w:spacing w:after="0" w:line="269" w:lineRule="auto"/>
        <w:rPr>
          <w:sz w:val="20"/>
          <w:szCs w:val="20"/>
          <w:color w:val="auto"/>
        </w:rPr>
      </w:pPr>
      <w:r>
        <w:rPr>
          <w:rFonts w:ascii="Arial" w:cs="Arial" w:eastAsia="Arial" w:hAnsi="Arial"/>
          <w:sz w:val="17"/>
          <w:szCs w:val="17"/>
          <w:color w:val="auto"/>
        </w:rPr>
        <w:t>United’s policy is based on the 12-month impact on net interest revenue of interest rate ramps that increase 200 basis points and decrease 200 basis points from the flat-rate scenario. In the ramp scenarios, rates change 25 basis points per month over the initial eight months. The policy limits the change in net interest revenue over the next 12 months to a 10% decrease in either scenario. Historically low rates on September 30, 2009 made use of the down 200 basis point scenario problematic. At September 30, 2009 United’s simulation model indicated that a 200 basis point increase in rates over the next twelve months would cause an approximate 1.61% increase in net interest revenue and a 25 basis point decrease in rates over the next twelve months would cause an approximate .74% decrease in net interest revenue. The shift to a liability sensitive position is primarily due to the inclusion of floors in most new floating rate loans which causes the balance sheet to be liability sensitive for the first 200 basis point increase in rates. United began a program of terminating some of its receive-fixed swaps that were hedging prime-based cash flows in order to neutralize the impact on interest sensitivity of embedding floors in new loans. This program was still ongoing as of September 30, 2009.</w:t>
      </w:r>
    </w:p>
    <w:p>
      <w:pPr>
        <w:sectPr>
          <w:pgSz w:w="11900" w:h="16838" w:orient="portrait"/>
          <w:cols w:equalWidth="0" w:num="1">
            <w:col w:w="10219"/>
          </w:cols>
          <w:pgMar w:left="240" w:top="419" w:right="1440" w:bottom="46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6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In order to manage its interest rate sensitivity, United uses off-balance sheet contracts that are considered derivative financial instruments. Derivative financial instruments can be a cost and capital effective means of modifying the repricing characteristics of on-balance sheet assets and liabilities. At September 30, 2009, United was a party to interest rate swap contracts under which it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presents the interest rate derivative contracts outstanding.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13 — Derivative Financial Instruments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 of September 30, 2009 (dollars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Rate</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Notional</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Received /</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Type/Maturity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Amount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Floor Rate</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Rate Paid</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15"/>
                <w:szCs w:val="15"/>
                <w:color w:val="auto"/>
                <w:w w:val="96"/>
              </w:rPr>
              <w:t>(5)</w:t>
            </w: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Hedges: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LIBOR Swaps (Brokered CDs)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August 27, 2010 </w:t>
            </w:r>
            <w:r>
              <w:rPr>
                <w:rFonts w:ascii="Arial" w:cs="Arial" w:eastAsia="Arial" w:hAnsi="Arial"/>
                <w:sz w:val="15"/>
                <w:szCs w:val="15"/>
                <w:color w:val="auto"/>
              </w:rPr>
              <w:t>(1)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4.30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1,222</w:t>
            </w: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 xml:space="preserve">September 22, 2010 </w:t>
            </w:r>
            <w:r>
              <w:rPr>
                <w:rFonts w:ascii="Arial" w:cs="Arial" w:eastAsia="Arial" w:hAnsi="Arial"/>
                <w:sz w:val="15"/>
                <w:szCs w:val="15"/>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4.25</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1,190</w:t>
            </w: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September 30, 2010 </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95,000</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4.25</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2,458</w:t>
            </w:r>
          </w:p>
        </w:tc>
      </w:tr>
      <w:tr>
        <w:trPr>
          <w:trHeight w:val="223"/>
        </w:trPr>
        <w:tc>
          <w:tcPr>
            <w:tcW w:w="4120" w:type="dxa"/>
            <w:vAlign w:val="bottom"/>
          </w:tcPr>
          <w:p>
            <w:pPr>
              <w:ind w:left="400"/>
              <w:spacing w:after="0"/>
              <w:rPr>
                <w:sz w:val="20"/>
                <w:szCs w:val="20"/>
                <w:color w:val="auto"/>
              </w:rPr>
            </w:pPr>
            <w:r>
              <w:rPr>
                <w:rFonts w:ascii="Arial" w:cs="Arial" w:eastAsia="Arial" w:hAnsi="Arial"/>
                <w:sz w:val="18"/>
                <w:szCs w:val="18"/>
                <w:color w:val="auto"/>
              </w:rPr>
              <w:t>Total Fair Value Hedges</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195,000</w:t>
            </w:r>
          </w:p>
        </w:tc>
        <w:tc>
          <w:tcPr>
            <w:tcW w:w="36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9"/>
              </w:rPr>
              <w:t>4.26</w:t>
            </w:r>
          </w:p>
        </w:tc>
        <w:tc>
          <w:tcPr>
            <w:tcW w:w="3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80" w:type="dxa"/>
            <w:vAlign w:val="bottom"/>
          </w:tcPr>
          <w:p>
            <w:pPr>
              <w:spacing w:after="0"/>
              <w:rPr>
                <w:sz w:val="19"/>
                <w:szCs w:val="19"/>
                <w:color w:val="auto"/>
              </w:rPr>
            </w:pPr>
          </w:p>
        </w:tc>
      </w:tr>
      <w:tr>
        <w:trPr>
          <w:trHeight w:val="223"/>
        </w:trPr>
        <w:tc>
          <w:tcPr>
            <w:tcW w:w="4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Hedges: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 xml:space="preserve">Prime Swaps (Prime Loans) </w:t>
            </w:r>
            <w:r>
              <w:rPr>
                <w:rFonts w:ascii="Arial" w:cs="Arial" w:eastAsia="Arial" w:hAnsi="Arial"/>
                <w:sz w:val="15"/>
                <w:szCs w:val="15"/>
                <w:color w:val="auto"/>
              </w:rPr>
              <w:t>(3)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22, 2013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6.88</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5,372</w:t>
            </w: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July 25, 2013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6.91</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1,815</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6.89</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7,187</w:t>
            </w:r>
          </w:p>
        </w:tc>
      </w:tr>
      <w:tr>
        <w:trPr>
          <w:trHeight w:val="223"/>
        </w:trPr>
        <w:tc>
          <w:tcPr>
            <w:tcW w:w="4120" w:type="dxa"/>
            <w:vAlign w:val="bottom"/>
          </w:tcPr>
          <w:p>
            <w:pPr>
              <w:ind w:left="200"/>
              <w:spacing w:after="0"/>
              <w:rPr>
                <w:sz w:val="20"/>
                <w:szCs w:val="20"/>
                <w:color w:val="auto"/>
              </w:rPr>
            </w:pPr>
            <w:r>
              <w:rPr>
                <w:rFonts w:ascii="Arial" w:cs="Arial" w:eastAsia="Arial" w:hAnsi="Arial"/>
                <w:sz w:val="18"/>
                <w:szCs w:val="18"/>
                <w:b w:val="1"/>
                <w:bCs w:val="1"/>
                <w:color w:val="auto"/>
              </w:rPr>
              <w:t xml:space="preserve">Prime Floors (Prime Loans) </w:t>
            </w:r>
            <w:r>
              <w:rPr>
                <w:rFonts w:ascii="Arial" w:cs="Arial" w:eastAsia="Arial" w:hAnsi="Arial"/>
                <w:sz w:val="15"/>
                <w:szCs w:val="15"/>
                <w:color w:val="auto"/>
              </w:rPr>
              <w:t>(4)</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1, 2009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February 4, 2010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100,000</w:t>
            </w:r>
          </w:p>
        </w:tc>
        <w:tc>
          <w:tcPr>
            <w:tcW w:w="1260" w:type="dxa"/>
            <w:vAlign w:val="bottom"/>
            <w:gridSpan w:val="2"/>
          </w:tcPr>
          <w:p>
            <w:pPr>
              <w:ind w:left="600"/>
              <w:spacing w:after="0"/>
              <w:rPr>
                <w:sz w:val="20"/>
                <w:szCs w:val="20"/>
                <w:color w:val="auto"/>
              </w:rPr>
            </w:pPr>
            <w:r>
              <w:rPr>
                <w:rFonts w:ascii="Arial" w:cs="Arial" w:eastAsia="Arial" w:hAnsi="Arial"/>
                <w:sz w:val="18"/>
                <w:szCs w:val="18"/>
                <w:color w:val="auto"/>
              </w:rPr>
              <w:t>8.75</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1,986</w:t>
            </w: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175,000</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2,373</w:t>
            </w:r>
          </w:p>
        </w:tc>
      </w:tr>
      <w:tr>
        <w:trPr>
          <w:trHeight w:val="230"/>
        </w:trPr>
        <w:tc>
          <w:tcPr>
            <w:tcW w:w="4120" w:type="dxa"/>
            <w:vAlign w:val="bottom"/>
          </w:tcPr>
          <w:p>
            <w:pPr>
              <w:ind w:left="400"/>
              <w:spacing w:after="0"/>
              <w:rPr>
                <w:sz w:val="20"/>
                <w:szCs w:val="20"/>
                <w:color w:val="auto"/>
              </w:rPr>
            </w:pPr>
            <w:r>
              <w:rPr>
                <w:rFonts w:ascii="Arial" w:cs="Arial" w:eastAsia="Arial" w:hAnsi="Arial"/>
                <w:sz w:val="18"/>
                <w:szCs w:val="18"/>
                <w:color w:val="auto"/>
              </w:rPr>
              <w:t>Total Cash Flow Hedges</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9,560</w:t>
            </w:r>
          </w:p>
        </w:tc>
        <w:tc>
          <w:tcPr>
            <w:tcW w:w="80" w:type="dxa"/>
            <w:vAlign w:val="bottom"/>
          </w:tcPr>
          <w:p>
            <w:pPr>
              <w:spacing w:after="0"/>
              <w:rPr>
                <w:sz w:val="20"/>
                <w:szCs w:val="20"/>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Derivative Contracts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470,000</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14,430</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 Paid equals 1-Month LIBOR plus 1.075.</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 Paid equals 1-Month LIBOR plus 1.2435.</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 Paid equals Prime rate as of September 30, 2009.</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Floor contracts receive cash payments equal to the floor rate less the prime rate.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accrued interest.</w:t>
      </w:r>
    </w:p>
    <w:p>
      <w:pPr>
        <w:spacing w:after="0" w:line="185"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September 30, 2009, United had interest rate swap contracts in which United receives a fixed rate and pays a floating rate based on the prime interest rate with a total notional amount of $100 million that were designated as cash flow hedges of prime-based loans. United had interest rate floor contracts with a total notional amount of $175 million and a remaining unamortized premium balance of $357,000 that were also designated as cash flow hedges of prime-based loans. United also had swap contracts in which United receives a fixed rate and pays a floating rate based on LIBOR with a total notional amount of $195 million that were accounted for as fair value hedges of brokered deposits.</w:t>
      </w:r>
    </w:p>
    <w:p>
      <w:pPr>
        <w:spacing w:after="0" w:line="151" w:lineRule="exact"/>
        <w:rPr>
          <w:sz w:val="20"/>
          <w:szCs w:val="20"/>
          <w:color w:val="auto"/>
        </w:rPr>
      </w:pPr>
    </w:p>
    <w:p>
      <w:pPr>
        <w:jc w:val="both"/>
        <w:ind w:left="340" w:right="559" w:firstLine="747"/>
        <w:spacing w:after="0" w:line="253" w:lineRule="auto"/>
        <w:rPr>
          <w:sz w:val="20"/>
          <w:szCs w:val="20"/>
          <w:color w:val="auto"/>
        </w:rPr>
      </w:pPr>
      <w:r>
        <w:rPr>
          <w:rFonts w:ascii="Arial" w:cs="Arial" w:eastAsia="Arial" w:hAnsi="Arial"/>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at the time of termination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September 30, 2009, United had $34.1 million in gains from terminated derivative positions included in Other Comprehensive Income that will be amortized into earnings over their remaining original contract terms.</w:t>
      </w:r>
    </w:p>
    <w:p>
      <w:pPr>
        <w:sectPr>
          <w:pgSz w:w="11900" w:h="16838" w:orient="portrait"/>
          <w:cols w:equalWidth="0" w:num="1">
            <w:col w:w="10219"/>
          </w:cols>
          <w:pgMar w:left="240" w:top="419" w:right="1440" w:bottom="1108"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08"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97" w:lineRule="auto"/>
        <w:rPr>
          <w:sz w:val="20"/>
          <w:szCs w:val="20"/>
          <w:color w:val="auto"/>
        </w:rPr>
      </w:pPr>
      <w:r>
        <w:rPr>
          <w:rFonts w:ascii="Arial" w:cs="Arial" w:eastAsia="Arial" w:hAnsi="Arial"/>
          <w:sz w:val="16"/>
          <w:szCs w:val="16"/>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the financial condition or results of operations. In order to mitigate potential credit risk, from time to time United may require the counterparties to derivative contracts to pledge securities as collateral to cover the net exposure.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Management</w:t>
      </w:r>
    </w:p>
    <w:p>
      <w:pPr>
        <w:spacing w:after="0" w:line="189" w:lineRule="exact"/>
        <w:rPr>
          <w:sz w:val="20"/>
          <w:szCs w:val="20"/>
          <w:color w:val="auto"/>
        </w:rPr>
      </w:pPr>
    </w:p>
    <w:p>
      <w:pPr>
        <w:jc w:val="both"/>
        <w:ind w:left="340" w:right="559" w:firstLine="747"/>
        <w:spacing w:after="0" w:line="253" w:lineRule="auto"/>
        <w:rPr>
          <w:sz w:val="20"/>
          <w:szCs w:val="20"/>
          <w:color w:val="auto"/>
        </w:rPr>
      </w:pPr>
      <w:r>
        <w:rPr>
          <w:rFonts w:ascii="Arial" w:cs="Arial" w:eastAsia="Arial" w:hAnsi="Arial"/>
          <w:sz w:val="18"/>
          <w:szCs w:val="18"/>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157"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60"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Mortgage loans held for sale totaled $20.5 million at September 30, 2009, and typically turn over every 45 days as the closed loans are sold to investors in the secondary market.</w:t>
      </w:r>
    </w:p>
    <w:p>
      <w:pPr>
        <w:spacing w:after="0" w:line="141"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The liability section of the Bank’s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48"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Substantially all of United’s liquidity is obtained from subsidiary service fees and dividends from the Bank, which is limited by applicable law.</w:t>
      </w:r>
    </w:p>
    <w:p>
      <w:pPr>
        <w:spacing w:after="0" w:line="143"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United had sufficient qualifying collateral to increase FHLB advances by $811.5 billion at September 30, 2009. United’s internal policy limits brokered deposits to 25% of total assets. At September 30, 2009, United had the capacity to increase brokered deposits by $1.3 billion and still remain within this limit. Also, United had sufficient qualifying assets pledged to the Federal Reserve under the Term Auction Facility, Term Investment Option and Discount Window to increase short-term borrowings by $490 million.</w:t>
      </w:r>
    </w:p>
    <w:p>
      <w:pPr>
        <w:spacing w:after="0" w:line="148" w:lineRule="exact"/>
        <w:rPr>
          <w:sz w:val="20"/>
          <w:szCs w:val="20"/>
          <w:color w:val="auto"/>
        </w:rPr>
      </w:pPr>
    </w:p>
    <w:p>
      <w:pPr>
        <w:jc w:val="both"/>
        <w:ind w:left="340" w:right="559" w:firstLine="747"/>
        <w:spacing w:after="0" w:line="271"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$156.7 million for the nine months ended September 30, 2009. The net loss of $188.5 million for the nine-month period included non-cash expenses for provision for loan losses of $220 million and goodwill impairment of $95 million. Net cash provided by investing activities of $287.6 million consisted primarily of cash received from sales, maturities and calls of securities of $805.2 million that was partially reinvested in the securities portfolio through $678.9 million in securities purchases, proceeds from the sale of other real estate of $104.0 million and net cash received from the acquisition of SCB of $63.6 million. Net cash used by financing activities of $266.2 million consisted primarily of a net decrease of $489.9 million in deposits. This was offset by the $210.9 million net proceeds from the issuance of common stock.</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 and Dividends</w:t>
      </w:r>
    </w:p>
    <w:p>
      <w:pPr>
        <w:spacing w:after="0" w:line="202"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Shareholders’ equity at September 30, 2009 was $1.0 billion, an increase of $17.3 million from December 31, 2008. The common stock sold late in the third quarter resulted in an increase in shareholders’ equity of $210.9 million. This was offset by the net loss of $188.5 million which included the non-cash goodwill impairment charges in the third and first quarters totaling $95 million. Accumulated other comprehensive income is not included in the calculation of regulatory capital adequacy ratios. Excluding the change in the accumulated other comprehensive income, shareholders’ equity increased $20.2 million from December 31, 2008. In order to preserve capital, United’s board of directors declared 1 for 130 stock dividends during the first three quarters of 2009 in lieu of a cash dividend on the outstanding common shares. United reported $6.8 million in dividends on Series A and Series B preferred stock in the first nine months of 2009. United recognizes that cash dividends are an important component of shareholder value, and therefore, intends to provide for cash dividends when earnings, capital levels and other factors permit.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747"/>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2009 and 2008.</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14 — Stock Price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4"/>
              </w:rPr>
              <w:t>2009</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4"/>
              </w:rPr>
              <w:t>2008</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80" w:type="dxa"/>
            <w:vAlign w:val="bottom"/>
          </w:tcPr>
          <w:p>
            <w:pPr>
              <w:spacing w:after="0"/>
              <w:rPr>
                <w:sz w:val="16"/>
                <w:szCs w:val="16"/>
                <w:color w:val="auto"/>
              </w:rPr>
            </w:pPr>
          </w:p>
        </w:tc>
      </w:tr>
      <w:tr>
        <w:trPr>
          <w:trHeight w:val="234"/>
        </w:trPr>
        <w:tc>
          <w:tcPr>
            <w:tcW w:w="20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Low</w:t>
            </w:r>
          </w:p>
        </w:tc>
        <w:tc>
          <w:tcPr>
            <w:tcW w:w="30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Volume</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High</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Low</w:t>
            </w:r>
          </w:p>
        </w:tc>
        <w:tc>
          <w:tcPr>
            <w:tcW w:w="3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Close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Volume</w:t>
            </w:r>
          </w:p>
        </w:tc>
      </w:tr>
      <w:tr>
        <w:trPr>
          <w:trHeight w:val="210"/>
        </w:trPr>
        <w:tc>
          <w:tcPr>
            <w:tcW w:w="20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$ 13.87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  2.28</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4.16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524,492</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$ 20.80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$ 13.38</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$ 16.98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441,659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Second quarter</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9.30</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5.99</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244,037</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18.51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8.53</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464,566</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525,369</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13.26</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359,971</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Fourth quarter</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15.82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13.58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319,534</w:t>
            </w:r>
          </w:p>
        </w:tc>
      </w:tr>
    </w:tbl>
    <w:p>
      <w:pPr>
        <w:spacing w:after="0" w:line="147"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The following table presents the quarterly cash and stock dividends declared in 2009 and 2008 and the respective cash dividend payout ratios as a percentage of basic operating earnings per share.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13 — Dividend Payout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90"/>
              </w:rPr>
              <w:t>Cash</w:t>
            </w:r>
          </w:p>
        </w:tc>
        <w:tc>
          <w:tcPr>
            <w:tcW w:w="10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Stock</w:t>
            </w: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Payout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540"/>
              <w:spacing w:after="0" w:line="191" w:lineRule="exact"/>
              <w:rPr>
                <w:sz w:val="20"/>
                <w:szCs w:val="20"/>
                <w:color w:val="auto"/>
              </w:rPr>
            </w:pPr>
            <w:r>
              <w:rPr>
                <w:rFonts w:ascii="Arial" w:cs="Arial" w:eastAsia="Arial" w:hAnsi="Arial"/>
                <w:sz w:val="18"/>
                <w:szCs w:val="18"/>
                <w:b w:val="1"/>
                <w:bCs w:val="1"/>
                <w:color w:val="auto"/>
                <w:w w:val="90"/>
              </w:rPr>
              <w:t>Cash</w:t>
            </w:r>
          </w:p>
        </w:tc>
        <w:tc>
          <w:tcPr>
            <w:tcW w:w="108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Stock</w:t>
            </w:r>
          </w:p>
        </w:tc>
        <w:tc>
          <w:tcPr>
            <w:tcW w:w="720" w:type="dxa"/>
            <w:vAlign w:val="bottom"/>
          </w:tcPr>
          <w:p>
            <w:pPr>
              <w:ind w:left="80"/>
              <w:spacing w:after="0" w:line="191" w:lineRule="exact"/>
              <w:rPr>
                <w:sz w:val="20"/>
                <w:szCs w:val="20"/>
                <w:color w:val="auto"/>
              </w:rPr>
            </w:pPr>
            <w:r>
              <w:rPr>
                <w:rFonts w:ascii="Arial" w:cs="Arial" w:eastAsia="Arial" w:hAnsi="Arial"/>
                <w:sz w:val="18"/>
                <w:szCs w:val="18"/>
                <w:b w:val="1"/>
                <w:bCs w:val="1"/>
                <w:color w:val="auto"/>
              </w:rPr>
              <w:t>Payout</w:t>
            </w:r>
          </w:p>
        </w:tc>
        <w:tc>
          <w:tcPr>
            <w:tcW w:w="160" w:type="dxa"/>
            <w:vAlign w:val="bottom"/>
          </w:tcPr>
          <w:p>
            <w:pPr>
              <w:spacing w:after="0"/>
              <w:rPr>
                <w:sz w:val="16"/>
                <w:szCs w:val="16"/>
                <w:color w:val="auto"/>
              </w:rPr>
            </w:pPr>
          </w:p>
        </w:tc>
      </w:tr>
      <w:tr>
        <w:trPr>
          <w:trHeight w:val="234"/>
        </w:trPr>
        <w:tc>
          <w:tcPr>
            <w:tcW w:w="2900" w:type="dxa"/>
            <w:vAlign w:val="bottom"/>
          </w:tcPr>
          <w:p>
            <w:pPr>
              <w:spacing w:after="0"/>
              <w:rPr>
                <w:sz w:val="20"/>
                <w:szCs w:val="20"/>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Dividend</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Dividend</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Ratio</w:t>
            </w:r>
          </w:p>
        </w:tc>
        <w:tc>
          <w:tcPr>
            <w:tcW w:w="440" w:type="dxa"/>
            <w:vAlign w:val="bottom"/>
          </w:tcPr>
          <w:p>
            <w:pPr>
              <w:spacing w:after="0"/>
              <w:rPr>
                <w:sz w:val="20"/>
                <w:szCs w:val="20"/>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Dividend</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Dividend</w:t>
            </w:r>
          </w:p>
        </w:tc>
        <w:tc>
          <w:tcPr>
            <w:tcW w:w="360" w:type="dxa"/>
            <w:vAlign w:val="bottom"/>
          </w:tcPr>
          <w:p>
            <w:pPr>
              <w:spacing w:after="0"/>
              <w:rPr>
                <w:sz w:val="20"/>
                <w:szCs w:val="20"/>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20"/>
                <w:szCs w:val="20"/>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 for 130</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8"/>
              </w:rPr>
              <w:t>26%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1 for 130</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60</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 for 130</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 for 130</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 for 130</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NA</w:t>
            </w:r>
          </w:p>
        </w:tc>
      </w:tr>
    </w:tbl>
    <w:p>
      <w:pPr>
        <w:spacing w:after="0" w:line="93" w:lineRule="exact"/>
        <w:rPr>
          <w:sz w:val="20"/>
          <w:szCs w:val="20"/>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dividends are presented as the dollar amount declared per share.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dividends are presented as the number of new shares issued for shares already owned.</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payout ratio is presented for cash dividends only.</w:t>
      </w:r>
    </w:p>
    <w:p>
      <w:pPr>
        <w:spacing w:after="0" w:line="198"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49" w:lineRule="exact"/>
        <w:rPr>
          <w:sz w:val="20"/>
          <w:szCs w:val="20"/>
          <w:color w:val="auto"/>
        </w:rPr>
      </w:pPr>
    </w:p>
    <w:p>
      <w:pPr>
        <w:jc w:val="both"/>
        <w:ind w:left="340" w:right="559" w:firstLine="747"/>
        <w:spacing w:after="0" w:line="297"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18"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shows United’s capital ratios, as calculated under regulatory guidelines, at September 30, 2009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2008.</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16 — Capital Ratios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340" w:type="dxa"/>
            <w:vAlign w:val="bottom"/>
            <w:gridSpan w:val="4"/>
          </w:tcPr>
          <w:p>
            <w:pPr>
              <w:ind w:left="560"/>
              <w:spacing w:after="0"/>
              <w:rPr>
                <w:sz w:val="20"/>
                <w:szCs w:val="20"/>
                <w:color w:val="auto"/>
              </w:rPr>
            </w:pPr>
            <w:r>
              <w:rPr>
                <w:rFonts w:ascii="Arial" w:cs="Arial" w:eastAsia="Arial" w:hAnsi="Arial"/>
                <w:sz w:val="18"/>
                <w:szCs w:val="18"/>
                <w:b w:val="1"/>
                <w:bCs w:val="1"/>
                <w:color w:val="auto"/>
              </w:rPr>
              <w:t>Regulatory</w:t>
            </w:r>
          </w:p>
        </w:tc>
        <w:tc>
          <w:tcPr>
            <w:tcW w:w="27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United Community Banks, Inc.</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p>
        </w:tc>
        <w:tc>
          <w:tcPr>
            <w:tcW w:w="2340" w:type="dxa"/>
            <w:vAlign w:val="bottom"/>
            <w:gridSpan w:val="4"/>
          </w:tcPr>
          <w:p>
            <w:pPr>
              <w:ind w:left="580"/>
              <w:spacing w:after="0"/>
              <w:rPr>
                <w:sz w:val="20"/>
                <w:szCs w:val="20"/>
                <w:color w:val="auto"/>
              </w:rPr>
            </w:pPr>
            <w:r>
              <w:rPr>
                <w:rFonts w:ascii="Arial" w:cs="Arial" w:eastAsia="Arial" w:hAnsi="Arial"/>
                <w:sz w:val="18"/>
                <w:szCs w:val="18"/>
                <w:b w:val="1"/>
                <w:bCs w:val="1"/>
                <w:color w:val="auto"/>
              </w:rPr>
              <w:t>Guidelines</w:t>
            </w:r>
          </w:p>
        </w:tc>
        <w:tc>
          <w:tcPr>
            <w:tcW w:w="27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(Consolidated)</w:t>
            </w:r>
          </w:p>
        </w:tc>
        <w:tc>
          <w:tcPr>
            <w:tcW w:w="21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2"/>
              </w:rPr>
              <w:t>United Community Bank</w:t>
            </w:r>
          </w:p>
        </w:tc>
      </w:tr>
      <w:tr>
        <w:trPr>
          <w:trHeight w:val="191"/>
        </w:trPr>
        <w:tc>
          <w:tcPr>
            <w:tcW w:w="20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Well</w:t>
            </w:r>
          </w:p>
        </w:tc>
        <w:tc>
          <w:tcPr>
            <w:tcW w:w="340" w:type="dxa"/>
            <w:vAlign w:val="bottom"/>
          </w:tcPr>
          <w:p>
            <w:pPr>
              <w:spacing w:after="0"/>
              <w:rPr>
                <w:sz w:val="16"/>
                <w:szCs w:val="16"/>
                <w:color w:val="auto"/>
              </w:rPr>
            </w:pPr>
          </w:p>
        </w:tc>
        <w:tc>
          <w:tcPr>
            <w:tcW w:w="240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88"/>
              </w:rPr>
              <w:t>As of September 30,</w:t>
            </w:r>
          </w:p>
        </w:tc>
        <w:tc>
          <w:tcPr>
            <w:tcW w:w="360" w:type="dxa"/>
            <w:vAlign w:val="bottom"/>
          </w:tcPr>
          <w:p>
            <w:pPr>
              <w:spacing w:after="0"/>
              <w:rPr>
                <w:sz w:val="16"/>
                <w:szCs w:val="16"/>
                <w:color w:val="auto"/>
              </w:rPr>
            </w:pPr>
          </w:p>
        </w:tc>
        <w:tc>
          <w:tcPr>
            <w:tcW w:w="1980" w:type="dxa"/>
            <w:vAlign w:val="bottom"/>
            <w:tcBorders>
              <w:top w:val="single" w:sz="8" w:color="auto"/>
            </w:tcBorders>
            <w:gridSpan w:val="3"/>
          </w:tcPr>
          <w:p>
            <w:pPr>
              <w:ind w:left="220"/>
              <w:spacing w:after="0" w:line="191" w:lineRule="exact"/>
              <w:rPr>
                <w:sz w:val="20"/>
                <w:szCs w:val="20"/>
                <w:color w:val="auto"/>
              </w:rPr>
            </w:pPr>
            <w:r>
              <w:rPr>
                <w:rFonts w:ascii="Arial" w:cs="Arial" w:eastAsia="Arial" w:hAnsi="Arial"/>
                <w:sz w:val="18"/>
                <w:szCs w:val="18"/>
                <w:b w:val="1"/>
                <w:bCs w:val="1"/>
                <w:color w:val="auto"/>
              </w:rPr>
              <w:t>As of September 30,</w:t>
            </w:r>
          </w:p>
        </w:tc>
        <w:tc>
          <w:tcPr>
            <w:tcW w:w="160" w:type="dxa"/>
            <w:vAlign w:val="bottom"/>
          </w:tcPr>
          <w:p>
            <w:pPr>
              <w:spacing w:after="0"/>
              <w:rPr>
                <w:sz w:val="16"/>
                <w:szCs w:val="16"/>
                <w:color w:val="auto"/>
              </w:rPr>
            </w:pPr>
          </w:p>
        </w:tc>
      </w:tr>
      <w:tr>
        <w:trPr>
          <w:trHeight w:val="234"/>
        </w:trPr>
        <w:tc>
          <w:tcPr>
            <w:tcW w:w="20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Minimum</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Capitalized</w:t>
            </w: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52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8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88"/>
              </w:rPr>
              <w:t>Risk-based ratios:</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80" w:type="dxa"/>
            <w:vAlign w:val="bottom"/>
          </w:tcPr>
          <w:p>
            <w:pPr>
              <w:jc w:val="center"/>
              <w:ind w:right="670"/>
              <w:spacing w:after="0"/>
              <w:rPr>
                <w:sz w:val="20"/>
                <w:szCs w:val="20"/>
                <w:color w:val="auto"/>
              </w:rPr>
            </w:pPr>
            <w:r>
              <w:rPr>
                <w:rFonts w:ascii="Arial" w:cs="Arial" w:eastAsia="Arial" w:hAnsi="Arial"/>
                <w:sz w:val="18"/>
                <w:szCs w:val="18"/>
                <w:color w:val="auto"/>
                <w:w w:val="93"/>
              </w:rPr>
              <w:t>Tier I capital</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12.80%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13.33%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9.15%</w:t>
            </w:r>
          </w:p>
        </w:tc>
      </w:tr>
      <w:tr>
        <w:trPr>
          <w:trHeight w:val="216"/>
        </w:trPr>
        <w:tc>
          <w:tcPr>
            <w:tcW w:w="208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90"/>
              </w:rPr>
              <w:t>Total capital</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8.0</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15.37</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11.40</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Leverage ratio</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9.48</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6.69</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9.84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6.98</w:t>
            </w:r>
          </w:p>
        </w:tc>
      </w:tr>
      <w:tr>
        <w:trPr>
          <w:trHeight w:val="202"/>
        </w:trPr>
        <w:tc>
          <w:tcPr>
            <w:tcW w:w="2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80" w:type="dxa"/>
            <w:vAlign w:val="bottom"/>
            <w:shd w:val="clear" w:color="auto" w:fill="CCEEFF"/>
          </w:tcPr>
          <w:p>
            <w:pPr>
              <w:jc w:val="center"/>
              <w:ind w:right="670"/>
              <w:spacing w:after="0"/>
              <w:rPr>
                <w:sz w:val="20"/>
                <w:szCs w:val="20"/>
                <w:color w:val="auto"/>
              </w:rPr>
            </w:pPr>
            <w:r>
              <w:rPr>
                <w:rFonts w:ascii="Arial" w:cs="Arial" w:eastAsia="Arial" w:hAnsi="Arial"/>
                <w:sz w:val="18"/>
                <w:szCs w:val="18"/>
                <w:color w:val="auto"/>
                <w:w w:val="93"/>
              </w:rPr>
              <w:t>Tier I capital</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754,068</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523,912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$ 783,591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$ 556,297</w:t>
            </w:r>
          </w:p>
        </w:tc>
      </w:tr>
      <w:tr>
        <w:trPr>
          <w:trHeight w:val="230"/>
        </w:trPr>
        <w:tc>
          <w:tcPr>
            <w:tcW w:w="2080" w:type="dxa"/>
            <w:vAlign w:val="bottom"/>
          </w:tcPr>
          <w:p>
            <w:pPr>
              <w:jc w:val="center"/>
              <w:ind w:right="710"/>
              <w:spacing w:after="0"/>
              <w:rPr>
                <w:sz w:val="20"/>
                <w:szCs w:val="20"/>
                <w:color w:val="auto"/>
              </w:rPr>
            </w:pPr>
            <w:r>
              <w:rPr>
                <w:rFonts w:ascii="Arial" w:cs="Arial" w:eastAsia="Arial" w:hAnsi="Arial"/>
                <w:sz w:val="18"/>
                <w:szCs w:val="18"/>
                <w:color w:val="auto"/>
                <w:w w:val="90"/>
              </w:rPr>
              <w:t>Total capital</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905,876</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690,202</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888,036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662,716</w:t>
            </w:r>
          </w:p>
        </w:tc>
      </w:tr>
    </w:tbl>
    <w:p>
      <w:pPr>
        <w:spacing w:after="0" w:line="147"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146" w:lineRule="exact"/>
        <w:rPr>
          <w:sz w:val="20"/>
          <w:szCs w:val="20"/>
          <w:color w:val="auto"/>
        </w:rPr>
      </w:pPr>
    </w:p>
    <w:p>
      <w:pPr>
        <w:jc w:val="both"/>
        <w:ind w:left="340" w:right="559" w:firstLine="747"/>
        <w:spacing w:after="0" w:line="308" w:lineRule="auto"/>
        <w:rPr>
          <w:sz w:val="20"/>
          <w:szCs w:val="20"/>
          <w:color w:val="auto"/>
        </w:rPr>
      </w:pPr>
      <w:r>
        <w:rPr>
          <w:rFonts w:ascii="Arial" w:cs="Arial" w:eastAsia="Arial" w:hAnsi="Arial"/>
          <w:sz w:val="17"/>
          <w:szCs w:val="17"/>
          <w:color w:val="auto"/>
        </w:rPr>
        <w:t>The capital ratios of United and the Bank currently exceed the minimum ratios as defined by federal regulators. United monitors these ratios to ensure that United and the Bank remain above the regulatory well capitalized guidelines.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189"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46"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jc w:val="both"/>
        <w:ind w:left="340" w:right="559" w:firstLine="747"/>
        <w:spacing w:after="0" w:line="312" w:lineRule="auto"/>
        <w:rPr>
          <w:sz w:val="20"/>
          <w:szCs w:val="20"/>
          <w:color w:val="auto"/>
        </w:rPr>
      </w:pPr>
      <w:r>
        <w:rPr>
          <w:rFonts w:ascii="Arial" w:cs="Arial" w:eastAsia="Arial" w:hAnsi="Arial"/>
          <w:sz w:val="16"/>
          <w:szCs w:val="16"/>
          <w:color w:val="auto"/>
        </w:rPr>
        <w:t>There have been no material changes in United’s quantitative and qualitative disclosures about market risk as of September 30, 2009 from that presented in the Annual Report on Form 10-K for the year ended December 31, 2008. The interest rate sensitivity position at September 30, 2009 is included in management’s discussion and analysis on page 40 of this report.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jc w:val="both"/>
        <w:ind w:left="340" w:right="559" w:firstLine="747"/>
        <w:spacing w:after="0" w:line="253"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September 30, 2009.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57"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Form 10-K for the year ended December 31, 2008 and Form 8-K/A filed on September 25, 2009.</w:t>
      </w:r>
    </w:p>
    <w:p>
      <w:pPr>
        <w:spacing w:after="0" w:line="126" w:lineRule="exact"/>
        <w:rPr>
          <w:sz w:val="20"/>
          <w:szCs w:val="20"/>
          <w:color w:val="auto"/>
        </w:rPr>
      </w:pPr>
    </w:p>
    <w:p>
      <w:pPr>
        <w:ind w:left="340" w:right="4059"/>
        <w:spacing w:after="0" w:line="461" w:lineRule="auto"/>
        <w:rPr>
          <w:sz w:val="20"/>
          <w:szCs w:val="20"/>
          <w:color w:val="auto"/>
        </w:rPr>
      </w:pPr>
      <w:r>
        <w:rPr>
          <w:rFonts w:ascii="Arial" w:cs="Arial" w:eastAsia="Arial" w:hAnsi="Arial"/>
          <w:sz w:val="18"/>
          <w:szCs w:val="18"/>
          <w:b w:val="1"/>
          <w:bCs w:val="1"/>
          <w:color w:val="auto"/>
        </w:rPr>
        <w:t>Item 2. Unregistered Sales of Equity Securities and Use of Proceeds — None Item 3. Defaults upon Senior Securities — None</w:t>
      </w:r>
    </w:p>
    <w:p>
      <w:pPr>
        <w:spacing w:after="0" w:line="2" w:lineRule="exact"/>
        <w:rPr>
          <w:sz w:val="20"/>
          <w:szCs w:val="20"/>
          <w:color w:val="auto"/>
        </w:rPr>
      </w:pPr>
    </w:p>
    <w:p>
      <w:pPr>
        <w:ind w:left="340" w:right="4639"/>
        <w:spacing w:after="0" w:line="546" w:lineRule="auto"/>
        <w:rPr>
          <w:sz w:val="20"/>
          <w:szCs w:val="20"/>
          <w:color w:val="auto"/>
        </w:rPr>
      </w:pPr>
      <w:r>
        <w:rPr>
          <w:rFonts w:ascii="Arial" w:cs="Arial" w:eastAsia="Arial" w:hAnsi="Arial"/>
          <w:sz w:val="18"/>
          <w:szCs w:val="18"/>
          <w:b w:val="1"/>
          <w:bCs w:val="1"/>
          <w:color w:val="auto"/>
        </w:rPr>
        <w:t>Item 4. Submission of Matters to a Vote of Security Holders — None Item 5. Other Information — None Item 6. Exhibits</w:t>
      </w: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8120" w:type="dxa"/>
            <w:vAlign w:val="bottom"/>
          </w:tcPr>
          <w:p>
            <w:pPr>
              <w:ind w:left="400"/>
              <w:spacing w:after="0"/>
              <w:rPr>
                <w:sz w:val="20"/>
                <w:szCs w:val="20"/>
                <w:color w:val="auto"/>
              </w:rPr>
            </w:pPr>
            <w:r>
              <w:rPr>
                <w:rFonts w:ascii="Arial" w:cs="Arial" w:eastAsia="Arial" w:hAnsi="Arial"/>
                <w:sz w:val="18"/>
                <w:szCs w:val="18"/>
                <w:color w:val="auto"/>
                <w:w w:val="92"/>
              </w:rPr>
              <w:t>Restated Articles of Incorporation of United Community Banks, Inc., (incorporated herein by reference to</w:t>
            </w:r>
          </w:p>
        </w:tc>
      </w:tr>
      <w:tr>
        <w:trPr>
          <w:trHeight w:val="216"/>
        </w:trPr>
        <w:tc>
          <w:tcPr>
            <w:tcW w:w="70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w w:val="97"/>
              </w:rPr>
              <w:t>Exhibit 3.1 to United Community Banks, Inc.’s Quarterly Report on Form 10-Q for the quarter ended</w:t>
            </w:r>
          </w:p>
        </w:tc>
      </w:tr>
      <w:tr>
        <w:trPr>
          <w:trHeight w:val="230"/>
        </w:trPr>
        <w:tc>
          <w:tcPr>
            <w:tcW w:w="700" w:type="dxa"/>
            <w:vAlign w:val="bottom"/>
          </w:tcPr>
          <w:p>
            <w:pPr>
              <w:spacing w:after="0"/>
              <w:rPr>
                <w:sz w:val="20"/>
                <w:szCs w:val="20"/>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June 30, 2001, File No. 0-21656, filed with the Commission on August 14, 2001).</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8120" w:type="dxa"/>
            <w:vAlign w:val="bottom"/>
          </w:tcPr>
          <w:p>
            <w:pPr>
              <w:ind w:left="400"/>
              <w:spacing w:after="0"/>
              <w:rPr>
                <w:sz w:val="20"/>
                <w:szCs w:val="20"/>
                <w:color w:val="auto"/>
              </w:rPr>
            </w:pPr>
            <w:r>
              <w:rPr>
                <w:rFonts w:ascii="Arial" w:cs="Arial" w:eastAsia="Arial" w:hAnsi="Arial"/>
                <w:sz w:val="18"/>
                <w:szCs w:val="18"/>
                <w:color w:val="auto"/>
                <w:w w:val="96"/>
              </w:rPr>
              <w:t>Amendment to the Restated Articles of Incorporation of United Community Banks, Inc. (incorporated</w:t>
            </w:r>
          </w:p>
        </w:tc>
      </w:tr>
      <w:tr>
        <w:trPr>
          <w:trHeight w:val="216"/>
        </w:trPr>
        <w:tc>
          <w:tcPr>
            <w:tcW w:w="70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w w:val="91"/>
              </w:rPr>
              <w:t>herein by reference to Exhibit 3.3 to United Community Banks, Inc.’s Registration Statement on Form S-4,</w:t>
            </w:r>
          </w:p>
        </w:tc>
      </w:tr>
      <w:tr>
        <w:trPr>
          <w:trHeight w:val="230"/>
        </w:trPr>
        <w:tc>
          <w:tcPr>
            <w:tcW w:w="700" w:type="dxa"/>
            <w:vAlign w:val="bottom"/>
          </w:tcPr>
          <w:p>
            <w:pPr>
              <w:spacing w:after="0"/>
              <w:rPr>
                <w:sz w:val="20"/>
                <w:szCs w:val="20"/>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File No. 333-118893, filed with the Commission on September 9, 2004).</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8120" w:type="dxa"/>
            <w:vAlign w:val="bottom"/>
          </w:tcPr>
          <w:p>
            <w:pPr>
              <w:ind w:left="400"/>
              <w:spacing w:after="0"/>
              <w:rPr>
                <w:sz w:val="20"/>
                <w:szCs w:val="20"/>
                <w:color w:val="auto"/>
              </w:rPr>
            </w:pPr>
            <w:r>
              <w:rPr>
                <w:rFonts w:ascii="Arial" w:cs="Arial" w:eastAsia="Arial" w:hAnsi="Arial"/>
                <w:sz w:val="18"/>
                <w:szCs w:val="18"/>
                <w:color w:val="auto"/>
                <w:w w:val="90"/>
              </w:rPr>
              <w:t>Amended and Restated Bylaws of United Community Banks, Inc., dated September 12, 1997 (incorporated</w:t>
            </w:r>
          </w:p>
        </w:tc>
      </w:tr>
      <w:tr>
        <w:trPr>
          <w:trHeight w:val="216"/>
        </w:trPr>
        <w:tc>
          <w:tcPr>
            <w:tcW w:w="70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w w:val="95"/>
              </w:rPr>
              <w:t>herein by reference to Exhibit 3.1 to United Community Banks, Inc.’s Annual Report on Form 10-K, for</w:t>
            </w:r>
          </w:p>
        </w:tc>
      </w:tr>
      <w:tr>
        <w:trPr>
          <w:trHeight w:val="230"/>
        </w:trPr>
        <w:tc>
          <w:tcPr>
            <w:tcW w:w="700" w:type="dxa"/>
            <w:vAlign w:val="bottom"/>
          </w:tcPr>
          <w:p>
            <w:pPr>
              <w:spacing w:after="0"/>
              <w:rPr>
                <w:sz w:val="20"/>
                <w:szCs w:val="20"/>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w w:val="95"/>
              </w:rPr>
              <w:t>the year ended December 31, 1997, File No. 0-21656, filed with the Commission on March 27, 1998).</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8120" w:type="dxa"/>
            <w:vAlign w:val="bottom"/>
          </w:tcPr>
          <w:p>
            <w:pPr>
              <w:ind w:left="400"/>
              <w:spacing w:after="0"/>
              <w:rPr>
                <w:sz w:val="20"/>
                <w:szCs w:val="20"/>
                <w:color w:val="auto"/>
              </w:rPr>
            </w:pPr>
            <w:r>
              <w:rPr>
                <w:rFonts w:ascii="Arial" w:cs="Arial" w:eastAsia="Arial" w:hAnsi="Arial"/>
                <w:sz w:val="18"/>
                <w:szCs w:val="18"/>
                <w:color w:val="auto"/>
                <w:w w:val="94"/>
              </w:rPr>
              <w:t>See Exhibits 3.1, 3.2 and 3.3 for provisions of the Restated Articles of Incorporation, as amended, and</w:t>
            </w:r>
          </w:p>
        </w:tc>
      </w:tr>
      <w:tr>
        <w:trPr>
          <w:trHeight w:val="230"/>
        </w:trPr>
        <w:tc>
          <w:tcPr>
            <w:tcW w:w="700" w:type="dxa"/>
            <w:vAlign w:val="bottom"/>
          </w:tcPr>
          <w:p>
            <w:pPr>
              <w:spacing w:after="0"/>
              <w:rPr>
                <w:sz w:val="20"/>
                <w:szCs w:val="20"/>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Amended and Restated Bylaws, which define the rights of the Shareholders.</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31.1</w:t>
            </w:r>
          </w:p>
        </w:tc>
        <w:tc>
          <w:tcPr>
            <w:tcW w:w="8120" w:type="dxa"/>
            <w:vAlign w:val="bottom"/>
          </w:tcPr>
          <w:p>
            <w:pPr>
              <w:ind w:left="400"/>
              <w:spacing w:after="0"/>
              <w:rPr>
                <w:sz w:val="20"/>
                <w:szCs w:val="20"/>
                <w:color w:val="auto"/>
              </w:rPr>
            </w:pPr>
            <w:r>
              <w:rPr>
                <w:rFonts w:ascii="Arial" w:cs="Arial" w:eastAsia="Arial" w:hAnsi="Arial"/>
                <w:sz w:val="18"/>
                <w:szCs w:val="18"/>
                <w:color w:val="auto"/>
                <w:w w:val="96"/>
              </w:rPr>
              <w:t>Certification by Jimmy C. Tallent, President and Chief Executive Officer of United Community Banks,</w:t>
            </w:r>
          </w:p>
        </w:tc>
      </w:tr>
      <w:tr>
        <w:trPr>
          <w:trHeight w:val="230"/>
        </w:trPr>
        <w:tc>
          <w:tcPr>
            <w:tcW w:w="700" w:type="dxa"/>
            <w:vAlign w:val="bottom"/>
          </w:tcPr>
          <w:p>
            <w:pPr>
              <w:spacing w:after="0"/>
              <w:rPr>
                <w:sz w:val="20"/>
                <w:szCs w:val="20"/>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Inc., as adopted pursuant to Section 302 of the Sarbanes-Oxley Act of 2002.</w:t>
            </w:r>
          </w:p>
        </w:tc>
      </w:tr>
      <w:tr>
        <w:trPr>
          <w:trHeight w:val="418"/>
        </w:trPr>
        <w:tc>
          <w:tcPr>
            <w:tcW w:w="700" w:type="dxa"/>
            <w:vAlign w:val="bottom"/>
          </w:tcPr>
          <w:p>
            <w:pPr>
              <w:jc w:val="right"/>
              <w:ind w:right="290"/>
              <w:spacing w:after="0"/>
              <w:rPr>
                <w:sz w:val="20"/>
                <w:szCs w:val="20"/>
                <w:color w:val="auto"/>
              </w:rPr>
            </w:pPr>
            <w:r>
              <w:rPr>
                <w:rFonts w:ascii="Arial" w:cs="Arial" w:eastAsia="Arial" w:hAnsi="Arial"/>
                <w:sz w:val="18"/>
                <w:szCs w:val="18"/>
                <w:color w:val="auto"/>
                <w:w w:val="85"/>
              </w:rPr>
              <w:t>31.2</w:t>
            </w:r>
          </w:p>
        </w:tc>
        <w:tc>
          <w:tcPr>
            <w:tcW w:w="8120" w:type="dxa"/>
            <w:vAlign w:val="bottom"/>
          </w:tcPr>
          <w:p>
            <w:pPr>
              <w:ind w:left="400"/>
              <w:spacing w:after="0"/>
              <w:rPr>
                <w:sz w:val="20"/>
                <w:szCs w:val="20"/>
                <w:color w:val="auto"/>
              </w:rPr>
            </w:pPr>
            <w:r>
              <w:rPr>
                <w:rFonts w:ascii="Arial" w:cs="Arial" w:eastAsia="Arial" w:hAnsi="Arial"/>
                <w:sz w:val="18"/>
                <w:szCs w:val="18"/>
                <w:color w:val="auto"/>
              </w:rPr>
              <w:t>Certification by Rex S. Schuette, Executive Vice President and Chief Financial Officer of United</w:t>
            </w:r>
          </w:p>
        </w:tc>
      </w:tr>
      <w:tr>
        <w:trPr>
          <w:trHeight w:val="230"/>
        </w:trPr>
        <w:tc>
          <w:tcPr>
            <w:tcW w:w="700" w:type="dxa"/>
            <w:vAlign w:val="bottom"/>
          </w:tcPr>
          <w:p>
            <w:pPr>
              <w:spacing w:after="0"/>
              <w:rPr>
                <w:sz w:val="20"/>
                <w:szCs w:val="20"/>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Community Banks, Inc., as adopted pursuant to Section 302 of the Sarbanes-Oxley Act of 2002.</w:t>
            </w:r>
          </w:p>
        </w:tc>
      </w:tr>
    </w:tbl>
    <w:p>
      <w:pPr>
        <w:spacing w:after="0" w:line="202" w:lineRule="exact"/>
        <w:rPr>
          <w:sz w:val="20"/>
          <w:szCs w:val="20"/>
          <w:color w:val="auto"/>
        </w:rPr>
      </w:pPr>
    </w:p>
    <w:p>
      <w:pPr>
        <w:ind w:left="1920" w:right="919" w:hanging="956"/>
        <w:spacing w:after="0" w:line="277"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firstLine="74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2092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2092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14605</wp:posOffset>
            </wp:positionV>
            <wp:extent cx="2092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Date: November 4, 2009</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774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340" w:type="dxa"/>
            <w:vAlign w:val="bottom"/>
          </w:tcPr>
          <w:p>
            <w:pPr>
              <w:spacing w:after="0"/>
              <w:rPr>
                <w:sz w:val="24"/>
                <w:szCs w:val="2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300" w:type="dxa"/>
            <w:vAlign w:val="bottom"/>
          </w:tcPr>
          <w:p>
            <w:pPr>
              <w:spacing w:after="0"/>
              <w:rPr>
                <w:sz w:val="24"/>
                <w:szCs w:val="24"/>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340" w:type="dxa"/>
            <w:vAlign w:val="bottom"/>
          </w:tcPr>
          <w:p>
            <w:pPr>
              <w:spacing w:after="0"/>
              <w:rPr>
                <w:sz w:val="16"/>
                <w:szCs w:val="16"/>
                <w:color w:val="auto"/>
              </w:rPr>
            </w:pPr>
          </w:p>
        </w:tc>
        <w:tc>
          <w:tcPr>
            <w:tcW w:w="1020" w:type="dxa"/>
            <w:vAlign w:val="bottom"/>
          </w:tcPr>
          <w:p>
            <w:pPr>
              <w:jc w:val="center"/>
              <w:ind w:left="170"/>
              <w:spacing w:after="0" w:line="195" w:lineRule="exact"/>
              <w:rPr>
                <w:sz w:val="20"/>
                <w:szCs w:val="20"/>
                <w:color w:val="auto"/>
              </w:rPr>
            </w:pPr>
            <w:r>
              <w:rPr>
                <w:rFonts w:ascii="Arial" w:cs="Arial" w:eastAsia="Arial" w:hAnsi="Arial"/>
                <w:sz w:val="18"/>
                <w:szCs w:val="18"/>
                <w:color w:val="auto"/>
                <w:w w:val="91"/>
              </w:rPr>
              <w:t>31.1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40" w:type="dxa"/>
            <w:vAlign w:val="bottom"/>
          </w:tcPr>
          <w:p>
            <w:pPr>
              <w:spacing w:after="0" w:line="195" w:lineRule="exact"/>
              <w:rPr>
                <w:sz w:val="20"/>
                <w:szCs w:val="20"/>
                <w:color w:val="auto"/>
              </w:rPr>
            </w:pPr>
            <w:r>
              <w:rPr>
                <w:rFonts w:ascii="Arial" w:cs="Arial" w:eastAsia="Arial" w:hAnsi="Arial"/>
                <w:sz w:val="18"/>
                <w:szCs w:val="18"/>
                <w:color w:val="auto"/>
                <w:w w:val="96"/>
              </w:rPr>
              <w:t>Certification by Jimmy C. Tallent, President and Chief Executive Officer of United Community Banks,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Inc., as adopted pursuant to Section 302 of the Sarbanes-Oxley Act of 2002.</w:t>
            </w:r>
          </w:p>
        </w:tc>
      </w:tr>
      <w:tr>
        <w:trPr>
          <w:trHeight w:val="418"/>
        </w:trPr>
        <w:tc>
          <w:tcPr>
            <w:tcW w:w="136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31.2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Certification by Rex S. Schuette, Executive Vice President and Chief Financial Officer of United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Community Banks, Inc., as adopted pursuant to Section 302 of the Sarbanes-Oxley Act of 2002.</w:t>
            </w:r>
          </w:p>
        </w:tc>
      </w:tr>
    </w:tbl>
    <w:p>
      <w:pPr>
        <w:spacing w:after="0" w:line="202" w:lineRule="exact"/>
        <w:rPr>
          <w:sz w:val="20"/>
          <w:szCs w:val="20"/>
          <w:color w:val="auto"/>
        </w:rPr>
      </w:pPr>
    </w:p>
    <w:p>
      <w:pPr>
        <w:ind w:left="1920" w:right="919" w:hanging="956"/>
        <w:spacing w:after="0" w:line="277" w:lineRule="auto"/>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405" w:right="1440" w:bottom="1440" w:gutter="0" w:footer="0" w:header="0"/>
        </w:sectPr>
      </w:pPr>
    </w:p>
    <w:bookmarkStart w:id="52" w:name="page53"/>
    <w:bookmarkEnd w:id="52"/>
    <w:p>
      <w:pPr>
        <w:ind w:left="4208"/>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Jimmy C. Tallent, certify that:</w:t>
      </w:r>
    </w:p>
    <w:p>
      <w:pPr>
        <w:spacing w:after="0" w:line="198" w:lineRule="exact"/>
        <w:rPr>
          <w:sz w:val="20"/>
          <w:szCs w:val="20"/>
          <w:color w:val="auto"/>
        </w:rPr>
      </w:pPr>
    </w:p>
    <w:p>
      <w:pPr>
        <w:ind w:left="188" w:hanging="188"/>
        <w:spacing w:after="0"/>
        <w:tabs>
          <w:tab w:leader="none" w:pos="1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548"/>
        <w:spacing w:after="0"/>
        <w:tabs>
          <w:tab w:leader="none" w:pos="3987"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14605</wp:posOffset>
            </wp:positionV>
            <wp:extent cx="25387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4008"/>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008"/>
        <w:spacing w:after="0"/>
        <w:rPr>
          <w:sz w:val="20"/>
          <w:szCs w:val="20"/>
          <w:color w:val="auto"/>
        </w:rPr>
      </w:pPr>
      <w:r>
        <w:rPr>
          <w:rFonts w:ascii="Arial" w:cs="Arial" w:eastAsia="Arial" w:hAnsi="Arial"/>
          <w:sz w:val="18"/>
          <w:szCs w:val="18"/>
          <w:color w:val="auto"/>
        </w:rPr>
        <w:t>President and Chief Executive Officer of the Registrant</w:t>
      </w:r>
    </w:p>
    <w:p>
      <w:pPr>
        <w:spacing w:after="0" w:line="211" w:lineRule="exact"/>
        <w:rPr>
          <w:sz w:val="20"/>
          <w:szCs w:val="20"/>
          <w:color w:val="auto"/>
        </w:rPr>
      </w:pPr>
    </w:p>
    <w:p>
      <w:pPr>
        <w:ind w:left="3548"/>
        <w:spacing w:after="0"/>
        <w:rPr>
          <w:sz w:val="20"/>
          <w:szCs w:val="20"/>
          <w:color w:val="auto"/>
        </w:rPr>
      </w:pPr>
      <w:r>
        <w:rPr>
          <w:rFonts w:ascii="Arial" w:cs="Arial" w:eastAsia="Arial" w:hAnsi="Arial"/>
          <w:sz w:val="18"/>
          <w:szCs w:val="18"/>
          <w:color w:val="auto"/>
        </w:rPr>
        <w:t>Date: November 4, 2009</w:t>
      </w:r>
    </w:p>
    <w:p>
      <w:pPr>
        <w:sectPr>
          <w:pgSz w:w="11900" w:h="16838" w:orient="portrait"/>
          <w:cols w:equalWidth="0" w:num="1">
            <w:col w:w="9887"/>
          </w:cols>
          <w:pgMar w:left="572" w:top="121" w:right="1440" w:bottom="1440" w:gutter="0" w:footer="0" w:header="0"/>
        </w:sectPr>
      </w:pPr>
    </w:p>
    <w:bookmarkStart w:id="53" w:name="page54"/>
    <w:bookmarkEnd w:id="53"/>
    <w:p>
      <w:pPr>
        <w:ind w:left="4208"/>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Rex S. Schuette, certify that:</w:t>
      </w:r>
    </w:p>
    <w:p>
      <w:pPr>
        <w:spacing w:after="0" w:line="198" w:lineRule="exact"/>
        <w:rPr>
          <w:sz w:val="20"/>
          <w:szCs w:val="20"/>
          <w:color w:val="auto"/>
        </w:rPr>
      </w:pPr>
    </w:p>
    <w:p>
      <w:pPr>
        <w:ind w:left="188" w:hanging="188"/>
        <w:spacing w:after="0"/>
        <w:tabs>
          <w:tab w:leader="none" w:pos="1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0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128"/>
        <w:spacing w:after="0"/>
        <w:tabs>
          <w:tab w:leader="none" w:pos="4587"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14605</wp:posOffset>
            </wp:positionV>
            <wp:extent cx="20326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608"/>
        <w:spacing w:after="0"/>
        <w:rPr>
          <w:sz w:val="20"/>
          <w:szCs w:val="20"/>
          <w:color w:val="auto"/>
        </w:rPr>
      </w:pPr>
      <w:r>
        <w:rPr>
          <w:rFonts w:ascii="Arial" w:cs="Arial" w:eastAsia="Arial" w:hAnsi="Arial"/>
          <w:sz w:val="18"/>
          <w:szCs w:val="18"/>
          <w:color w:val="auto"/>
        </w:rPr>
        <w:t>Chief Financial Officer of the Registrant</w:t>
      </w:r>
    </w:p>
    <w:p>
      <w:pPr>
        <w:spacing w:after="0" w:line="211" w:lineRule="exact"/>
        <w:rPr>
          <w:sz w:val="20"/>
          <w:szCs w:val="20"/>
          <w:color w:val="auto"/>
        </w:rPr>
      </w:pPr>
    </w:p>
    <w:p>
      <w:pPr>
        <w:jc w:val="center"/>
        <w:ind w:right="-188"/>
        <w:spacing w:after="0"/>
        <w:rPr>
          <w:sz w:val="20"/>
          <w:szCs w:val="20"/>
          <w:color w:val="auto"/>
        </w:rPr>
      </w:pPr>
      <w:r>
        <w:rPr>
          <w:rFonts w:ascii="Arial" w:cs="Arial" w:eastAsia="Arial" w:hAnsi="Arial"/>
          <w:sz w:val="18"/>
          <w:szCs w:val="18"/>
          <w:color w:val="auto"/>
        </w:rPr>
        <w:t>Date: November 4, 2009</w:t>
      </w:r>
    </w:p>
    <w:p>
      <w:pPr>
        <w:sectPr>
          <w:pgSz w:w="11900" w:h="16838" w:orient="portrait"/>
          <w:cols w:equalWidth="0" w:num="1">
            <w:col w:w="9887"/>
          </w:cols>
          <w:pgMar w:left="572" w:top="121" w:right="1440" w:bottom="1440" w:gutter="0" w:footer="0" w:header="0"/>
        </w:sectPr>
      </w:pPr>
    </w:p>
    <w:bookmarkStart w:id="54" w:name="page55"/>
    <w:bookmarkEnd w:id="54"/>
    <w:p>
      <w:pPr>
        <w:ind w:left="4260"/>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In connection with the Quarterly Report of United Community Banks, Inc. (“United”) on Form 10-Q for the period ending September 30, 2009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14" w:lineRule="exact"/>
        <w:rPr>
          <w:sz w:val="20"/>
          <w:szCs w:val="20"/>
          <w:color w:val="auto"/>
        </w:rPr>
      </w:pPr>
    </w:p>
    <w:p>
      <w:pPr>
        <w:ind w:left="700" w:hanging="343"/>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700" w:right="559" w:hanging="343"/>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United.</w:t>
      </w:r>
    </w:p>
    <w:p>
      <w:pPr>
        <w:spacing w:after="0" w:line="170"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14605</wp:posOffset>
            </wp:positionV>
            <wp:extent cx="20326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14605</wp:posOffset>
            </wp:positionV>
            <wp:extent cx="2032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Date: November 4, 2009</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endash "/>
      <w:numFmt w:val="bullet"/>
      <w:start w:val="1"/>
    </w:lvl>
  </w:abstractNum>
  <w:abstractNum w:abstractNumId="4">
    <w:nsid w:val="1190CDE7"/>
    <w:multiLevelType w:val="hybridMultilevel"/>
    <w:lvl w:ilvl="0">
      <w:lvlJc w:val="left"/>
      <w:lvlText w:val="\endash "/>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32"/>
    </w:lvl>
  </w:abstractNum>
  <w:abstractNum w:abstractNumId="14">
    <w:nsid w:val="4E6AFB66"/>
    <w:multiLevelType w:val="hybridMultilevel"/>
    <w:lvl w:ilvl="0">
      <w:lvlJc w:val="left"/>
      <w:lvlText w:val="%1"/>
      <w:numFmt w:val="decimal"/>
      <w:start w:val="32"/>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2019-12-10T08:06:58Z</dcterms:created>
  <dcterms:modified xsi:type="dcterms:W3CDTF">2019-12-10T08:06:58Z</dcterms:modified>
</cp:coreProperties>
</file>