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292100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323215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2680335</wp:posOffset>
            </wp:positionH>
            <wp:positionV relativeFrom="paragraph">
              <wp:posOffset>163830</wp:posOffset>
            </wp:positionV>
            <wp:extent cx="178244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SCHEDULE 14A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 the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Securities Exchange Act of 1934 (Amendment No.         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2680335</wp:posOffset>
            </wp:positionH>
            <wp:positionV relativeFrom="paragraph">
              <wp:posOffset>163830</wp:posOffset>
            </wp:positionV>
            <wp:extent cx="178244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98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the Registrant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700" w:space="580"/>
            <w:col w:w="6859"/>
          </w:cols>
          <w:pgMar w:left="320" w:top="698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10139"/>
          </w:cols>
          <w:pgMar w:left="320" w:top="698" w:right="1440" w:bottom="1440" w:gutter="0" w:footer="0" w:header="0"/>
          <w:type w:val="continuous"/>
        </w:sect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580" w:hanging="286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80" w:hanging="286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80" w:hanging="286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80" w:hanging="286"/>
        <w:spacing w:after="0"/>
        <w:tabs>
          <w:tab w:leader="none" w:pos="5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80" w:hanging="286"/>
        <w:spacing w:after="0"/>
        <w:tabs>
          <w:tab w:leader="none" w:pos="5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Pursuant to Section 240.14a-12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Community Banks,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1788795</wp:posOffset>
            </wp:positionH>
            <wp:positionV relativeFrom="paragraph">
              <wp:posOffset>163830</wp:posOffset>
            </wp:positionV>
            <wp:extent cx="357251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580" w:hanging="286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580" w:hanging="286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0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80" w:hanging="286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143510</wp:posOffset>
            </wp:positionV>
            <wp:extent cx="714438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167005</wp:posOffset>
            </wp:positionV>
            <wp:extent cx="7144385" cy="15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573405</wp:posOffset>
            </wp:positionV>
            <wp:extent cx="714438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98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542290</wp:posOffset>
            </wp:positionV>
            <wp:extent cx="6776720" cy="89344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9100" cy="89344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2026-04-01T11:03:51Z</dcterms:created>
  <dcterms:modified xsi:type="dcterms:W3CDTF">2026-04-01T11:03:51Z</dcterms:modified>
</cp:coreProperties>
</file>