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ind w:left="3340" w:hanging="325"/>
        <w:spacing w:after="0"/>
        <w:tabs>
          <w:tab w:leader="none" w:pos="3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27"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320" w:hanging="310"/>
        <w:spacing w:after="0"/>
        <w:tabs>
          <w:tab w:leader="none" w:pos="3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0-21656</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85725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9"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500" w:type="dxa"/>
            <w:vAlign w:val="bottom"/>
            <w:gridSpan w:val="2"/>
          </w:tcPr>
          <w:p>
            <w:pPr>
              <w:spacing w:after="0"/>
              <w:rPr>
                <w:sz w:val="17"/>
                <w:szCs w:val="17"/>
                <w:color w:val="auto"/>
              </w:rPr>
            </w:pPr>
          </w:p>
        </w:tc>
        <w:tc>
          <w:tcPr>
            <w:tcW w:w="2520" w:type="dxa"/>
            <w:vAlign w:val="bottom"/>
            <w:gridSpan w:val="3"/>
          </w:tcPr>
          <w:p>
            <w:pPr>
              <w:spacing w:after="0"/>
              <w:rPr>
                <w:sz w:val="17"/>
                <w:szCs w:val="17"/>
                <w:color w:val="auto"/>
              </w:rPr>
            </w:pPr>
          </w:p>
        </w:tc>
        <w:tc>
          <w:tcPr>
            <w:tcW w:w="232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b w:val="1"/>
                <w:bCs w:val="1"/>
                <w:color w:val="auto"/>
                <w:w w:val="89"/>
              </w:rPr>
              <w:t>58-1807304</w:t>
            </w:r>
          </w:p>
        </w:tc>
        <w:tc>
          <w:tcPr>
            <w:tcW w:w="500" w:type="dxa"/>
            <w:vAlign w:val="bottom"/>
            <w:tcBorders>
              <w:bottom w:val="single" w:sz="8" w:color="auto"/>
            </w:tcBorders>
          </w:tcPr>
          <w:p>
            <w:pPr>
              <w:spacing w:after="0"/>
              <w:rPr>
                <w:sz w:val="17"/>
                <w:szCs w:val="17"/>
                <w:color w:val="auto"/>
              </w:rPr>
            </w:pPr>
          </w:p>
        </w:tc>
      </w:tr>
      <w:tr>
        <w:trPr>
          <w:trHeight w:val="237"/>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2"/>
              </w:rPr>
              <w:t>(State of Incorporation)</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684"/>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2"/>
              </w:rPr>
              <w:t>63 Highway 515</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4"/>
        </w:trPr>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2"/>
          </w:tcPr>
          <w:p>
            <w:pPr>
              <w:jc w:val="center"/>
              <w:ind w:right="140"/>
              <w:spacing w:after="0" w:line="194" w:lineRule="exact"/>
              <w:rPr>
                <w:sz w:val="20"/>
                <w:szCs w:val="20"/>
                <w:color w:val="auto"/>
              </w:rPr>
            </w:pPr>
            <w:r>
              <w:rPr>
                <w:rFonts w:ascii="Arial" w:cs="Arial" w:eastAsia="Arial" w:hAnsi="Arial"/>
                <w:sz w:val="18"/>
                <w:szCs w:val="18"/>
                <w:b w:val="1"/>
                <w:bCs w:val="1"/>
                <w:color w:val="auto"/>
                <w:w w:val="90"/>
              </w:rPr>
              <w:t>Blairsville, Georgia</w:t>
            </w:r>
          </w:p>
        </w:tc>
        <w:tc>
          <w:tcPr>
            <w:tcW w:w="360" w:type="dxa"/>
            <w:vAlign w:val="bottom"/>
          </w:tcPr>
          <w:p>
            <w:pPr>
              <w:spacing w:after="0"/>
              <w:rPr>
                <w:sz w:val="16"/>
                <w:szCs w:val="16"/>
                <w:color w:val="auto"/>
              </w:rPr>
            </w:pPr>
          </w:p>
        </w:tc>
        <w:tc>
          <w:tcPr>
            <w:tcW w:w="3040" w:type="dxa"/>
            <w:vAlign w:val="bottom"/>
            <w:gridSpan w:val="4"/>
          </w:tcPr>
          <w:p>
            <w:pPr>
              <w:spacing w:after="0"/>
              <w:rPr>
                <w:sz w:val="16"/>
                <w:szCs w:val="16"/>
                <w:color w:val="auto"/>
              </w:rPr>
            </w:pPr>
          </w:p>
        </w:tc>
        <w:tc>
          <w:tcPr>
            <w:tcW w:w="18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30512</w:t>
            </w:r>
          </w:p>
        </w:tc>
        <w:tc>
          <w:tcPr>
            <w:tcW w:w="500" w:type="dxa"/>
            <w:vAlign w:val="bottom"/>
          </w:tcPr>
          <w:p>
            <w:pPr>
              <w:spacing w:after="0"/>
              <w:rPr>
                <w:sz w:val="16"/>
                <w:szCs w:val="16"/>
                <w:color w:val="auto"/>
              </w:rPr>
            </w:pPr>
          </w:p>
        </w:tc>
      </w:tr>
      <w:tr>
        <w:trPr>
          <w:trHeight w:val="237"/>
        </w:trPr>
        <w:tc>
          <w:tcPr>
            <w:tcW w:w="32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(Zip Code)</w:t>
            </w:r>
          </w:p>
        </w:tc>
      </w:tr>
      <w:tr>
        <w:trPr>
          <w:trHeight w:val="419"/>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(706) 781-2265</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40" w:type="dxa"/>
            <w:vAlign w:val="bottom"/>
            <w:gridSpan w:val="6"/>
          </w:tcPr>
          <w:p>
            <w:pPr>
              <w:jc w:val="center"/>
              <w:ind w:right="3200"/>
              <w:spacing w:after="0"/>
              <w:rPr>
                <w:sz w:val="20"/>
                <w:szCs w:val="20"/>
                <w:color w:val="auto"/>
              </w:rPr>
            </w:pPr>
            <w:r>
              <w:rPr>
                <w:rFonts w:ascii="Arial" w:cs="Arial" w:eastAsia="Arial" w:hAnsi="Arial"/>
                <w:sz w:val="18"/>
                <w:szCs w:val="18"/>
                <w:b w:val="1"/>
                <w:bCs w:val="1"/>
                <w:color w:val="auto"/>
                <w:w w:val="90"/>
              </w:rPr>
              <w:t>(Telephone Number)</w:t>
            </w:r>
          </w:p>
        </w:tc>
      </w:tr>
    </w:tbl>
    <w:p>
      <w:pPr>
        <w:spacing w:after="0" w:line="225" w:lineRule="exact"/>
        <w:rPr>
          <w:sz w:val="24"/>
          <w:szCs w:val="24"/>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YES x NO o</w:t>
      </w:r>
    </w:p>
    <w:p>
      <w:pPr>
        <w:spacing w:after="0" w:line="252" w:lineRule="exact"/>
        <w:rPr>
          <w:sz w:val="24"/>
          <w:szCs w:val="24"/>
          <w:color w:val="auto"/>
        </w:rPr>
      </w:pPr>
    </w:p>
    <w:p>
      <w:pPr>
        <w:spacing w:after="0" w:line="313"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6420" w:type="dxa"/>
            <w:vAlign w:val="bottom"/>
          </w:tcPr>
          <w:p>
            <w:pPr>
              <w:spacing w:after="0"/>
              <w:rPr>
                <w:sz w:val="20"/>
                <w:szCs w:val="20"/>
                <w:color w:val="auto"/>
              </w:rPr>
            </w:pPr>
            <w:r>
              <w:rPr>
                <w:rFonts w:ascii="Arial" w:cs="Arial" w:eastAsia="Arial" w:hAnsi="Arial"/>
                <w:sz w:val="18"/>
                <w:szCs w:val="18"/>
                <w:b w:val="1"/>
                <w:bCs w:val="1"/>
                <w:color w:val="auto"/>
              </w:rPr>
              <w:t>Large accelerated filer x</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Accelerated filer</w:t>
            </w: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2"/>
              </w:rPr>
              <w:t>o</w:t>
            </w:r>
          </w:p>
        </w:tc>
      </w:tr>
      <w:tr>
        <w:trPr>
          <w:trHeight w:val="261"/>
        </w:trPr>
        <w:tc>
          <w:tcPr>
            <w:tcW w:w="6420" w:type="dxa"/>
            <w:vAlign w:val="bottom"/>
          </w:tcPr>
          <w:p>
            <w:pPr>
              <w:spacing w:after="0"/>
              <w:rPr>
                <w:sz w:val="20"/>
                <w:szCs w:val="20"/>
                <w:color w:val="auto"/>
              </w:rPr>
            </w:pPr>
            <w:r>
              <w:rPr>
                <w:rFonts w:ascii="Arial" w:cs="Arial" w:eastAsia="Arial" w:hAnsi="Arial"/>
                <w:sz w:val="18"/>
                <w:szCs w:val="18"/>
                <w:b w:val="1"/>
                <w:bCs w:val="1"/>
                <w:color w:val="auto"/>
              </w:rPr>
              <w:t>Non-accelerated filer o (Do not check if a smaller reporting company)</w:t>
            </w: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Smaller Reporting Company</w:t>
            </w: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2"/>
              </w:rPr>
              <w:t>o</w:t>
            </w:r>
          </w:p>
        </w:tc>
      </w:tr>
    </w:tbl>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YES o NO x</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$1 per share: 47,004,223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as of March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820"/>
              <w:spacing w:after="0"/>
              <w:rPr>
                <w:sz w:val="20"/>
                <w:szCs w:val="20"/>
                <w:color w:val="auto"/>
              </w:rPr>
            </w:pPr>
            <w:r>
              <w:rPr>
                <w:rFonts w:ascii="Arial" w:cs="Arial" w:eastAsia="Arial" w:hAnsi="Arial"/>
                <w:sz w:val="18"/>
                <w:szCs w:val="18"/>
                <w:b w:val="1"/>
                <w:bCs w:val="1"/>
                <w:color w:val="auto"/>
                <w:w w:val="94"/>
              </w:rPr>
              <w:t>Item 1.</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420" w:type="dxa"/>
            <w:vAlign w:val="bottom"/>
          </w:tcPr>
          <w:p>
            <w:pPr>
              <w:spacing w:after="0"/>
              <w:rPr>
                <w:sz w:val="20"/>
                <w:szCs w:val="20"/>
                <w:color w:val="auto"/>
              </w:rPr>
            </w:pPr>
          </w:p>
        </w:tc>
      </w:tr>
      <w:tr>
        <w:trPr>
          <w:trHeight w:val="432"/>
        </w:trPr>
        <w:tc>
          <w:tcPr>
            <w:tcW w:w="13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b w:val="1"/>
                <w:bCs w:val="1"/>
                <w:color w:val="auto"/>
              </w:rPr>
              <w:t>Consolidated Statement of Income (unaudited) for the Three Months Ended March 31, 2008 and 2007</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32"/>
        </w:trPr>
        <w:tc>
          <w:tcPr>
            <w:tcW w:w="13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b w:val="1"/>
                <w:bCs w:val="1"/>
                <w:color w:val="auto"/>
                <w:w w:val="93"/>
              </w:rPr>
              <w:t>Consolidated Balance Sheet at March 31, 2008 (unaudited), December 31, 2007 (audited) and March 31, 2007 (unaudited)</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4"/>
        </w:trPr>
        <w:tc>
          <w:tcPr>
            <w:tcW w:w="13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b w:val="1"/>
                <w:bCs w:val="1"/>
                <w:color w:val="auto"/>
                <w:w w:val="92"/>
              </w:rPr>
              <w:t>Consolidated Statement of Changes in Shareholders’ Equity (unaudited) for the Three Months Ended March 31, 2008 and</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34"/>
        </w:trPr>
        <w:tc>
          <w:tcPr>
            <w:tcW w:w="13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20"/>
                <w:szCs w:val="20"/>
                <w:color w:val="auto"/>
              </w:rPr>
            </w:pPr>
          </w:p>
        </w:tc>
      </w:tr>
      <w:tr>
        <w:trPr>
          <w:trHeight w:val="432"/>
        </w:trPr>
        <w:tc>
          <w:tcPr>
            <w:tcW w:w="13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b w:val="1"/>
                <w:bCs w:val="1"/>
                <w:color w:val="auto"/>
              </w:rPr>
              <w:t>Consolidated Statement of Cash Flows (unaudited) for the Three Months Ended March 31, 2008 and 2007</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32"/>
        </w:trPr>
        <w:tc>
          <w:tcPr>
            <w:tcW w:w="13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32"/>
        </w:trPr>
        <w:tc>
          <w:tcPr>
            <w:tcW w:w="1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32"/>
        </w:trPr>
        <w:tc>
          <w:tcPr>
            <w:tcW w:w="1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32"/>
        </w:trPr>
        <w:tc>
          <w:tcPr>
            <w:tcW w:w="1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Item 4.   Controls and Procedures.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32"/>
        </w:trPr>
        <w:tc>
          <w:tcPr>
            <w:tcW w:w="11000" w:type="dxa"/>
            <w:vAlign w:val="bottom"/>
            <w:gridSpan w:val="2"/>
          </w:tcPr>
          <w:p>
            <w:pPr>
              <w:spacing w:after="0"/>
              <w:rPr>
                <w:sz w:val="20"/>
                <w:szCs w:val="20"/>
                <w:color w:val="auto"/>
              </w:rPr>
            </w:pPr>
            <w:r>
              <w:rPr>
                <w:rFonts w:ascii="Arial" w:cs="Arial" w:eastAsia="Arial" w:hAnsi="Arial"/>
                <w:sz w:val="18"/>
                <w:szCs w:val="18"/>
                <w:b w:val="1"/>
                <w:bCs w:val="1"/>
                <w:color w:val="auto"/>
              </w:rPr>
              <w:t>PART II - Other Information</w:t>
            </w:r>
          </w:p>
        </w:tc>
        <w:tc>
          <w:tcPr>
            <w:tcW w:w="420" w:type="dxa"/>
            <w:vAlign w:val="bottom"/>
          </w:tcPr>
          <w:p>
            <w:pPr>
              <w:spacing w:after="0"/>
              <w:rPr>
                <w:sz w:val="24"/>
                <w:szCs w:val="24"/>
                <w:color w:val="auto"/>
              </w:rPr>
            </w:pPr>
          </w:p>
        </w:tc>
      </w:tr>
      <w:tr>
        <w:trPr>
          <w:trHeight w:val="414"/>
        </w:trPr>
        <w:tc>
          <w:tcPr>
            <w:tcW w:w="1380" w:type="dxa"/>
            <w:vAlign w:val="bottom"/>
          </w:tcPr>
          <w:p>
            <w:pPr>
              <w:ind w:left="820"/>
              <w:spacing w:after="0"/>
              <w:rPr>
                <w:sz w:val="20"/>
                <w:szCs w:val="20"/>
                <w:color w:val="auto"/>
              </w:rPr>
            </w:pPr>
            <w:r>
              <w:rPr>
                <w:rFonts w:ascii="Arial" w:cs="Arial" w:eastAsia="Arial" w:hAnsi="Arial"/>
                <w:sz w:val="18"/>
                <w:szCs w:val="18"/>
                <w:b w:val="1"/>
                <w:bCs w:val="1"/>
                <w:color w:val="auto"/>
                <w:w w:val="94"/>
              </w:rPr>
              <w:t>Item 1.</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Legal Proceedings.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1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Item 1A. Risk Factors.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1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1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Item 3.   Defaults Upon Senior Securities.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1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Item 4.   Submission of Matters to a Vote of Security 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1380" w:type="dxa"/>
            <w:vAlign w:val="bottom"/>
          </w:tcPr>
          <w:p>
            <w:pPr>
              <w:ind w:left="820"/>
              <w:spacing w:after="0"/>
              <w:rPr>
                <w:sz w:val="20"/>
                <w:szCs w:val="20"/>
                <w:color w:val="auto"/>
              </w:rPr>
            </w:pPr>
            <w:r>
              <w:rPr>
                <w:rFonts w:ascii="Arial" w:cs="Arial" w:eastAsia="Arial" w:hAnsi="Arial"/>
                <w:sz w:val="18"/>
                <w:szCs w:val="18"/>
                <w:b w:val="1"/>
                <w:bCs w:val="1"/>
                <w:color w:val="auto"/>
                <w:w w:val="94"/>
              </w:rPr>
              <w:t>Item 5.</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Other Information.</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34"/>
        </w:trPr>
        <w:tc>
          <w:tcPr>
            <w:tcW w:w="1380" w:type="dxa"/>
            <w:vAlign w:val="bottom"/>
          </w:tcPr>
          <w:p>
            <w:pPr>
              <w:ind w:left="820"/>
              <w:spacing w:after="0"/>
              <w:rPr>
                <w:sz w:val="20"/>
                <w:szCs w:val="20"/>
                <w:color w:val="auto"/>
              </w:rPr>
            </w:pPr>
            <w:r>
              <w:rPr>
                <w:rFonts w:ascii="Arial" w:cs="Arial" w:eastAsia="Arial" w:hAnsi="Arial"/>
                <w:sz w:val="18"/>
                <w:szCs w:val="18"/>
                <w:b w:val="1"/>
                <w:bCs w:val="1"/>
                <w:color w:val="auto"/>
                <w:w w:val="94"/>
              </w:rPr>
              <w:t>Item 6.</w:t>
            </w:r>
          </w:p>
        </w:tc>
        <w:tc>
          <w:tcPr>
            <w:tcW w:w="962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59"/>
        </w:trPr>
        <w:tc>
          <w:tcPr>
            <w:tcW w:w="1380" w:type="dxa"/>
            <w:vAlign w:val="bottom"/>
          </w:tcPr>
          <w:p>
            <w:pPr>
              <w:spacing w:after="0"/>
              <w:rPr>
                <w:sz w:val="24"/>
                <w:szCs w:val="24"/>
                <w:color w:val="auto"/>
              </w:rPr>
            </w:pPr>
          </w:p>
        </w:tc>
        <w:tc>
          <w:tcPr>
            <w:tcW w:w="9620" w:type="dxa"/>
            <w:vAlign w:val="bottom"/>
          </w:tcPr>
          <w:p>
            <w:pPr>
              <w:ind w:left="428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4"/>
                <w:szCs w:val="24"/>
                <w:color w:val="auto"/>
              </w:rPr>
            </w:pPr>
          </w:p>
        </w:tc>
      </w:tr>
      <w:tr>
        <w:trPr>
          <w:trHeight w:val="108"/>
        </w:trPr>
        <w:tc>
          <w:tcPr>
            <w:tcW w:w="1380" w:type="dxa"/>
            <w:vAlign w:val="bottom"/>
            <w:tcBorders>
              <w:bottom w:val="single" w:sz="8" w:color="808080"/>
            </w:tcBorders>
          </w:tcPr>
          <w:p>
            <w:pPr>
              <w:spacing w:after="0"/>
              <w:rPr>
                <w:sz w:val="9"/>
                <w:szCs w:val="9"/>
                <w:color w:val="auto"/>
              </w:rPr>
            </w:pPr>
          </w:p>
        </w:tc>
        <w:tc>
          <w:tcPr>
            <w:tcW w:w="9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(in thousands, except per share data)</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b w:val="1"/>
                <w:bCs w:val="1"/>
                <w:color w:val="auto"/>
              </w:rPr>
              <w:t>Interest revenue: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Loans, including fees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109,266</w:t>
            </w:r>
          </w:p>
        </w:tc>
        <w:tc>
          <w:tcPr>
            <w:tcW w:w="20" w:type="dxa"/>
            <w:vAlign w:val="bottom"/>
          </w:tcPr>
          <w:p>
            <w:pPr>
              <w:spacing w:after="0"/>
              <w:rPr>
                <w:sz w:val="18"/>
                <w:szCs w:val="18"/>
                <w:color w:val="auto"/>
              </w:rPr>
            </w:pP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114,073</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Taxable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Tax exempt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Federal funds sold and deposits in banks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interest revenue</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NOW</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Savings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8820" w:type="dxa"/>
            <w:vAlign w:val="bottom"/>
          </w:tcPr>
          <w:p>
            <w:pPr>
              <w:ind w:left="340"/>
              <w:spacing w:after="0"/>
              <w:rPr>
                <w:sz w:val="20"/>
                <w:szCs w:val="20"/>
                <w:color w:val="auto"/>
              </w:rPr>
            </w:pPr>
            <w:r>
              <w:rPr>
                <w:rFonts w:ascii="Arial" w:cs="Arial" w:eastAsia="Arial" w:hAnsi="Arial"/>
                <w:sz w:val="18"/>
                <w:szCs w:val="18"/>
                <w:color w:val="auto"/>
              </w:rPr>
              <w:t>Time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38,884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41,625</w:t>
            </w:r>
          </w:p>
        </w:tc>
        <w:tc>
          <w:tcPr>
            <w:tcW w:w="0" w:type="dxa"/>
            <w:vAlign w:val="bottom"/>
          </w:tcPr>
          <w:p>
            <w:pPr>
              <w:spacing w:after="0"/>
              <w:rPr>
                <w:sz w:val="1"/>
                <w:szCs w:val="1"/>
                <w:color w:val="auto"/>
              </w:rPr>
            </w:pPr>
          </w:p>
        </w:tc>
      </w:tr>
      <w:tr>
        <w:trPr>
          <w:trHeight w:val="202"/>
        </w:trPr>
        <w:tc>
          <w:tcPr>
            <w:tcW w:w="8820" w:type="dxa"/>
            <w:vAlign w:val="bottom"/>
          </w:tcPr>
          <w:p>
            <w:pPr>
              <w:ind w:left="500"/>
              <w:spacing w:after="0" w:line="201" w:lineRule="exact"/>
              <w:rPr>
                <w:sz w:val="20"/>
                <w:szCs w:val="20"/>
                <w:color w:val="auto"/>
              </w:rPr>
            </w:pPr>
            <w:r>
              <w:rPr>
                <w:rFonts w:ascii="Arial" w:cs="Arial" w:eastAsia="Arial" w:hAnsi="Arial"/>
                <w:sz w:val="18"/>
                <w:szCs w:val="18"/>
                <w:color w:val="auto"/>
              </w:rPr>
              <w:t>Total deposit interest expense</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50,611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55,101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Federal funds purchased, repurchase agreements, &amp; other short-term borrowings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color w:val="auto"/>
              </w:rPr>
              <w:t>Total interest expense</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62,754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820" w:type="dxa"/>
            <w:vAlign w:val="bottom"/>
          </w:tcPr>
          <w:p>
            <w:pPr>
              <w:ind w:left="340"/>
              <w:spacing w:after="0" w:line="201" w:lineRule="exact"/>
              <w:rPr>
                <w:sz w:val="20"/>
                <w:szCs w:val="20"/>
                <w:color w:val="auto"/>
              </w:rPr>
            </w:pPr>
            <w:r>
              <w:rPr>
                <w:rFonts w:ascii="Arial" w:cs="Arial" w:eastAsia="Arial" w:hAnsi="Arial"/>
                <w:sz w:val="18"/>
                <w:szCs w:val="18"/>
                <w:color w:val="auto"/>
              </w:rPr>
              <w:t>Net interest revenue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65,756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64,623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color w:val="auto"/>
              </w:rPr>
              <w:t>Net interest revenue after provision for loan losses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b w:val="1"/>
                <w:bCs w:val="1"/>
                <w:color w:val="auto"/>
              </w:rPr>
              <w:t>Fee revenue: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Service charges and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Mortgage loan and other related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Consulting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Brokerage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Securities gains,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color w:val="auto"/>
              </w:rPr>
              <w:t>Total fee revenue</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72,453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28,754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28,317</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Communications and equipment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Occupancy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Advertising and public relations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Postage, printing and supplies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820" w:type="dxa"/>
            <w:vAlign w:val="bottom"/>
          </w:tcPr>
          <w:p>
            <w:pPr>
              <w:ind w:left="180"/>
              <w:spacing w:after="0" w:line="201" w:lineRule="exact"/>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24,924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30,464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8,846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11,119</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16,078</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Net income available to common shareholders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16,074</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19,340</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46,966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30"/>
        </w:trPr>
        <w:tc>
          <w:tcPr>
            <w:tcW w:w="8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47,272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43,912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64" w:right="339" w:bottom="0" w:gutter="0" w:footer="0" w:header="0"/>
        </w:sectPr>
      </w:pPr>
    </w:p>
    <w:bookmarkStart w:id="3" w:name="page4"/>
    <w:bookmarkEnd w:id="3"/>
    <w:p>
      <w:pPr>
        <w:ind w:left="6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Balance Sheet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12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i w:val="1"/>
                <w:iCs w:val="1"/>
                <w:color w:val="auto"/>
                <w:w w:val="92"/>
              </w:rPr>
              <w:t>(unaudited)</w:t>
            </w: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2"/>
              </w:rPr>
              <w:t>(audited)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i w:val="1"/>
                <w:iCs w:val="1"/>
                <w:color w:val="auto"/>
                <w:w w:val="92"/>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744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169,538</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157,549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159,543</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13,417</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62,074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22,644</w:t>
            </w:r>
          </w:p>
        </w:tc>
        <w:tc>
          <w:tcPr>
            <w:tcW w:w="0" w:type="dxa"/>
            <w:vAlign w:val="bottom"/>
          </w:tcPr>
          <w:p>
            <w:pPr>
              <w:spacing w:after="0"/>
              <w:rPr>
                <w:sz w:val="1"/>
                <w:szCs w:val="1"/>
                <w:color w:val="auto"/>
              </w:rPr>
            </w:pPr>
          </w:p>
        </w:tc>
      </w:t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182,955</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219,623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44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1,508,402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1,356,846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1,150,424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28,451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28,004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31,633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Loans, net of unearned income</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5,967,839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5,929,263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5,402,198</w:t>
            </w:r>
          </w:p>
        </w:tc>
        <w:tc>
          <w:tcPr>
            <w:tcW w:w="0" w:type="dxa"/>
            <w:vAlign w:val="bottom"/>
          </w:tcPr>
          <w:p>
            <w:pPr>
              <w:spacing w:after="0"/>
              <w:rPr>
                <w:sz w:val="1"/>
                <w:szCs w:val="1"/>
                <w:color w:val="auto"/>
              </w:rPr>
            </w:pP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89,848</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89,423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68,804</w:t>
            </w: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Arial" w:cs="Arial" w:eastAsia="Arial" w:hAnsi="Arial"/>
                <w:sz w:val="18"/>
                <w:szCs w:val="18"/>
                <w:color w:val="auto"/>
              </w:rPr>
              <w:t>Loans, net</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5,877,991</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5,839,840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5,333,394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44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180,746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180,088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150,332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59,585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62,828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60,677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324,041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325,305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166,073</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224,084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194,768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111,882</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8,386,255</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8,207,302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7,186,602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Demand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690,028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700,941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675,969</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1,523,942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1,474,818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1,406,287</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431,623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452,917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277,184</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187,911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186,392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176,891</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Less than $100,000</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1,535,742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1,573,604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1,619,865</w:t>
            </w: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Greater than $100,000</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1,375,000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1,364,763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1,366,360</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Brokered</w:t>
            </w: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431,523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322,516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319,131</w:t>
            </w:r>
          </w:p>
        </w:tc>
        <w:tc>
          <w:tcPr>
            <w:tcW w:w="0" w:type="dxa"/>
            <w:vAlign w:val="bottom"/>
          </w:tcPr>
          <w:p>
            <w:pPr>
              <w:spacing w:after="0"/>
              <w:rPr>
                <w:sz w:val="1"/>
                <w:szCs w:val="1"/>
                <w:color w:val="auto"/>
              </w:rPr>
            </w:pPr>
          </w:p>
        </w:tc>
      </w:t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rPr>
              <w:t>Total deposits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6,175,769</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6,075,951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5,841,687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440" w:type="dxa"/>
            <w:vAlign w:val="bottom"/>
          </w:tcPr>
          <w:p>
            <w:pPr>
              <w:ind w:left="18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532,896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638,462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77,367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615,324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519,782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464,072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107,996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107,996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113,151</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82,818</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33,209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51,869</w:t>
            </w:r>
          </w:p>
        </w:tc>
        <w:tc>
          <w:tcPr>
            <w:tcW w:w="0" w:type="dxa"/>
            <w:vAlign w:val="bottom"/>
          </w:tcPr>
          <w:p>
            <w:pPr>
              <w:spacing w:after="0"/>
              <w:rPr>
                <w:sz w:val="1"/>
                <w:szCs w:val="1"/>
                <w:color w:val="auto"/>
              </w:rPr>
            </w:pPr>
          </w:p>
        </w:tc>
      </w:tr>
      <w:tr>
        <w:trPr>
          <w:trHeight w:val="223"/>
        </w:trPr>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7,514,803</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7,375,400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6,548,146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Preferred stock, $1 par value; $10 stated value; 10,000,000 shares authorized;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25,800, 25,800 and 32,200 shares issued and outstanding</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Common stock, $1 par value; 100,000,000 shares authorized;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48,809,301, 48,809,301 and 43,037,840 shares issued</w:t>
            </w: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48,809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48,809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43,038</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Common stock issuable; 90,505, 73,250 and 35,154 shares</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Capital surplus</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463,095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462,881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273,575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359,248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347,391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321,721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Treasury stock; 1,805,078 and 1,905,921 shares, at cost</w:t>
            </w:r>
          </w:p>
        </w:tc>
        <w:tc>
          <w:tcPr>
            <w:tcW w:w="12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(41,351)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(43,798)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38,983</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23"/>
        </w:trPr>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871,452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8,386,255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8,207,302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7,186,602</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8820" w:type="dxa"/>
            <w:vAlign w:val="bottom"/>
            <w:gridSpan w:val="5"/>
          </w:tcPr>
          <w:p>
            <w:pPr>
              <w:ind w:left="3300"/>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6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vMerge w:val="restart"/>
          </w:tcPr>
          <w:p>
            <w:pPr>
              <w:spacing w:after="0"/>
              <w:rPr>
                <w:sz w:val="20"/>
                <w:szCs w:val="20"/>
                <w:color w:val="auto"/>
              </w:rPr>
            </w:pPr>
            <w:r>
              <w:rPr>
                <w:rFonts w:ascii="Arial" w:cs="Arial" w:eastAsia="Arial" w:hAnsi="Arial"/>
                <w:sz w:val="18"/>
                <w:szCs w:val="18"/>
                <w:i w:val="1"/>
                <w:iCs w:val="1"/>
                <w:color w:val="auto"/>
                <w:w w:val="91"/>
              </w:rPr>
              <w:t>(in thousands, except share and per share</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Preferred</w:t>
            </w: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20"/>
                <w:szCs w:val="20"/>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Retained</w:t>
            </w:r>
          </w:p>
        </w:tc>
        <w:tc>
          <w:tcPr>
            <w:tcW w:w="8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Treasury</w:t>
            </w: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7"/>
                <w:szCs w:val="17"/>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88"/>
              </w:rPr>
              <w:t>Issuable</w:t>
            </w:r>
          </w:p>
        </w:tc>
        <w:tc>
          <w:tcPr>
            <w:tcW w:w="100" w:type="dxa"/>
            <w:vAlign w:val="bottom"/>
          </w:tcPr>
          <w:p>
            <w:pPr>
              <w:spacing w:after="0"/>
              <w:rPr>
                <w:sz w:val="17"/>
                <w:szCs w:val="17"/>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86"/>
              </w:rPr>
              <w:t>Surplus</w:t>
            </w:r>
          </w:p>
        </w:tc>
        <w:tc>
          <w:tcPr>
            <w:tcW w:w="80" w:type="dxa"/>
            <w:vAlign w:val="bottom"/>
          </w:tcPr>
          <w:p>
            <w:pPr>
              <w:spacing w:after="0"/>
              <w:rPr>
                <w:sz w:val="17"/>
                <w:szCs w:val="17"/>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3"/>
              </w:rPr>
              <w:t>Earnings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93"/>
              </w:rPr>
              <w:t>Stock</w:t>
            </w:r>
          </w:p>
        </w:tc>
        <w:tc>
          <w:tcPr>
            <w:tcW w:w="80" w:type="dxa"/>
            <w:vAlign w:val="bottom"/>
          </w:tcPr>
          <w:p>
            <w:pPr>
              <w:spacing w:after="0"/>
              <w:rPr>
                <w:sz w:val="17"/>
                <w:szCs w:val="17"/>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data)</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000" w:type="dxa"/>
            <w:vAlign w:val="bottom"/>
            <w:tcBorders>
              <w:bottom w:val="single" w:sz="8" w:color="auto"/>
            </w:tcBorders>
            <w:gridSpan w:val="3"/>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0"/>
                <w:szCs w:val="20"/>
                <w:color w:val="auto"/>
              </w:rPr>
            </w:pPr>
            <w:r>
              <w:rPr>
                <w:rFonts w:ascii="Arial" w:cs="Arial" w:eastAsia="Arial" w:hAnsi="Arial"/>
                <w:sz w:val="18"/>
                <w:szCs w:val="18"/>
                <w:b w:val="1"/>
                <w:bCs w:val="1"/>
                <w:color w:val="auto"/>
              </w:rPr>
              <w:t>Balance, December 31, 2006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42,891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270,383</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306,261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(3,952)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616,767</w:t>
            </w:r>
          </w:p>
        </w:tc>
        <w:tc>
          <w:tcPr>
            <w:tcW w:w="0" w:type="dxa"/>
            <w:vAlign w:val="bottom"/>
          </w:tcPr>
          <w:p>
            <w:pPr>
              <w:spacing w:after="0"/>
              <w:rPr>
                <w:sz w:val="1"/>
                <w:szCs w:val="1"/>
                <w:color w:val="auto"/>
              </w:rPr>
            </w:pP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19,345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19,345</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w w:val="92"/>
              </w:rPr>
              <w:t>Unrealized holding gains on available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for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00"/>
              <w:spacing w:after="0"/>
              <w:rPr>
                <w:sz w:val="20"/>
                <w:szCs w:val="20"/>
                <w:color w:val="auto"/>
              </w:rPr>
            </w:pPr>
            <w:r>
              <w:rPr>
                <w:rFonts w:ascii="Arial" w:cs="Arial" w:eastAsia="Arial" w:hAnsi="Arial"/>
                <w:sz w:val="18"/>
                <w:szCs w:val="18"/>
                <w:color w:val="auto"/>
                <w:w w:val="96"/>
              </w:rPr>
              <w:t>sale securities, net of deferred tax</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00"/>
              <w:spacing w:after="0"/>
              <w:rPr>
                <w:sz w:val="20"/>
                <w:szCs w:val="20"/>
                <w:color w:val="auto"/>
              </w:rPr>
            </w:pPr>
            <w:r>
              <w:rPr>
                <w:rFonts w:ascii="Arial" w:cs="Arial" w:eastAsia="Arial" w:hAnsi="Arial"/>
                <w:sz w:val="18"/>
                <w:szCs w:val="18"/>
                <w:color w:val="auto"/>
              </w:rPr>
              <w:t>expense and reclassification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adjustment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Unrealized gains on derivative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00"/>
              <w:spacing w:after="0"/>
              <w:rPr>
                <w:sz w:val="20"/>
                <w:szCs w:val="20"/>
                <w:color w:val="auto"/>
              </w:rPr>
            </w:pPr>
            <w:r>
              <w:rPr>
                <w:rFonts w:ascii="Arial" w:cs="Arial" w:eastAsia="Arial" w:hAnsi="Arial"/>
                <w:sz w:val="18"/>
                <w:szCs w:val="18"/>
                <w:color w:val="auto"/>
              </w:rPr>
              <w:t>instruments qualifying as cash</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flow</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00"/>
              <w:spacing w:after="0"/>
              <w:rPr>
                <w:sz w:val="20"/>
                <w:szCs w:val="20"/>
                <w:color w:val="auto"/>
              </w:rPr>
            </w:pPr>
            <w:r>
              <w:rPr>
                <w:rFonts w:ascii="Arial" w:cs="Arial" w:eastAsia="Arial" w:hAnsi="Arial"/>
                <w:sz w:val="18"/>
                <w:szCs w:val="18"/>
                <w:color w:val="auto"/>
              </w:rPr>
              <w:t>hedges, net of deferred tax</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3120" w:type="dxa"/>
            <w:vAlign w:val="bottom"/>
            <w:vMerge w:val="restart"/>
          </w:tcPr>
          <w:p>
            <w:pPr>
              <w:ind w:left="66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19,345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22,054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Cash dividends declared on common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($.09 per share)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3"/>
              </w:rPr>
              <w:t>Exercise of stock options (72,703 shares)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Common stock issued to Dividend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Reinvestment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w w:val="89"/>
              </w:rPr>
              <w:t>Plan and employee benefit plans (52,914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Amortization of stock option and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restricted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stock awards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Vesting of restricted stock (21,360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Deferred compensation plan, net,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including</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dividend equivalents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Tax benefit from options exercised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Dividends declared on preferred stock</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($.15 per share)</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Balance, March 31, 2007</w:t>
            </w: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120" w:type="dxa"/>
            <w:vAlign w:val="bottom"/>
            <w:vMerge w:val="continue"/>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43,038</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273,575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321,721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638,456</w:t>
            </w:r>
          </w:p>
        </w:tc>
        <w:tc>
          <w:tcPr>
            <w:tcW w:w="0" w:type="dxa"/>
            <w:vAlign w:val="bottom"/>
          </w:tcPr>
          <w:p>
            <w:pPr>
              <w:spacing w:after="0"/>
              <w:rPr>
                <w:sz w:val="1"/>
                <w:szCs w:val="1"/>
                <w:color w:val="auto"/>
              </w:rPr>
            </w:pPr>
          </w:p>
        </w:tc>
      </w:tr>
      <w:tr>
        <w:trPr>
          <w:trHeight w:val="21"/>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Balance, December 31, 2007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120" w:type="dxa"/>
            <w:vAlign w:val="bottom"/>
            <w:vMerge w:val="continue"/>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48,809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462,881</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347,391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(43,798)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831,902</w:t>
            </w:r>
          </w:p>
        </w:tc>
        <w:tc>
          <w:tcPr>
            <w:tcW w:w="0" w:type="dxa"/>
            <w:vAlign w:val="bottom"/>
          </w:tcPr>
          <w:p>
            <w:pPr>
              <w:spacing w:after="0"/>
              <w:rPr>
                <w:sz w:val="1"/>
                <w:szCs w:val="1"/>
                <w:color w:val="auto"/>
              </w:rPr>
            </w:pP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16,078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Unrealized holding gains on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available for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00"/>
              <w:spacing w:after="0"/>
              <w:rPr>
                <w:sz w:val="20"/>
                <w:szCs w:val="20"/>
                <w:color w:val="auto"/>
              </w:rPr>
            </w:pPr>
            <w:r>
              <w:rPr>
                <w:rFonts w:ascii="Arial" w:cs="Arial" w:eastAsia="Arial" w:hAnsi="Arial"/>
                <w:sz w:val="18"/>
                <w:szCs w:val="18"/>
                <w:color w:val="auto"/>
                <w:w w:val="96"/>
              </w:rPr>
              <w:t>sale securities, net of deferred tax</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12,341</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Unrealized gains on derivative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financial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00"/>
              <w:spacing w:after="0"/>
              <w:rPr>
                <w:sz w:val="20"/>
                <w:szCs w:val="20"/>
                <w:color w:val="auto"/>
              </w:rPr>
            </w:pPr>
            <w:r>
              <w:rPr>
                <w:rFonts w:ascii="Arial" w:cs="Arial" w:eastAsia="Arial" w:hAnsi="Arial"/>
                <w:sz w:val="18"/>
                <w:szCs w:val="18"/>
                <w:color w:val="auto"/>
              </w:rPr>
              <w:t>instruments qualifying as cash</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flow</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500"/>
              <w:spacing w:after="0"/>
              <w:rPr>
                <w:sz w:val="20"/>
                <w:szCs w:val="20"/>
                <w:color w:val="auto"/>
              </w:rPr>
            </w:pPr>
            <w:r>
              <w:rPr>
                <w:rFonts w:ascii="Arial" w:cs="Arial" w:eastAsia="Arial" w:hAnsi="Arial"/>
                <w:sz w:val="18"/>
                <w:szCs w:val="18"/>
                <w:color w:val="auto"/>
              </w:rPr>
              <w:t>hedges, net of deferred tax</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23"/>
        </w:trPr>
        <w:tc>
          <w:tcPr>
            <w:tcW w:w="3120" w:type="dxa"/>
            <w:vAlign w:val="bottom"/>
            <w:vMerge w:val="restart"/>
          </w:tcPr>
          <w:p>
            <w:pPr>
              <w:ind w:left="66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16,078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24,722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40,800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Cash dividends declared on common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($.09 per share)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3"/>
              </w:rPr>
              <w:t>Exercise of stock options (60,271 shares)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Common stock issued to Dividend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Reinvestment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w w:val="89"/>
              </w:rPr>
              <w:t>Plan and employee benefit plans (31,944</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w w:val="98"/>
              </w:rPr>
              <w:t>Amortization of stock options and restricted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6"/>
              </w:rPr>
              <w:t>Vesting of restricted stock (7,912 shares</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issued,</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3,125 shares deferred)</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Deferred compensation plan, net,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including</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dividend equivalents</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0"/>
              </w:rPr>
              <w:t>Shares issued from deferred compensation</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plan</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(716 shares)</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Tax benefit from options exercised</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Dividends declared on preferred stock</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($.15 per share)</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Balance, March 31, 2008</w:t>
            </w: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120" w:type="dxa"/>
            <w:vAlign w:val="bottom"/>
            <w:vMerge w:val="continue"/>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48,809</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2,410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$ 463,095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$ 359,248</w:t>
            </w:r>
          </w:p>
        </w:tc>
        <w:tc>
          <w:tcPr>
            <w:tcW w:w="1480" w:type="dxa"/>
            <w:vAlign w:val="bottom"/>
            <w:gridSpan w:val="4"/>
          </w:tcPr>
          <w:p>
            <w:pPr>
              <w:jc w:val="right"/>
              <w:ind w:right="300"/>
              <w:spacing w:after="0"/>
              <w:rPr>
                <w:sz w:val="20"/>
                <w:szCs w:val="20"/>
                <w:color w:val="auto"/>
              </w:rPr>
            </w:pPr>
            <w:r>
              <w:rPr>
                <w:rFonts w:ascii="Arial" w:cs="Arial" w:eastAsia="Arial" w:hAnsi="Arial"/>
                <w:sz w:val="18"/>
                <w:szCs w:val="18"/>
                <w:color w:val="auto"/>
              </w:rPr>
              <w:t>$  (41,351)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38,983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$ 871,452</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3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6"/>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Operating activities:</w:t>
            </w:r>
          </w:p>
        </w:tc>
        <w:tc>
          <w:tcPr>
            <w:tcW w:w="1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16,078</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Stock based compensation</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Gain on sale of securities available for sale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Gain on sale of other assets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Other assets and accrued interest receivable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(4,783)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Mortgage loans held for sale</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31,751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sales of securities available for sale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174,956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Purchases of securities available for sale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(296,228)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increase in loans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(63,119)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(3,773)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1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(154,720)</w:t>
            </w: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change in deposits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99,818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change in federal funds purchased, repurchase agreements,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and other short-term borrowings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(105,566)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FHLB advances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Repayments of FHLB advances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(205,000)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for dividend reinvestment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and employee benefit plans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Cash dividends on common stock</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(4,229)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Cash dividends on preferred stock</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86,301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(36,668)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10,903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219,623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182,955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182,187</w:t>
            </w:r>
          </w:p>
        </w:tc>
        <w:tc>
          <w:tcPr>
            <w:tcW w:w="0" w:type="dxa"/>
            <w:vAlign w:val="bottom"/>
          </w:tcPr>
          <w:p>
            <w:pPr>
              <w:spacing w:after="0"/>
              <w:rPr>
                <w:sz w:val="1"/>
                <w:szCs w:val="1"/>
                <w:color w:val="auto"/>
              </w:rPr>
            </w:pPr>
          </w:p>
        </w:tc>
      </w:tr>
      <w:tr>
        <w:trPr>
          <w:trHeight w:val="21"/>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4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Interest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65,789</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65,675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United Community Banks,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and general banking industry practices. The accompanying interim consolidated financial statements have not been audited. All material intercompany balances and transactions have been eliminated. A more detailed description of United’s accounting policies is included in the 2007 annual report filed on Form 10-K.</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March 31, 2008, approximately 1,953,000 additional awards could be granted under the plan. Through March 31, 2008, only incentive stock options, nonqualified stock options and restricted stock awards had been granted under the plan.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stock option activity for the first quarter of 2008.</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Intrinisic</w:t>
            </w:r>
          </w:p>
        </w:tc>
      </w:tr>
      <w:tr>
        <w:trPr>
          <w:trHeight w:val="241"/>
        </w:trPr>
        <w:tc>
          <w:tcPr>
            <w:tcW w:w="20" w:type="dxa"/>
            <w:vAlign w:val="bottom"/>
          </w:tcPr>
          <w:p>
            <w:pPr>
              <w:spacing w:after="0"/>
              <w:rPr>
                <w:sz w:val="20"/>
                <w:szCs w:val="20"/>
                <w:color w:val="auto"/>
              </w:rPr>
            </w:pPr>
          </w:p>
        </w:tc>
        <w:tc>
          <w:tcPr>
            <w:tcW w:w="366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 ($000)</w:t>
            </w:r>
          </w:p>
        </w:tc>
      </w:tr>
      <w:tr>
        <w:trPr>
          <w:trHeight w:val="418"/>
        </w:trPr>
        <w:tc>
          <w:tcPr>
            <w:tcW w:w="3680" w:type="dxa"/>
            <w:vAlign w:val="bottom"/>
            <w:gridSpan w:val="2"/>
          </w:tcPr>
          <w:p>
            <w:pPr>
              <w:spacing w:after="0"/>
              <w:rPr>
                <w:sz w:val="20"/>
                <w:szCs w:val="20"/>
                <w:color w:val="auto"/>
              </w:rPr>
            </w:pPr>
            <w:r>
              <w:rPr>
                <w:rFonts w:ascii="Arial" w:cs="Arial" w:eastAsia="Arial" w:hAnsi="Arial"/>
                <w:sz w:val="18"/>
                <w:szCs w:val="18"/>
                <w:color w:val="auto"/>
              </w:rPr>
              <w:t>Outstanding at December 31, 2007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2,912,557</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21.57</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(65,450)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(33,875)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29.14</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7"/>
        </w:trPr>
        <w:tc>
          <w:tcPr>
            <w:tcW w:w="368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(15,800)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24.65</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Outstanding at March 31, 2008</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2,812,432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3,936</w:t>
            </w:r>
          </w:p>
        </w:tc>
      </w:tr>
      <w:tr>
        <w:trPr>
          <w:trHeight w:val="21"/>
        </w:trPr>
        <w:tc>
          <w:tcPr>
            <w:tcW w:w="3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3680" w:type="dxa"/>
            <w:vAlign w:val="bottom"/>
            <w:gridSpan w:val="2"/>
          </w:tcPr>
          <w:p>
            <w:pPr>
              <w:spacing w:after="0"/>
              <w:rPr>
                <w:sz w:val="20"/>
                <w:szCs w:val="20"/>
                <w:color w:val="auto"/>
              </w:rPr>
            </w:pPr>
            <w:r>
              <w:rPr>
                <w:rFonts w:ascii="Arial" w:cs="Arial" w:eastAsia="Arial" w:hAnsi="Arial"/>
                <w:sz w:val="18"/>
                <w:szCs w:val="18"/>
                <w:color w:val="auto"/>
              </w:rPr>
              <w:t>Exercisable at March 31, 2008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1,658,316</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3,911</w:t>
            </w: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weighted average fair value of stock options granted in the first quarter of 2008 and 2007 was $3.33 and $8.80, respectively. The fair value of each option granted was estimated on the date of grant using the Black-Scholes model. Because United’s option plan has not been in place long enough to gather sufficient information about exercise patterns to establish an expected life, United uses the formula provided by the Securities and Exchange Commission in Staff Accounting Bulletin No. 107 to determine the expected life of options. The key assumptions used to determine the fair value of stock options are presented in the table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460" w:type="dxa"/>
            <w:vAlign w:val="bottom"/>
            <w:gridSpan w:val="5"/>
          </w:tcPr>
          <w:p>
            <w:pPr>
              <w:jc w:val="center"/>
              <w:ind w:right="134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4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96"/>
              </w:rPr>
              <w:t>March 31,</w:t>
            </w:r>
          </w:p>
        </w:tc>
        <w:tc>
          <w:tcPr>
            <w:tcW w:w="1040" w:type="dxa"/>
            <w:vAlign w:val="bottom"/>
            <w:tcBorders>
              <w:bottom w:val="single" w:sz="8" w:color="auto"/>
            </w:tcBorders>
          </w:tcPr>
          <w:p>
            <w:pPr>
              <w:spacing w:after="0"/>
              <w:rPr>
                <w:sz w:val="20"/>
                <w:szCs w:val="20"/>
                <w:color w:val="auto"/>
              </w:rPr>
            </w:pPr>
          </w:p>
        </w:tc>
        <w:tc>
          <w:tcPr>
            <w:tcW w:w="132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320" w:type="dxa"/>
            <w:vAlign w:val="bottom"/>
          </w:tcPr>
          <w:p>
            <w:pPr>
              <w:spacing w:after="0"/>
              <w:rPr>
                <w:sz w:val="19"/>
                <w:szCs w:val="19"/>
                <w:color w:val="auto"/>
              </w:rPr>
            </w:pPr>
          </w:p>
        </w:tc>
      </w:tr>
      <w:tr>
        <w:trPr>
          <w:trHeight w:val="418"/>
        </w:trPr>
        <w:tc>
          <w:tcPr>
            <w:tcW w:w="4280" w:type="dxa"/>
            <w:vAlign w:val="bottom"/>
          </w:tcPr>
          <w:p>
            <w:pPr>
              <w:ind w:left="1140"/>
              <w:spacing w:after="0"/>
              <w:rPr>
                <w:sz w:val="20"/>
                <w:szCs w:val="20"/>
                <w:color w:val="auto"/>
              </w:rPr>
            </w:pPr>
            <w:r>
              <w:rPr>
                <w:rFonts w:ascii="Arial" w:cs="Arial" w:eastAsia="Arial" w:hAnsi="Arial"/>
                <w:sz w:val="18"/>
                <w:szCs w:val="18"/>
                <w:color w:val="auto"/>
              </w:rPr>
              <w:t>Expected volatility</w:t>
            </w:r>
          </w:p>
        </w:tc>
        <w:tc>
          <w:tcPr>
            <w:tcW w:w="438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2360" w:type="dxa"/>
            <w:vAlign w:val="bottom"/>
            <w:gridSpan w:val="2"/>
          </w:tcPr>
          <w:p>
            <w:pPr>
              <w:jc w:val="right"/>
              <w:ind w:right="1180"/>
              <w:spacing w:after="0"/>
              <w:rPr>
                <w:sz w:val="20"/>
                <w:szCs w:val="20"/>
                <w:color w:val="auto"/>
              </w:rPr>
            </w:pPr>
            <w:r>
              <w:rPr>
                <w:rFonts w:ascii="Arial" w:cs="Arial" w:eastAsia="Arial" w:hAnsi="Arial"/>
                <w:sz w:val="18"/>
                <w:szCs w:val="18"/>
                <w:color w:val="auto"/>
              </w:rPr>
              <w:t>20%</w:t>
            </w:r>
          </w:p>
        </w:tc>
      </w:tr>
      <w:tr>
        <w:trPr>
          <w:trHeight w:val="216"/>
        </w:trPr>
        <w:tc>
          <w:tcPr>
            <w:tcW w:w="4280" w:type="dxa"/>
            <w:vAlign w:val="bottom"/>
          </w:tcPr>
          <w:p>
            <w:pPr>
              <w:ind w:left="1140"/>
              <w:spacing w:after="0"/>
              <w:rPr>
                <w:sz w:val="20"/>
                <w:szCs w:val="20"/>
                <w:color w:val="auto"/>
              </w:rPr>
            </w:pPr>
            <w:r>
              <w:rPr>
                <w:rFonts w:ascii="Arial" w:cs="Arial" w:eastAsia="Arial" w:hAnsi="Arial"/>
                <w:sz w:val="18"/>
                <w:szCs w:val="18"/>
                <w:color w:val="auto"/>
              </w:rPr>
              <w:t>Expected dividend yield</w:t>
            </w:r>
          </w:p>
        </w:tc>
        <w:tc>
          <w:tcPr>
            <w:tcW w:w="2680" w:type="dxa"/>
            <w:vAlign w:val="bottom"/>
          </w:tcPr>
          <w:p>
            <w:pPr>
              <w:spacing w:after="0"/>
              <w:rPr>
                <w:sz w:val="18"/>
                <w:szCs w:val="18"/>
                <w:color w:val="auto"/>
              </w:rPr>
            </w:pPr>
          </w:p>
        </w:tc>
        <w:tc>
          <w:tcPr>
            <w:tcW w:w="2100" w:type="dxa"/>
            <w:vAlign w:val="bottom"/>
            <w:gridSpan w:val="3"/>
          </w:tcPr>
          <w:p>
            <w:pPr>
              <w:ind w:left="440"/>
              <w:spacing w:after="0"/>
              <w:rPr>
                <w:sz w:val="20"/>
                <w:szCs w:val="20"/>
                <w:color w:val="auto"/>
              </w:rPr>
            </w:pPr>
            <w:r>
              <w:rPr>
                <w:rFonts w:ascii="Arial" w:cs="Arial" w:eastAsia="Arial" w:hAnsi="Arial"/>
                <w:sz w:val="18"/>
                <w:szCs w:val="18"/>
                <w:color w:val="auto"/>
              </w:rPr>
              <w:t>2.1% to 2.5%</w:t>
            </w:r>
          </w:p>
        </w:tc>
        <w:tc>
          <w:tcPr>
            <w:tcW w:w="2360" w:type="dxa"/>
            <w:vAlign w:val="bottom"/>
            <w:gridSpan w:val="2"/>
          </w:tcPr>
          <w:p>
            <w:pPr>
              <w:jc w:val="right"/>
              <w:ind w:right="1180"/>
              <w:spacing w:after="0"/>
              <w:rPr>
                <w:sz w:val="20"/>
                <w:szCs w:val="20"/>
                <w:color w:val="auto"/>
              </w:rPr>
            </w:pPr>
            <w:r>
              <w:rPr>
                <w:rFonts w:ascii="Arial" w:cs="Arial" w:eastAsia="Arial" w:hAnsi="Arial"/>
                <w:sz w:val="18"/>
                <w:szCs w:val="18"/>
                <w:color w:val="auto"/>
              </w:rPr>
              <w:t>1.1%</w:t>
            </w:r>
          </w:p>
        </w:tc>
      </w:tr>
      <w:tr>
        <w:trPr>
          <w:trHeight w:val="216"/>
        </w:trPr>
        <w:tc>
          <w:tcPr>
            <w:tcW w:w="4280" w:type="dxa"/>
            <w:vAlign w:val="bottom"/>
          </w:tcPr>
          <w:p>
            <w:pPr>
              <w:ind w:left="1140"/>
              <w:spacing w:after="0"/>
              <w:rPr>
                <w:sz w:val="20"/>
                <w:szCs w:val="20"/>
                <w:color w:val="auto"/>
              </w:rPr>
            </w:pPr>
            <w:r>
              <w:rPr>
                <w:rFonts w:ascii="Arial" w:cs="Arial" w:eastAsia="Arial" w:hAnsi="Arial"/>
                <w:sz w:val="18"/>
                <w:szCs w:val="18"/>
                <w:color w:val="auto"/>
              </w:rPr>
              <w:t>Expected life (in years)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w:t>
            </w:r>
          </w:p>
        </w:tc>
        <w:tc>
          <w:tcPr>
            <w:tcW w:w="1320" w:type="dxa"/>
            <w:vAlign w:val="bottom"/>
          </w:tcPr>
          <w:p>
            <w:pPr>
              <w:spacing w:after="0"/>
              <w:rPr>
                <w:sz w:val="18"/>
                <w:szCs w:val="18"/>
                <w:color w:val="auto"/>
              </w:rPr>
            </w:pPr>
          </w:p>
        </w:tc>
      </w:tr>
      <w:tr>
        <w:trPr>
          <w:trHeight w:val="230"/>
        </w:trPr>
        <w:tc>
          <w:tcPr>
            <w:tcW w:w="4280" w:type="dxa"/>
            <w:vAlign w:val="bottom"/>
          </w:tcPr>
          <w:p>
            <w:pPr>
              <w:ind w:left="1140"/>
              <w:spacing w:after="0"/>
              <w:rPr>
                <w:sz w:val="20"/>
                <w:szCs w:val="20"/>
                <w:color w:val="auto"/>
              </w:rPr>
            </w:pPr>
            <w:r>
              <w:rPr>
                <w:rFonts w:ascii="Arial" w:cs="Arial" w:eastAsia="Arial" w:hAnsi="Arial"/>
                <w:sz w:val="18"/>
                <w:szCs w:val="18"/>
                <w:color w:val="auto"/>
              </w:rPr>
              <w:t>Risk-free rate</w:t>
            </w:r>
          </w:p>
        </w:tc>
        <w:tc>
          <w:tcPr>
            <w:tcW w:w="2680" w:type="dxa"/>
            <w:vAlign w:val="bottom"/>
          </w:tcPr>
          <w:p>
            <w:pPr>
              <w:spacing w:after="0"/>
              <w:rPr>
                <w:sz w:val="20"/>
                <w:szCs w:val="20"/>
                <w:color w:val="auto"/>
              </w:rPr>
            </w:pPr>
          </w:p>
        </w:tc>
        <w:tc>
          <w:tcPr>
            <w:tcW w:w="2100" w:type="dxa"/>
            <w:vAlign w:val="bottom"/>
            <w:gridSpan w:val="3"/>
          </w:tcPr>
          <w:p>
            <w:pPr>
              <w:ind w:left="440"/>
              <w:spacing w:after="0"/>
              <w:rPr>
                <w:sz w:val="20"/>
                <w:szCs w:val="20"/>
                <w:color w:val="auto"/>
              </w:rPr>
            </w:pPr>
            <w:r>
              <w:rPr>
                <w:rFonts w:ascii="Arial" w:cs="Arial" w:eastAsia="Arial" w:hAnsi="Arial"/>
                <w:sz w:val="18"/>
                <w:szCs w:val="18"/>
                <w:color w:val="auto"/>
              </w:rPr>
              <w:t>2.9% to 3.5%</w:t>
            </w:r>
          </w:p>
        </w:tc>
        <w:tc>
          <w:tcPr>
            <w:tcW w:w="2360" w:type="dxa"/>
            <w:vAlign w:val="bottom"/>
            <w:gridSpan w:val="2"/>
          </w:tcPr>
          <w:p>
            <w:pPr>
              <w:jc w:val="right"/>
              <w:ind w:right="1180"/>
              <w:spacing w:after="0"/>
              <w:rPr>
                <w:sz w:val="20"/>
                <w:szCs w:val="20"/>
                <w:color w:val="auto"/>
              </w:rPr>
            </w:pPr>
            <w:r>
              <w:rPr>
                <w:rFonts w:ascii="Arial" w:cs="Arial" w:eastAsia="Arial" w:hAnsi="Arial"/>
                <w:sz w:val="18"/>
                <w:szCs w:val="18"/>
                <w:color w:val="auto"/>
              </w:rPr>
              <w:t>4.7%</w:t>
            </w:r>
          </w:p>
        </w:tc>
      </w:tr>
      <w:tr>
        <w:trPr>
          <w:trHeight w:val="459"/>
        </w:trPr>
        <w:tc>
          <w:tcPr>
            <w:tcW w:w="4280" w:type="dxa"/>
            <w:vAlign w:val="bottom"/>
          </w:tcPr>
          <w:p>
            <w:pPr>
              <w:spacing w:after="0"/>
              <w:rPr>
                <w:sz w:val="24"/>
                <w:szCs w:val="24"/>
                <w:color w:val="auto"/>
              </w:rPr>
            </w:pPr>
          </w:p>
        </w:tc>
        <w:tc>
          <w:tcPr>
            <w:tcW w:w="2680" w:type="dxa"/>
            <w:vAlign w:val="bottom"/>
          </w:tcPr>
          <w:p>
            <w:pPr>
              <w:jc w:val="right"/>
              <w:ind w:right="1110"/>
              <w:spacing w:after="0"/>
              <w:rPr>
                <w:sz w:val="20"/>
                <w:szCs w:val="20"/>
                <w:color w:val="auto"/>
              </w:rPr>
            </w:pPr>
            <w:r>
              <w:rPr>
                <w:rFonts w:ascii="Arial" w:cs="Arial" w:eastAsia="Arial" w:hAnsi="Arial"/>
                <w:sz w:val="18"/>
                <w:szCs w:val="18"/>
                <w:color w:val="auto"/>
              </w:rPr>
              <w:t>6</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08"/>
        </w:trPr>
        <w:tc>
          <w:tcPr>
            <w:tcW w:w="428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8" w:name="page9"/>
    <w:bookmarkEnd w:id="8"/>
    <w:p>
      <w:pPr>
        <w:jc w:val="both"/>
        <w:ind w:firstLine="648"/>
        <w:spacing w:after="0" w:line="272" w:lineRule="auto"/>
        <w:rPr>
          <w:sz w:val="20"/>
          <w:szCs w:val="20"/>
          <w:color w:val="auto"/>
        </w:rPr>
      </w:pPr>
      <w:r>
        <w:rPr>
          <w:rFonts w:ascii="Arial" w:cs="Arial" w:eastAsia="Arial" w:hAnsi="Arial"/>
          <w:sz w:val="17"/>
          <w:szCs w:val="17"/>
          <w:color w:val="auto"/>
        </w:rPr>
        <w:t>United’s stock trading history began in March of 2002 when United listed on the Nasdaq National Market. For 2008 and 2007, expected volatility was determined using United’s historical monthly volatility over the period beginning in March of 2002 through the end of the last completed year. Compensation expense for stock options was $549,000 and $486,000 for the three months ended March 31, 2008 and 2007, respectively, which was net of deferred tax benefits of $222,000 and $114,000, respectively. The amount of compensation expense for both periods was determined based on the fair value of the options at the time of grant, multiplied by the number of options granted that were expected to vest, which was then amortized, net of any applicable tax benefit, over the vesting period. The forfeiture rate for options is estimated to be approximately 3% per year. The total intrinsic value of options exercised during the quarter ended March 31, 2008 and 2007 was $275,000 and $1,693,000, respectively.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activity in restricted stock awards for the first quarter of 2008.</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Average Grant-</w:t>
            </w:r>
          </w:p>
        </w:tc>
      </w:tr>
      <w:tr>
        <w:trPr>
          <w:trHeight w:val="216"/>
        </w:trPr>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Date Fair</w:t>
            </w:r>
          </w:p>
        </w:tc>
      </w:tr>
      <w:tr>
        <w:trPr>
          <w:trHeight w:val="241"/>
        </w:trPr>
        <w:tc>
          <w:tcPr>
            <w:tcW w:w="472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Restricted Stock</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r>
      <w:tr>
        <w:trPr>
          <w:trHeight w:val="418"/>
        </w:trPr>
        <w:tc>
          <w:tcPr>
            <w:tcW w:w="4720" w:type="dxa"/>
            <w:vAlign w:val="bottom"/>
          </w:tcPr>
          <w:p>
            <w:pPr>
              <w:spacing w:after="0"/>
              <w:rPr>
                <w:sz w:val="20"/>
                <w:szCs w:val="20"/>
                <w:color w:val="auto"/>
              </w:rPr>
            </w:pPr>
            <w:r>
              <w:rPr>
                <w:rFonts w:ascii="Arial" w:cs="Arial" w:eastAsia="Arial" w:hAnsi="Arial"/>
                <w:sz w:val="18"/>
                <w:szCs w:val="18"/>
                <w:color w:val="auto"/>
              </w:rPr>
              <w:t>Outstanding at December 31, 2007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84,413</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(11,037)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25.67</w:t>
            </w: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Outstanding at March 31, 2008</w:t>
            </w:r>
          </w:p>
        </w:tc>
        <w:tc>
          <w:tcPr>
            <w:tcW w:w="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77,376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28.43</w:t>
            </w:r>
          </w:p>
        </w:tc>
      </w:tr>
      <w:tr>
        <w:trPr>
          <w:trHeight w:val="21"/>
        </w:trPr>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three months ended March 31, 2008 and 2007, compensation expense of $204,000 and $129,000, respectively, was recognized related to restricted stock awards. The total intrinsic value of the restricted stock was $1.3 million at March 31, 2008.</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2008, there was $7.9 million of unrecognized compensation cost related to nonvested stock options and restricted stock awards granted under the plan. That cost is expected to be recognized over a weighted-average period of 1.4 years. The aggregate grant date fair value of options and restricted stock awards that vested during the quarter ended March 31, 2008, was $322,000.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Common Stock Issued / Common Stock Issuable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provides a Dividend Reinvestment and Share Purchase Plan (DRIP) to its shareholders. Under the DRIP, shareholders of record can voluntarily reinvest all or a portion of their cash dividends into shares of United’s common stock, as well as purchase additional stock through the plan for cash.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three months ended March 31, 2008 and 2007, United issued 31,944 and 52,914 shares, respectively, and increased capital by $503,000 and $1.7 million, respectively, through these programs.</w:t>
      </w:r>
    </w:p>
    <w:p>
      <w:pPr>
        <w:spacing w:after="0" w:line="22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fourth quarter of 2005, United began offering its common stock as an investment option in its deferred compensation plan. The common stock component of the deferred compensation plan is accounted for as an equity instrument and is reflected in the consolidated financial statements as common stock issuable. At March 31, 2008 and 2007, 90,505 and 35,154 shares, respectively, are issuable under the deferred compensation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for the three months ended March 31</w:t>
      </w:r>
      <w:r>
        <w:rPr>
          <w:rFonts w:ascii="Arial" w:cs="Arial" w:eastAsia="Arial" w:hAnsi="Arial"/>
          <w:sz w:val="18"/>
          <w:szCs w:val="18"/>
          <w:i w:val="1"/>
          <w:iCs w:val="1"/>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4"/>
          </w:tcPr>
          <w:p>
            <w:pPr>
              <w:jc w:val="right"/>
              <w:ind w:right="277"/>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8"/>
                <w:szCs w:val="18"/>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220" w:type="dxa"/>
            <w:vAlign w:val="bottom"/>
          </w:tcPr>
          <w:p>
            <w:pPr>
              <w:ind w:left="580"/>
              <w:spacing w:after="0"/>
              <w:rPr>
                <w:sz w:val="20"/>
                <w:szCs w:val="20"/>
                <w:color w:val="auto"/>
              </w:rPr>
            </w:pPr>
            <w:r>
              <w:rPr>
                <w:rFonts w:ascii="Arial" w:cs="Arial" w:eastAsia="Arial" w:hAnsi="Arial"/>
                <w:sz w:val="18"/>
                <w:szCs w:val="18"/>
                <w:b w:val="1"/>
                <w:bCs w:val="1"/>
                <w:color w:val="auto"/>
              </w:rPr>
              <w:t>Net income available to common shareholders</w:t>
            </w:r>
          </w:p>
        </w:tc>
        <w:tc>
          <w:tcPr>
            <w:tcW w:w="1060" w:type="dxa"/>
            <w:vAlign w:val="bottom"/>
            <w:gridSpan w:val="2"/>
          </w:tcPr>
          <w:p>
            <w:pPr>
              <w:jc w:val="right"/>
              <w:ind w:right="87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16,074</w:t>
            </w:r>
          </w:p>
        </w:tc>
        <w:tc>
          <w:tcPr>
            <w:tcW w:w="130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19,340</w:t>
            </w:r>
          </w:p>
        </w:tc>
        <w:tc>
          <w:tcPr>
            <w:tcW w:w="0" w:type="dxa"/>
            <w:vAlign w:val="bottom"/>
          </w:tcPr>
          <w:p>
            <w:pPr>
              <w:spacing w:after="0"/>
              <w:rPr>
                <w:sz w:val="1"/>
                <w:szCs w:val="1"/>
                <w:color w:val="auto"/>
              </w:rPr>
            </w:pPr>
          </w:p>
        </w:tc>
      </w:tr>
      <w:tr>
        <w:trPr>
          <w:trHeight w:val="21"/>
        </w:trPr>
        <w:tc>
          <w:tcPr>
            <w:tcW w:w="72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Weighted average shares outstanding:</w:t>
            </w: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74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46,966</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43,000</w:t>
            </w:r>
          </w:p>
        </w:tc>
        <w:tc>
          <w:tcPr>
            <w:tcW w:w="0" w:type="dxa"/>
            <w:vAlign w:val="bottom"/>
          </w:tcPr>
          <w:p>
            <w:pPr>
              <w:spacing w:after="0"/>
              <w:rPr>
                <w:sz w:val="1"/>
                <w:szCs w:val="1"/>
                <w:color w:val="auto"/>
              </w:rPr>
            </w:pPr>
          </w:p>
        </w:tc>
      </w:tr>
      <w:tr>
        <w:trPr>
          <w:trHeight w:val="216"/>
        </w:trPr>
        <w:tc>
          <w:tcPr>
            <w:tcW w:w="7220" w:type="dxa"/>
            <w:vAlign w:val="bottom"/>
          </w:tcPr>
          <w:p>
            <w:pPr>
              <w:ind w:left="74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900"/>
              <w:spacing w:after="0"/>
              <w:rPr>
                <w:sz w:val="20"/>
                <w:szCs w:val="20"/>
                <w:color w:val="auto"/>
              </w:rPr>
            </w:pPr>
            <w:r>
              <w:rPr>
                <w:rFonts w:ascii="Arial" w:cs="Arial" w:eastAsia="Arial" w:hAnsi="Arial"/>
                <w:sz w:val="18"/>
                <w:szCs w:val="18"/>
                <w:color w:val="auto"/>
              </w:rPr>
              <w:t>Stock options and restricted stock</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7"/>
        </w:trPr>
        <w:tc>
          <w:tcPr>
            <w:tcW w:w="7220" w:type="dxa"/>
            <w:vAlign w:val="bottom"/>
          </w:tcPr>
          <w:p>
            <w:pPr>
              <w:ind w:left="900"/>
              <w:spacing w:after="0"/>
              <w:rPr>
                <w:sz w:val="20"/>
                <w:szCs w:val="20"/>
                <w:color w:val="auto"/>
              </w:rPr>
            </w:pPr>
            <w:r>
              <w:rPr>
                <w:rFonts w:ascii="Arial" w:cs="Arial" w:eastAsia="Arial" w:hAnsi="Arial"/>
                <w:sz w:val="18"/>
                <w:szCs w:val="18"/>
                <w:color w:val="auto"/>
              </w:rPr>
              <w:t>Common stock issuable under deferred compensation plan</w:t>
            </w:r>
          </w:p>
        </w:tc>
        <w:tc>
          <w:tcPr>
            <w:tcW w:w="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220" w:type="dxa"/>
            <w:vAlign w:val="bottom"/>
          </w:tcPr>
          <w:p>
            <w:pPr>
              <w:ind w:left="74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47,272</w:t>
            </w:r>
          </w:p>
        </w:tc>
        <w:tc>
          <w:tcPr>
            <w:tcW w:w="2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43,912</w:t>
            </w:r>
          </w:p>
        </w:tc>
        <w:tc>
          <w:tcPr>
            <w:tcW w:w="0" w:type="dxa"/>
            <w:vAlign w:val="bottom"/>
          </w:tcPr>
          <w:p>
            <w:pPr>
              <w:spacing w:after="0"/>
              <w:rPr>
                <w:sz w:val="1"/>
                <w:szCs w:val="1"/>
                <w:color w:val="auto"/>
              </w:rPr>
            </w:pPr>
          </w:p>
        </w:tc>
      </w:tr>
      <w:tr>
        <w:trPr>
          <w:trHeight w:val="21"/>
        </w:trPr>
        <w:tc>
          <w:tcPr>
            <w:tcW w:w="72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Earnings per common share:</w:t>
            </w: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740"/>
              <w:spacing w:after="0"/>
              <w:rPr>
                <w:sz w:val="20"/>
                <w:szCs w:val="20"/>
                <w:color w:val="auto"/>
              </w:rPr>
            </w:pPr>
            <w:r>
              <w:rPr>
                <w:rFonts w:ascii="Arial" w:cs="Arial" w:eastAsia="Arial" w:hAnsi="Arial"/>
                <w:sz w:val="18"/>
                <w:szCs w:val="18"/>
                <w:color w:val="auto"/>
              </w:rPr>
              <w:t>Basic</w:t>
            </w:r>
          </w:p>
        </w:tc>
        <w:tc>
          <w:tcPr>
            <w:tcW w:w="1060" w:type="dxa"/>
            <w:vAlign w:val="bottom"/>
            <w:gridSpan w:val="2"/>
          </w:tcPr>
          <w:p>
            <w:pPr>
              <w:jc w:val="right"/>
              <w:ind w:right="87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30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7220" w:type="dxa"/>
            <w:vAlign w:val="bottom"/>
            <w:vMerge w:val="restart"/>
          </w:tcPr>
          <w:p>
            <w:pPr>
              <w:ind w:left="74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87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vMerge w:val="continue"/>
          </w:tcPr>
          <w:p>
            <w:pPr>
              <w:spacing w:after="0"/>
              <w:rPr>
                <w:sz w:val="18"/>
                <w:szCs w:val="18"/>
                <w:color w:val="auto"/>
              </w:rPr>
            </w:pPr>
          </w:p>
        </w:tc>
        <w:tc>
          <w:tcPr>
            <w:tcW w:w="1080" w:type="dxa"/>
            <w:vAlign w:val="bottom"/>
            <w:tcBorders>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Mergers and Acquisitions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June 1, 2007, United acquired 100 percent of the outstanding common shares of Gwinnett Commercial Group, Inc. (Gwinnett), a community bank holding company headquartered in Lawrenceville, Georgia. Gwinnett’s results of operations are included in consolidated financial results from the acquisition date. Gwinnett was the parent company of First Bank of the South, a community bank with five full service banking offices serving the north metro Atlanta counties of Gwinnett, DeKalb and north Fulton and a commercial loan office in Walton County. United has continued to expand its presence in metropolitan Atlanta and the acquisition of Gwinnett accomplished a long-standing strategic goal of encircling metro Atlanta. Additionally, Gwinnett brings strong commercial lending experience to better diversify United’s business mix. The aggregate purchase price was approximately $222.9 million, including 5,691,948 shares of United’s common stock and $31.5 million in cash that was exchanged for all of the outstanding common shares and options to purchase common shares of Gwinnett. The value of the common stock issued of $33.62 per share was determined based on the average of the closing market price of United’s common shares over the period beginning two days before and ending two days after the terms of the acquisition were agreed to and announced.</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information below presents the pro forma earnings of United assuming that the results of operations of Gwinnett were included in consolidated earnings for the three months ended March 31.</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Three Months Ended</w:t>
            </w:r>
          </w:p>
        </w:tc>
      </w:tr>
      <w:tr>
        <w:trPr>
          <w:trHeight w:val="241"/>
        </w:trPr>
        <w:tc>
          <w:tcPr>
            <w:tcW w:w="3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3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Total revenue</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72,453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82,709</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22,498</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March 31, 2008, accrued merger costs of $608,000 remained unpaid relating to acquisitions closed in 2007, 2006 and 2004. The severance and related costs include change of control payments for which payment had been deferred.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ind w:left="1140"/>
              <w:spacing w:after="0"/>
              <w:rPr>
                <w:sz w:val="20"/>
                <w:szCs w:val="20"/>
                <w:color w:val="auto"/>
              </w:rPr>
            </w:pPr>
            <w:r>
              <w:rPr>
                <w:rFonts w:ascii="Arial" w:cs="Arial" w:eastAsia="Arial" w:hAnsi="Arial"/>
                <w:sz w:val="18"/>
                <w:szCs w:val="18"/>
                <w:b w:val="1"/>
                <w:bCs w:val="1"/>
                <w:color w:val="auto"/>
              </w:rPr>
              <w:t>Activity with accrued merger cost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140"/>
              <w:spacing w:after="0"/>
              <w:rPr>
                <w:sz w:val="20"/>
                <w:szCs w:val="20"/>
                <w:color w:val="auto"/>
              </w:rPr>
            </w:pPr>
            <w:r>
              <w:rPr>
                <w:rFonts w:ascii="Arial" w:cs="Arial" w:eastAsia="Arial" w:hAnsi="Arial"/>
                <w:sz w:val="18"/>
                <w:szCs w:val="18"/>
                <w:b w:val="1"/>
                <w:bCs w:val="1"/>
                <w:color w:val="auto"/>
              </w:rPr>
              <w:t>For the Three Months Ended March 31, 2008</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Beginning</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7"/>
              </w:rPr>
              <w:t>Amounts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Ending</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Paid</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Balance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60" w:type="dxa"/>
            <w:vAlign w:val="bottom"/>
          </w:tcPr>
          <w:p>
            <w:pPr>
              <w:ind w:left="1140"/>
              <w:spacing w:after="0"/>
              <w:rPr>
                <w:sz w:val="20"/>
                <w:szCs w:val="20"/>
                <w:color w:val="auto"/>
              </w:rPr>
            </w:pPr>
            <w:r>
              <w:rPr>
                <w:rFonts w:ascii="Arial" w:cs="Arial" w:eastAsia="Arial" w:hAnsi="Arial"/>
                <w:sz w:val="18"/>
                <w:szCs w:val="18"/>
                <w:color w:val="auto"/>
              </w:rPr>
              <w:t>Severance and related costs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2,481</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(1,877)</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140"/>
              <w:spacing w:after="0"/>
              <w:rPr>
                <w:sz w:val="20"/>
                <w:szCs w:val="20"/>
                <w:color w:val="auto"/>
              </w:rPr>
            </w:pPr>
            <w:r>
              <w:rPr>
                <w:rFonts w:ascii="Arial" w:cs="Arial" w:eastAsia="Arial" w:hAnsi="Arial"/>
                <w:sz w:val="18"/>
                <w:szCs w:val="18"/>
                <w:color w:val="auto"/>
              </w:rPr>
              <w:t>Professional fees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vMerge w:val="restart"/>
          </w:tcPr>
          <w:p>
            <w:pPr>
              <w:ind w:left="1140"/>
              <w:spacing w:after="0"/>
              <w:rPr>
                <w:sz w:val="20"/>
                <w:szCs w:val="20"/>
                <w:color w:val="auto"/>
              </w:rPr>
            </w:pPr>
            <w:r>
              <w:rPr>
                <w:rFonts w:ascii="Arial" w:cs="Arial" w:eastAsia="Arial" w:hAnsi="Arial"/>
                <w:sz w:val="18"/>
                <w:szCs w:val="18"/>
                <w:color w:val="auto"/>
              </w:rPr>
              <w:t>Totals</w:t>
            </w:r>
          </w:p>
        </w:tc>
        <w:tc>
          <w:tcPr>
            <w:tcW w:w="12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1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6 - Assets and Liabilities Measured at Fair Value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January 1, 2008, United adopted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SFAS No. 157 defines fair value, establishes a framework for measuring fair value, and expands disclosures about fair value measurements. SFAS No. 157 applies to reported balances that are required or permitted to be measured at fair value under existing accounting pronouncements; accordingly, the standard does not require any new fair value measurements of reported balances.</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SFAS No. 157 emphasizes that 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SFAS No. 157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56" w:lineRule="exact"/>
        <w:rPr>
          <w:sz w:val="20"/>
          <w:szCs w:val="20"/>
          <w:color w:val="auto"/>
        </w:rPr>
      </w:pPr>
    </w:p>
    <w:p>
      <w:pPr>
        <w:ind w:left="54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52" w:lineRule="exact"/>
        <w:rPr>
          <w:sz w:val="20"/>
          <w:szCs w:val="20"/>
          <w:color w:val="auto"/>
        </w:rPr>
      </w:pPr>
    </w:p>
    <w:p>
      <w:pPr>
        <w:jc w:val="both"/>
        <w:ind w:left="1260" w:hanging="715"/>
        <w:spacing w:after="0" w:line="264" w:lineRule="auto"/>
        <w:tabs>
          <w:tab w:leader="none" w:pos="1240" w:val="left"/>
        </w:tabs>
        <w:rPr>
          <w:sz w:val="20"/>
          <w:szCs w:val="20"/>
          <w:color w:val="auto"/>
        </w:rPr>
      </w:pPr>
      <w:r>
        <w:rPr>
          <w:rFonts w:ascii="Arial" w:cs="Arial" w:eastAsia="Arial" w:hAnsi="Arial"/>
          <w:sz w:val="18"/>
          <w:szCs w:val="18"/>
          <w:color w:val="auto"/>
        </w:rPr>
        <w:t>Level 2</w:t>
        <w:tab/>
        <w:t>Valuation is based upon quoted prices for similar assets and liabilities in active markets, as well as inputs that are observable for the asset or liability (other than quoted prices), such as interest rates, foreign exchange rates, and yield curves that are observable at commonly quoted intervals.</w:t>
      </w:r>
    </w:p>
    <w:p>
      <w:pPr>
        <w:spacing w:after="0" w:line="208" w:lineRule="exact"/>
        <w:rPr>
          <w:sz w:val="20"/>
          <w:szCs w:val="20"/>
          <w:color w:val="auto"/>
        </w:rPr>
      </w:pPr>
    </w:p>
    <w:p>
      <w:pPr>
        <w:jc w:val="both"/>
        <w:ind w:left="1260" w:hanging="701"/>
        <w:spacing w:after="0" w:line="255" w:lineRule="auto"/>
        <w:tabs>
          <w:tab w:leader="none" w:pos="1240" w:val="left"/>
        </w:tabs>
        <w:rPr>
          <w:sz w:val="20"/>
          <w:szCs w:val="20"/>
          <w:color w:val="auto"/>
        </w:rPr>
      </w:pPr>
      <w:r>
        <w:rPr>
          <w:rFonts w:ascii="Arial" w:cs="Arial" w:eastAsia="Arial" w:hAnsi="Arial"/>
          <w:sz w:val="18"/>
          <w:szCs w:val="18"/>
          <w:color w:val="auto"/>
        </w:rPr>
        <w:t>Level 3</w:t>
        <w:tab/>
        <w:t>Valuation is generated from model-based techniques that use at least one significant assumption based on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valuation methodologies used for assets and liabilities recorded at fair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Available for Sale</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Assets and Liabilities</w:t>
      </w:r>
    </w:p>
    <w:p>
      <w:pPr>
        <w:spacing w:after="0" w:line="25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Loans held for sale are carried at the lower of cost or market value. The fair value of loans held for sale is based on what secondary markets are currently offering for portfolios with similar characteristics. As such, United classifies loans subjected to nonrecurring fair value adjustments as Level 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Loans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in accordance with SFAS 114, “Accounting by Creditors for Impairment of a Loan,” (SFAS 114). The fair value of impaired loans is estimated using one of several methods, including collateral value, market value of similar debt, enterprise value, liquidation value and discounted cash flows. Those impaired loans not requiring an allowance represent loans for which the fair value of the expected repayments or collateral exceed the recorded investments in such loans. At March 31, 2008, substantially all of the total impaired loans were evaluated based on the fair value of the collateral. In accordance with SFAS 157,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Foreclosed Assets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Foreclosed assets are adjusted to fair value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Currently, 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SFAS No. 157,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impact of netting and any applicable credit enhancements, such as collateral postings, thresholds, mutual puts, and guarantees.</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March 31, 2008, United has assessed the significance of the impact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presents United’s assets and liabilities measured at fair value on a recurring basis as of March 31, 2008, aggregated by the level in the fair value hierarchy within which those measurements fall.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18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March 31, 2008</w:t>
            </w:r>
          </w:p>
        </w:tc>
        <w:tc>
          <w:tcPr>
            <w:tcW w:w="0" w:type="dxa"/>
            <w:vAlign w:val="bottom"/>
          </w:tcPr>
          <w:p>
            <w:pPr>
              <w:spacing w:after="0"/>
              <w:rPr>
                <w:sz w:val="1"/>
                <w:szCs w:val="1"/>
                <w:color w:val="auto"/>
              </w:rPr>
            </w:pPr>
          </w:p>
        </w:tc>
      </w:tr>
      <w:tr>
        <w:trPr>
          <w:trHeight w:val="202"/>
        </w:trPr>
        <w:tc>
          <w:tcPr>
            <w:tcW w:w="458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Securities available for sale</w:t>
            </w:r>
          </w:p>
        </w:tc>
        <w:tc>
          <w:tcPr>
            <w:tcW w:w="40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1,508,402</w:t>
            </w:r>
          </w:p>
        </w:tc>
        <w:tc>
          <w:tcPr>
            <w:tcW w:w="10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1,508,402</w:t>
            </w: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37"/>
        </w:trPr>
        <w:tc>
          <w:tcPr>
            <w:tcW w:w="458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48,454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48,454</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1,556,856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340"/>
              <w:spacing w:after="0"/>
              <w:rPr>
                <w:sz w:val="20"/>
                <w:szCs w:val="20"/>
                <w:color w:val="auto"/>
              </w:rPr>
            </w:pPr>
            <w:r>
              <w:rPr>
                <w:rFonts w:ascii="Arial" w:cs="Arial" w:eastAsia="Arial" w:hAnsi="Arial"/>
                <w:sz w:val="18"/>
                <w:szCs w:val="18"/>
                <w:color w:val="auto"/>
              </w:rPr>
              <w:t>Deferred compensation plan liability</w:t>
            </w:r>
          </w:p>
        </w:tc>
        <w:tc>
          <w:tcPr>
            <w:tcW w:w="40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4,884</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United may be required, from time to time, to measure certain assets at fair value on a nonrecurring basis in accordance with U.S. Generally Accepted Accounting Principles. These include assets that are measured at the lower of cost or market that were recognized at fair value below cost at the end of the period. The table below presents United’s assets and liabilities measured at fair value on a nonrecurring basis as of March 31, 2008, aggregated by the level in the fair value hierarchy within which those measurements fall.</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18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March 31, 2008</w:t>
            </w:r>
          </w:p>
        </w:tc>
        <w:tc>
          <w:tcPr>
            <w:tcW w:w="0" w:type="dxa"/>
            <w:vAlign w:val="bottom"/>
          </w:tcPr>
          <w:p>
            <w:pPr>
              <w:spacing w:after="0"/>
              <w:rPr>
                <w:sz w:val="1"/>
                <w:szCs w:val="1"/>
                <w:color w:val="auto"/>
              </w:rPr>
            </w:pPr>
          </w:p>
        </w:tc>
      </w:tr>
      <w:tr>
        <w:trPr>
          <w:trHeight w:val="229"/>
        </w:trPr>
        <w:tc>
          <w:tcPr>
            <w:tcW w:w="45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Loans</w:t>
            </w:r>
          </w:p>
        </w:tc>
        <w:tc>
          <w:tcPr>
            <w:tcW w:w="40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44,749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44,749</w:t>
            </w:r>
          </w:p>
        </w:tc>
        <w:tc>
          <w:tcPr>
            <w:tcW w:w="0" w:type="dxa"/>
            <w:vAlign w:val="bottom"/>
          </w:tcPr>
          <w:p>
            <w:pPr>
              <w:spacing w:after="0"/>
              <w:rPr>
                <w:sz w:val="1"/>
                <w:szCs w:val="1"/>
                <w:color w:val="auto"/>
              </w:rPr>
            </w:pPr>
          </w:p>
        </w:tc>
      </w:tr>
      <w:tr>
        <w:trPr>
          <w:trHeight w:val="237"/>
        </w:trPr>
        <w:tc>
          <w:tcPr>
            <w:tcW w:w="4580" w:type="dxa"/>
            <w:vAlign w:val="bottom"/>
          </w:tcPr>
          <w:p>
            <w:pPr>
              <w:ind w:left="340"/>
              <w:spacing w:after="0"/>
              <w:rPr>
                <w:sz w:val="20"/>
                <w:szCs w:val="20"/>
                <w:color w:val="auto"/>
              </w:rPr>
            </w:pPr>
            <w:r>
              <w:rPr>
                <w:rFonts w:ascii="Arial" w:cs="Arial" w:eastAsia="Arial" w:hAnsi="Arial"/>
                <w:sz w:val="18"/>
                <w:szCs w:val="18"/>
                <w:color w:val="auto"/>
              </w:rPr>
              <w:t>Foreclosed assets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Recent Accounting Pronouncements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2007, the Financial Accounting Standards Board (“FASB”) issued Statement of Financial Accounting Standards No. 159 (SFAS No. 159),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for Financial Assets and Financial Liabilities—including an amendment of FASB Statement No. 115</w:t>
      </w:r>
      <w:r>
        <w:rPr>
          <w:rFonts w:ascii="Arial" w:cs="Arial" w:eastAsia="Arial" w:hAnsi="Arial"/>
          <w:sz w:val="17"/>
          <w:szCs w:val="17"/>
          <w:color w:val="auto"/>
        </w:rPr>
        <w:t>. This statement permits entities to choose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is expected to expand the use of fair value measurement, which is consistent with the FASB’s long-term measurement objective for accounting for financial instruments. This statement became effective for United beginning January 1, 2008. United chose not to apply fair value measurements to any financial instruments in accordance with SFAS No. 159, and therefore, the adoption of this standard did not have a material effect on United’s financial position, results of operations or disclosures.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forward-looking statements regarding United Community Banks, Inc. (“United”), including, without limitation, statements relating to United’s expectations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192" w:lineRule="exact"/>
        <w:rPr>
          <w:sz w:val="20"/>
          <w:szCs w:val="20"/>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operating results may not be indicative of future operating results;</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the success of the local economies in which we operate;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concentration of construction and land development loans is subject to unique risks that could adversely affect our earnings;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risks with respect to future expansion and acquisitions or mergers;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 our earnings would decrease;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subject to losses due to fraudulent and negligent conduct of our loan customers, third party service providers or employees;</w:t>
      </w:r>
    </w:p>
    <w:p>
      <w:pPr>
        <w:spacing w:after="0" w:line="20" w:lineRule="exact"/>
        <w:rPr>
          <w:rFonts w:ascii="Arial" w:cs="Arial" w:eastAsia="Arial" w:hAnsi="Arial"/>
          <w:sz w:val="17"/>
          <w:szCs w:val="17"/>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may adversely affect our profitability;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increases, productivity gains and other investments are lower than expected or do not occur as quickly as anticipated;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 among financial services companies increase significantly;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business strategy;</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strength of the United States economy in general changes;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 monetary and fiscal policies and laws, including interest rate policies of the Board of Governors of the Federal Reserve System, change;</w:t>
      </w:r>
    </w:p>
    <w:p>
      <w:pPr>
        <w:spacing w:after="0" w:line="32" w:lineRule="exact"/>
        <w:rPr>
          <w:rFonts w:ascii="Arial" w:cs="Arial" w:eastAsia="Arial" w:hAnsi="Arial"/>
          <w:sz w:val="16"/>
          <w:szCs w:val="16"/>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or market conditions fluctuate;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stock market, the public debt market and other capital markets deteriorate;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services laws and regulations change;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changes and United fails to adapt to those changes;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spending and saving habits change;</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regulatory or judicial proceedings occur;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United is unsuccessful at managing the risks involved in the foregoing.</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and its subsidiaries and should be read in conjunction with the consolidated financial statements and accompanying notes.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March 31, 2008, United had total consolidated assets of $8.4 billion, total loans of $6.0 billion, total deposits of $6.2 billion and stockholders’ equity of $871.5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activities are primarily conducted by its wholly-owned Georgia banking subsidiary (the “Bank”) and Brintech, Inc., a consulting firm providing professional services to the financial services industry. The Bank operations are conducted under a community bank model that operates 27 “Community Banks” with local bank presidents and boards in north Georgia, the Atlanta and Gainesville metropolitan statistical area (the “Atlanta Region”), coastal Georgia, western North Carolina, and east Tennessee.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was $16.1 million during the first quarter of 2008, a decrease of 17% from the $19.3 million during the first quarter of 2007. Diluted earnings per common share was $.34 for the first quarter of 2008, a decrease of 23% from the $.44 for the first quarter of 2007. Return on tangible equity for the first quarter of 2008 was 13.16%, compared to 17.18% for the first quarter of 2007. Return on assets for the first quarter of 2008 was .78% as compared to 1.11% for the first quarter of 2007.</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Earnings decreased primarily as a result of higher credit costs and margin compression due to competitive deposit pricing and higher levels of non-performing assets. Housing starts have slowed significantly, leading to a surplus of lot inventory in our footprint, most notably in the Atlanta Region. This increase in lot inventory negatively affects both the cash flows of our residential construction and land development customers, and the demand for new land development loans.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Nonperforming assets increased to 1.07% of total assets as of March 31, 2008, a significant increase from .20% as of March 31, 2007. This increase is a reflection of the downstream effects of the lot inventory buildup in the Atlanta Region, which itself is indicative of the regional economic slowdown that is occurring in much of the Southeast. To date, the rise in nonperforming assets has been mostly confined to the residential construction portfolio and predominantly within the Atlanta Region.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revenue was flat and operating expenses increased 6% from the first quarter of 2007. Operating expenses increased across most categories primarily due to the acquisition of First Bank of the South (“Gwinnett”) in June, 2007, the higher level of legal fees and write downs on foreclosed properties, and the increase in FDIC insurance premiums.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and accounting for intangible assets. In particular, United’s accounting policies related to allowance for loan losses and intangibles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Performance Measures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presentation of United’s financial results herein include references to operating performance measures, which are measures of performance determined by methods other than GAAP. Management included non-GAAP performance measures because it believes they are useful for evaluating United’s operations and performance over periods of time, and uses operating performance measures in managing and evaluating United’s business and intends to use them in discussions about United’s operations and performance.</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Operating performance measures exclude the effect of the special $15 million fraud-related provision for loan losses recorded in the second quarter of 2007 and an additional $3 million provision and $18 million in related charge-offs in the fourth quarter of 2007 involving lot loans near Spruce Pine, North Carolina. Management believes that the circumstances leading to the special provision and subsequent charge-offs were isolated, non-recurring events and do not reflect overall trends in United’s performance. Management also believes that these non-GAAP performance measures provide users of United’s financial information with a meaningful measure for assessing United’s financial results and credit trends and comparing financial results to prior periods.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reconciliation of operating earnings measures to reported earnings measures using GAAP is presented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Operating Earnings to GAAP Earnings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92"/>
              </w:rPr>
              <w:t>First</w:t>
            </w: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4"/>
              </w:rPr>
              <w:t>Fourth</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rPr>
              <w:t>Third</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2"/>
              </w:rPr>
              <w:t>Second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Quarter</w:t>
            </w: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Quarter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500" w:type="dxa"/>
            <w:vAlign w:val="bottom"/>
          </w:tcPr>
          <w:p>
            <w:pPr>
              <w:spacing w:after="0"/>
              <w:rPr>
                <w:sz w:val="20"/>
                <w:szCs w:val="20"/>
                <w:color w:val="auto"/>
              </w:rPr>
            </w:pPr>
            <w:r>
              <w:rPr>
                <w:rFonts w:ascii="Arial" w:cs="Arial" w:eastAsia="Arial" w:hAnsi="Arial"/>
                <w:sz w:val="18"/>
                <w:szCs w:val="18"/>
                <w:color w:val="auto"/>
              </w:rPr>
              <w:t>Special provision for fraud related loan losses</w:t>
            </w:r>
          </w:p>
        </w:tc>
        <w:tc>
          <w:tcPr>
            <w:tcW w:w="4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24"/>
                <w:szCs w:val="24"/>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500" w:type="dxa"/>
            <w:vAlign w:val="bottom"/>
          </w:tcPr>
          <w:p>
            <w:pPr>
              <w:spacing w:after="0"/>
              <w:rPr>
                <w:sz w:val="20"/>
                <w:szCs w:val="20"/>
                <w:color w:val="auto"/>
              </w:rPr>
            </w:pPr>
            <w:r>
              <w:rPr>
                <w:rFonts w:ascii="Arial" w:cs="Arial" w:eastAsia="Arial" w:hAnsi="Arial"/>
                <w:sz w:val="18"/>
                <w:szCs w:val="18"/>
                <w:color w:val="auto"/>
              </w:rPr>
              <w:t>Income tax effect of special provision</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1,167</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After-tax effect of special provision</w:t>
            </w:r>
          </w:p>
        </w:tc>
        <w:tc>
          <w:tcPr>
            <w:tcW w:w="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Net Income Reconciliation</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Operating net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16,078</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6,034</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22,536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21,076</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After-tax effect of special provision and merger-related charges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(1,833)</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Net income (GAAP)</w:t>
            </w:r>
          </w:p>
        </w:tc>
        <w:tc>
          <w:tcPr>
            <w:tcW w:w="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 Reconciliation</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Basic operating earnings per share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Per share effect of special provision and merger-related charges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Basic earnings per share (GAAP)</w:t>
            </w:r>
          </w:p>
        </w:tc>
        <w:tc>
          <w:tcPr>
            <w:tcW w:w="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 Reconciliation</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Diluted operating earnings per share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Per share effect of special provision and merger-related charges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Diluted earnings per share (GAAP)</w:t>
            </w:r>
          </w:p>
        </w:tc>
        <w:tc>
          <w:tcPr>
            <w:tcW w:w="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Loan Losses Reconciliation</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Operating provision for loan losses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26,500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Special provision for fraud related loan losses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Provision for loan losses (GAAP)</w:t>
            </w:r>
          </w:p>
        </w:tc>
        <w:tc>
          <w:tcPr>
            <w:tcW w:w="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Nonperforming Assets Reconciliation</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Nonperforming assets excluding fraud-related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85,182</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40,956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39,761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19,968</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Fraud-related loans and OREO included in nonperforming assets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23,576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23,633</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Nonperforming assets (GAAP)</w:t>
            </w:r>
          </w:p>
        </w:tc>
        <w:tc>
          <w:tcPr>
            <w:tcW w:w="4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89,864</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46,258</w:t>
            </w:r>
          </w:p>
        </w:tc>
        <w:tc>
          <w:tcPr>
            <w:tcW w:w="28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Allowance for Loan Losses Reconciliation</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Allowance for loan losses excluding special fraud-related allowance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89,848</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89,423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75,935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77,471</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Fraud-related allowance for loan losses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Allowance for loan losses (GAAP)</w:t>
            </w:r>
          </w:p>
        </w:tc>
        <w:tc>
          <w:tcPr>
            <w:tcW w:w="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89,848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89,423</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90,935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Net Charge Offs Reconciliation</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charge offs excluding charge off of fraud-related loans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7,075</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13,012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Fraud-related loans charged off</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Net charge offs (GAAP)</w:t>
            </w:r>
          </w:p>
        </w:tc>
        <w:tc>
          <w:tcPr>
            <w:tcW w:w="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Allowance for Loan Losses to Loans Ratio Reconciliation</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w w:val="93"/>
              </w:rPr>
              <w:t>Allowance for loan losses to loans ratio excluding fraud-related allowance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Portion of allowance assigned to fraud-related loans</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Allowance for loan losses to loans ratio (GAAP)</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Nonperforming Assets to Total Assets Ratio Reconciliation</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w w:val="94"/>
              </w:rPr>
              <w:t>Nonperforming assets to total assets ratio excluding fraud-related assets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Fraud-related nonperforming assets</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Nonperforming assets to total assets ratio (GAAP)</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Net Charge Offs to Average Loans Ratio Reconciliation</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charge offs to average loans ratio excluding fraud-related loans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Charge offs of fraud-related loans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180"/>
              <w:spacing w:after="0"/>
              <w:rPr>
                <w:sz w:val="20"/>
                <w:szCs w:val="20"/>
                <w:color w:val="auto"/>
              </w:rPr>
            </w:pPr>
            <w:r>
              <w:rPr>
                <w:rFonts w:ascii="Arial" w:cs="Arial" w:eastAsia="Arial" w:hAnsi="Arial"/>
                <w:sz w:val="18"/>
                <w:szCs w:val="18"/>
                <w:color w:val="auto"/>
              </w:rPr>
              <w:t>Net charge offs to average loans ratio (GAAP)</w:t>
            </w: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697"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Table 2 -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First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2007</w:t>
            </w: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Arial" w:cs="Arial" w:eastAsia="Arial" w:hAnsi="Arial"/>
                <w:sz w:val="18"/>
                <w:szCs w:val="18"/>
                <w:i w:val="1"/>
                <w:iCs w:val="1"/>
                <w:color w:val="auto"/>
              </w:rPr>
              <w:t>(in thousands, except per share</w:t>
            </w: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First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Fourth</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Third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Second</w:t>
            </w:r>
          </w:p>
        </w:tc>
        <w:tc>
          <w:tcPr>
            <w:tcW w:w="180" w:type="dxa"/>
            <w:vAlign w:val="bottom"/>
          </w:tcPr>
          <w:p>
            <w:pPr>
              <w:spacing w:after="0"/>
              <w:rPr>
                <w:sz w:val="17"/>
                <w:szCs w:val="17"/>
                <w:color w:val="auto"/>
              </w:rPr>
            </w:pPr>
          </w:p>
        </w:tc>
        <w:tc>
          <w:tcPr>
            <w:tcW w:w="94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2008-2007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80" w:type="dxa"/>
            <w:vAlign w:val="bottom"/>
          </w:tcPr>
          <w:p>
            <w:pPr>
              <w:spacing w:after="0"/>
              <w:rPr>
                <w:sz w:val="20"/>
                <w:szCs w:val="20"/>
                <w:color w:val="auto"/>
              </w:rPr>
            </w:pPr>
            <w:r>
              <w:rPr>
                <w:rFonts w:ascii="Arial" w:cs="Arial" w:eastAsia="Arial" w:hAnsi="Arial"/>
                <w:sz w:val="18"/>
                <w:szCs w:val="18"/>
                <w:i w:val="1"/>
                <w:iCs w:val="1"/>
                <w:color w:val="auto"/>
              </w:rPr>
              <w:t>data; taxable equivalent)</w:t>
            </w:r>
          </w:p>
        </w:tc>
        <w:tc>
          <w:tcPr>
            <w:tcW w:w="160" w:type="dxa"/>
            <w:vAlign w:val="bottom"/>
          </w:tcPr>
          <w:p>
            <w:pPr>
              <w:spacing w:after="0"/>
              <w:rPr>
                <w:sz w:val="20"/>
                <w:szCs w:val="20"/>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8"/>
              </w:rPr>
              <w:t>Quarter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02"/>
        </w:trPr>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INCOME SUMMARY</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Interest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129,041</w:t>
            </w:r>
          </w:p>
        </w:tc>
        <w:tc>
          <w:tcPr>
            <w:tcW w:w="20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140,768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144,884</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136,237</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129,028</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62,754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71,038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73,203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68,270</w:t>
            </w: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63,923</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340"/>
              <w:spacing w:after="0" w:line="202" w:lineRule="exact"/>
              <w:rPr>
                <w:sz w:val="20"/>
                <w:szCs w:val="20"/>
                <w:color w:val="auto"/>
              </w:rPr>
            </w:pPr>
            <w:r>
              <w:rPr>
                <w:rFonts w:ascii="Arial" w:cs="Arial" w:eastAsia="Arial" w:hAnsi="Arial"/>
                <w:sz w:val="18"/>
                <w:szCs w:val="18"/>
                <w:color w:val="auto"/>
              </w:rPr>
              <w:t>Net interest revenue</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66,287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69,730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71,681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67,967</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65,105</w:t>
            </w:r>
          </w:p>
        </w:tc>
        <w:tc>
          <w:tcPr>
            <w:tcW w:w="2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180" w:type="dxa"/>
            <w:vAlign w:val="bottom"/>
          </w:tcPr>
          <w:p>
            <w:pPr>
              <w:spacing w:after="0" w:line="229" w:lineRule="exact"/>
              <w:rPr>
                <w:sz w:val="20"/>
                <w:szCs w:val="20"/>
                <w:color w:val="auto"/>
              </w:rPr>
            </w:pPr>
            <w:r>
              <w:rPr>
                <w:rFonts w:ascii="Arial" w:cs="Arial" w:eastAsia="Arial" w:hAnsi="Arial"/>
                <w:sz w:val="18"/>
                <w:szCs w:val="18"/>
                <w:color w:val="auto"/>
              </w:rPr>
              <w:t xml:space="preserve">Provision for loan losses </w:t>
            </w:r>
            <w:r>
              <w:rPr>
                <w:rFonts w:ascii="Arial" w:cs="Arial" w:eastAsia="Arial" w:hAnsi="Arial"/>
                <w:sz w:val="25"/>
                <w:szCs w:val="25"/>
                <w:color w:val="auto"/>
                <w:vertAlign w:val="superscript"/>
              </w:rPr>
              <w:t>(1)</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26,500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3,700</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Fee revenue</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14,197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16,100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15,615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16,554</w:t>
            </w: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14,382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180" w:type="dxa"/>
            <w:vAlign w:val="bottom"/>
          </w:tcPr>
          <w:p>
            <w:pPr>
              <w:ind w:left="340"/>
              <w:spacing w:after="0" w:line="201" w:lineRule="exact"/>
              <w:rPr>
                <w:sz w:val="20"/>
                <w:szCs w:val="20"/>
                <w:color w:val="auto"/>
              </w:rPr>
            </w:pPr>
            <w:r>
              <w:rPr>
                <w:rFonts w:ascii="Arial" w:cs="Arial" w:eastAsia="Arial" w:hAnsi="Arial"/>
                <w:sz w:val="18"/>
                <w:szCs w:val="18"/>
                <w:b w:val="1"/>
                <w:bCs w:val="1"/>
                <w:color w:val="auto"/>
              </w:rPr>
              <w:t>Total operating revenue</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72,984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59,330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83,596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80,821</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75,787</w:t>
            </w:r>
          </w:p>
        </w:tc>
        <w:tc>
          <w:tcPr>
            <w:tcW w:w="280" w:type="dxa"/>
            <w:vAlign w:val="bottom"/>
          </w:tcPr>
          <w:p>
            <w:pPr>
              <w:spacing w:after="0"/>
              <w:rPr>
                <w:sz w:val="17"/>
                <w:szCs w:val="17"/>
                <w:color w:val="auto"/>
              </w:rPr>
            </w:pPr>
          </w:p>
        </w:tc>
        <w:tc>
          <w:tcPr>
            <w:tcW w:w="12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47,529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49,336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48,182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47,702</w:t>
            </w: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44,841</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3180" w:type="dxa"/>
            <w:vAlign w:val="bottom"/>
          </w:tcPr>
          <w:p>
            <w:pPr>
              <w:ind w:left="340"/>
              <w:spacing w:after="0" w:line="201" w:lineRule="exact"/>
              <w:rPr>
                <w:sz w:val="20"/>
                <w:szCs w:val="20"/>
                <w:color w:val="auto"/>
              </w:rPr>
            </w:pPr>
            <w:r>
              <w:rPr>
                <w:rFonts w:ascii="Arial" w:cs="Arial" w:eastAsia="Arial" w:hAnsi="Arial"/>
                <w:sz w:val="18"/>
                <w:szCs w:val="18"/>
                <w:color w:val="auto"/>
              </w:rPr>
              <w:t>Income before taxes</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25,455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9,994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35,414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33,119</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30,946</w:t>
            </w:r>
          </w:p>
        </w:tc>
        <w:tc>
          <w:tcPr>
            <w:tcW w:w="280" w:type="dxa"/>
            <w:vAlign w:val="bottom"/>
          </w:tcPr>
          <w:p>
            <w:pPr>
              <w:spacing w:after="0"/>
              <w:rPr>
                <w:sz w:val="17"/>
                <w:szCs w:val="17"/>
                <w:color w:val="auto"/>
              </w:rPr>
            </w:pPr>
          </w:p>
        </w:tc>
        <w:tc>
          <w:tcPr>
            <w:tcW w:w="12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9,377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3,960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12,878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12,043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11,601</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340"/>
              <w:spacing w:after="0" w:line="202" w:lineRule="exact"/>
              <w:rPr>
                <w:sz w:val="20"/>
                <w:szCs w:val="20"/>
                <w:color w:val="auto"/>
              </w:rPr>
            </w:pPr>
            <w:r>
              <w:rPr>
                <w:rFonts w:ascii="Arial" w:cs="Arial" w:eastAsia="Arial" w:hAnsi="Arial"/>
                <w:sz w:val="18"/>
                <w:szCs w:val="18"/>
                <w:b w:val="1"/>
                <w:bCs w:val="1"/>
                <w:color w:val="auto"/>
              </w:rPr>
              <w:t>Net operating income</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16,078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6,034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22,536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21,076</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19,345</w:t>
            </w:r>
          </w:p>
        </w:tc>
        <w:tc>
          <w:tcPr>
            <w:tcW w:w="28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1"/>
        </w:trPr>
        <w:tc>
          <w:tcPr>
            <w:tcW w:w="3180" w:type="dxa"/>
            <w:vAlign w:val="bottom"/>
          </w:tcPr>
          <w:p>
            <w:pPr>
              <w:spacing w:after="0" w:line="244" w:lineRule="exact"/>
              <w:rPr>
                <w:sz w:val="20"/>
                <w:szCs w:val="20"/>
                <w:color w:val="auto"/>
              </w:rPr>
            </w:pPr>
            <w:r>
              <w:rPr>
                <w:rFonts w:ascii="Arial" w:cs="Arial" w:eastAsia="Arial" w:hAnsi="Arial"/>
                <w:sz w:val="18"/>
                <w:szCs w:val="18"/>
                <w:color w:val="auto"/>
              </w:rPr>
              <w:t xml:space="preserve">Fraud loss provision, net of tax </w:t>
            </w:r>
            <w:r>
              <w:rPr>
                <w:rFonts w:ascii="Arial" w:cs="Arial" w:eastAsia="Arial" w:hAnsi="Arial"/>
                <w:sz w:val="25"/>
                <w:szCs w:val="25"/>
                <w:color w:val="auto"/>
                <w:vertAlign w:val="superscript"/>
              </w:rPr>
              <w:t>(1)</w:t>
            </w: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9,165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16,078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2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19,345</w:t>
            </w:r>
          </w:p>
        </w:tc>
        <w:tc>
          <w:tcPr>
            <w:tcW w:w="2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OPERATING PERFORMANCE </w:t>
            </w:r>
            <w:r>
              <w:rPr>
                <w:rFonts w:ascii="Arial" w:cs="Arial" w:eastAsia="Arial" w:hAnsi="Arial"/>
                <w:sz w:val="25"/>
                <w:szCs w:val="25"/>
                <w:color w:val="auto"/>
                <w:vertAlign w:val="superscript"/>
              </w:rPr>
              <w:t>(1)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Earnings per common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180" w:type="dxa"/>
            <w:vAlign w:val="bottom"/>
          </w:tcPr>
          <w:p>
            <w:pPr>
              <w:spacing w:after="0" w:line="229" w:lineRule="exact"/>
              <w:rPr>
                <w:sz w:val="20"/>
                <w:szCs w:val="20"/>
                <w:color w:val="auto"/>
              </w:rPr>
            </w:pPr>
            <w:r>
              <w:rPr>
                <w:rFonts w:ascii="Arial" w:cs="Arial" w:eastAsia="Arial" w:hAnsi="Arial"/>
                <w:sz w:val="18"/>
                <w:szCs w:val="18"/>
                <w:color w:val="auto"/>
              </w:rPr>
              <w:t xml:space="preserve">Return on tangible equity </w:t>
            </w:r>
            <w:r>
              <w:rPr>
                <w:rFonts w:ascii="Arial" w:cs="Arial" w:eastAsia="Arial" w:hAnsi="Arial"/>
                <w:sz w:val="25"/>
                <w:szCs w:val="25"/>
                <w:color w:val="auto"/>
                <w:vertAlign w:val="superscript"/>
              </w:rPr>
              <w:t>(2)(3)(4)</w:t>
            </w:r>
          </w:p>
        </w:tc>
        <w:tc>
          <w:tcPr>
            <w:tcW w:w="16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13.16%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17.54%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17.52%</w:t>
            </w: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17.18%</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line="229" w:lineRule="exact"/>
              <w:rPr>
                <w:sz w:val="20"/>
                <w:szCs w:val="20"/>
                <w:color w:val="auto"/>
              </w:rPr>
            </w:pPr>
            <w:r>
              <w:rPr>
                <w:rFonts w:ascii="Arial" w:cs="Arial" w:eastAsia="Arial" w:hAnsi="Arial"/>
                <w:sz w:val="18"/>
                <w:szCs w:val="18"/>
                <w:color w:val="auto"/>
              </w:rPr>
              <w:t xml:space="preserve">Return on assets </w:t>
            </w:r>
            <w:r>
              <w:rPr>
                <w:rFonts w:ascii="Arial" w:cs="Arial" w:eastAsia="Arial" w:hAnsi="Arial"/>
                <w:sz w:val="25"/>
                <w:szCs w:val="25"/>
                <w:color w:val="auto"/>
                <w:vertAlign w:val="superscript"/>
              </w:rPr>
              <w:t>(4)</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Dividend payout ratio</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26.47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69.23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19.15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b w:val="1"/>
                <w:bCs w:val="1"/>
                <w:color w:val="auto"/>
              </w:rPr>
              <w:t>GAAP PERFORMANCE MEASURES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Per common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8"/>
                <w:szCs w:val="18"/>
                <w:color w:val="auto"/>
              </w:rPr>
              <w:t>Basic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8"/>
                <w:szCs w:val="18"/>
                <w:color w:val="auto"/>
              </w:rPr>
              <w:t>Diluted earnings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8"/>
                <w:szCs w:val="18"/>
                <w:color w:val="auto"/>
              </w:rPr>
              <w:t>Cash dividends declared</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8"/>
                <w:szCs w:val="18"/>
                <w:color w:val="auto"/>
              </w:rPr>
              <w:t>Book value</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14.82</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9"/>
        </w:trPr>
        <w:tc>
          <w:tcPr>
            <w:tcW w:w="3180" w:type="dxa"/>
            <w:vAlign w:val="bottom"/>
          </w:tcPr>
          <w:p>
            <w:pPr>
              <w:ind w:left="34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5"/>
                <w:szCs w:val="25"/>
                <w:color w:val="auto"/>
                <w:vertAlign w:val="superscript"/>
              </w:rPr>
              <w:t>(3)</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10.92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11.05</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33"/>
        </w:trPr>
        <w:tc>
          <w:tcPr>
            <w:tcW w:w="3180" w:type="dxa"/>
            <w:vAlign w:val="bottom"/>
          </w:tcPr>
          <w:p>
            <w:pPr>
              <w:ind w:left="180"/>
              <w:spacing w:after="0"/>
              <w:rPr>
                <w:sz w:val="20"/>
                <w:szCs w:val="20"/>
                <w:color w:val="auto"/>
              </w:rPr>
            </w:pPr>
            <w:r>
              <w:rPr>
                <w:rFonts w:ascii="Arial" w:cs="Arial" w:eastAsia="Arial" w:hAnsi="Arial"/>
                <w:sz w:val="18"/>
                <w:szCs w:val="18"/>
                <w:color w:val="auto"/>
              </w:rPr>
              <w:t>Key performance ratios: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340"/>
              <w:spacing w:after="0" w:line="229"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5"/>
                <w:szCs w:val="25"/>
                <w:color w:val="auto"/>
                <w:vertAlign w:val="superscript"/>
              </w:rPr>
              <w:t>(2)(4)</w:t>
            </w:r>
          </w:p>
        </w:tc>
        <w:tc>
          <w:tcPr>
            <w:tcW w:w="16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7.85%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10.66%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8"/>
                <w:szCs w:val="18"/>
                <w:color w:val="auto"/>
              </w:rPr>
              <w:t>Return on assets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340"/>
              <w:spacing w:after="0" w:line="229"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5"/>
                <w:szCs w:val="25"/>
                <w:color w:val="auto"/>
                <w:vertAlign w:val="superscript"/>
              </w:rPr>
              <w:t>(4)</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3.99</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40"/>
              <w:spacing w:after="0"/>
              <w:rPr>
                <w:sz w:val="20"/>
                <w:szCs w:val="20"/>
                <w:color w:val="auto"/>
              </w:rPr>
            </w:pPr>
            <w:r>
              <w:rPr>
                <w:rFonts w:ascii="Arial" w:cs="Arial" w:eastAsia="Arial" w:hAnsi="Arial"/>
                <w:sz w:val="18"/>
                <w:szCs w:val="18"/>
                <w:color w:val="auto"/>
              </w:rPr>
              <w:t>Efficiency ratio</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59.05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57.67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56.56</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340"/>
              <w:spacing w:after="0"/>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25"/>
                <w:szCs w:val="25"/>
                <w:color w:val="auto"/>
                <w:vertAlign w:val="superscript"/>
              </w:rPr>
              <w:t>(3)</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6.66</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180" w:type="dxa"/>
            <w:vAlign w:val="bottom"/>
          </w:tcPr>
          <w:p>
            <w:pPr>
              <w:spacing w:after="0"/>
              <w:rPr>
                <w:sz w:val="20"/>
                <w:szCs w:val="20"/>
                <w:color w:val="auto"/>
              </w:rPr>
            </w:pPr>
            <w:r>
              <w:rPr>
                <w:rFonts w:ascii="Arial" w:cs="Arial" w:eastAsia="Arial" w:hAnsi="Arial"/>
                <w:sz w:val="18"/>
                <w:szCs w:val="18"/>
                <w:b w:val="1"/>
                <w:bCs w:val="1"/>
                <w:color w:val="auto"/>
              </w:rPr>
              <w:t>ASSET QUALITY</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89,848</w:t>
            </w:r>
          </w:p>
        </w:tc>
        <w:tc>
          <w:tcPr>
            <w:tcW w:w="20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89,423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90,935</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92,471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68,804</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Net charge-offs </w:t>
            </w:r>
            <w:r>
              <w:rPr>
                <w:rFonts w:ascii="Arial" w:cs="Arial" w:eastAsia="Arial" w:hAnsi="Arial"/>
                <w:sz w:val="25"/>
                <w:szCs w:val="25"/>
                <w:color w:val="auto"/>
                <w:vertAlign w:val="superscript"/>
              </w:rPr>
              <w:t>(1)</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7,075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13,012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5,236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1,462</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67,728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28,219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46,783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30,849</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12,319</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180"/>
              <w:spacing w:after="0"/>
              <w:rPr>
                <w:sz w:val="20"/>
                <w:szCs w:val="20"/>
                <w:color w:val="auto"/>
              </w:rPr>
            </w:pPr>
            <w:r>
              <w:rPr>
                <w:rFonts w:ascii="Arial" w:cs="Arial" w:eastAsia="Arial" w:hAnsi="Arial"/>
                <w:sz w:val="18"/>
                <w:szCs w:val="18"/>
                <w:color w:val="auto"/>
              </w:rPr>
              <w:t>OREO</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22,136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18,039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16,554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12,752</w:t>
            </w: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1,971</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340"/>
              <w:spacing w:after="0" w:line="202" w:lineRule="exact"/>
              <w:rPr>
                <w:sz w:val="20"/>
                <w:szCs w:val="20"/>
                <w:color w:val="auto"/>
              </w:rPr>
            </w:pPr>
            <w:r>
              <w:rPr>
                <w:rFonts w:ascii="Arial" w:cs="Arial" w:eastAsia="Arial" w:hAnsi="Arial"/>
                <w:sz w:val="18"/>
                <w:szCs w:val="18"/>
                <w:color w:val="auto"/>
              </w:rPr>
              <w:t>Total non-performing assets</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89,864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46,258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63,337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43,601</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14,290</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Allowance for loan losses to loans </w:t>
            </w:r>
            <w:r>
              <w:rPr>
                <w:rFonts w:ascii="Arial" w:cs="Arial" w:eastAsia="Arial" w:hAnsi="Arial"/>
                <w:sz w:val="25"/>
                <w:szCs w:val="25"/>
                <w:color w:val="auto"/>
                <w:vertAlign w:val="superscript"/>
              </w:rPr>
              <w:t>(1)</w:t>
            </w:r>
          </w:p>
        </w:tc>
        <w:tc>
          <w:tcPr>
            <w:tcW w:w="16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line="229" w:lineRule="exact"/>
              <w:rPr>
                <w:sz w:val="20"/>
                <w:szCs w:val="20"/>
                <w:color w:val="auto"/>
              </w:rPr>
            </w:pPr>
            <w:r>
              <w:rPr>
                <w:rFonts w:ascii="Arial" w:cs="Arial" w:eastAsia="Arial" w:hAnsi="Arial"/>
                <w:sz w:val="18"/>
                <w:szCs w:val="18"/>
                <w:color w:val="auto"/>
                <w:w w:val="97"/>
              </w:rPr>
              <w:t xml:space="preserve">Net charge-offs to average loans </w:t>
            </w:r>
            <w:r>
              <w:rPr>
                <w:rFonts w:ascii="Arial" w:cs="Arial" w:eastAsia="Arial" w:hAnsi="Arial"/>
                <w:sz w:val="25"/>
                <w:szCs w:val="25"/>
                <w:color w:val="auto"/>
                <w:w w:val="97"/>
                <w:vertAlign w:val="superscript"/>
              </w:rPr>
              <w:t>(1)(4)</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Non-performing assets to loans and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OREO</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w w:val="99"/>
              </w:rPr>
              <w:t>Non-performing assets to total assets</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b w:val="1"/>
                <w:bCs w:val="1"/>
                <w:color w:val="auto"/>
              </w:rPr>
              <w:t>AVERAGE BALANCES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5,958,296</w:t>
            </w:r>
          </w:p>
        </w:tc>
        <w:tc>
          <w:tcPr>
            <w:tcW w:w="20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5,940,230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5,966,933</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5,619,950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5,402,860</w:t>
            </w: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1,485,515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1,404,796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1,308,192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1,242,448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1,153,208</w:t>
            </w: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Earning assets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7,491,480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7,424,992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7,332,492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6,915,134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6,599,035</w:t>
            </w: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8,305,621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8,210,120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8,083,739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7,519,392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7,092,710</w:t>
            </w: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6,051,069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6,151,476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6,246,319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5,945,633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5,764,426</w:t>
            </w: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855,659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837,195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834,094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672,348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624,100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Common shares - basic</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46,966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47,203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48,348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44,949</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43,000</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Common shares - diluted</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47,272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47,652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48,977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45,761</w:t>
            </w: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43,912</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80" w:type="dxa"/>
            <w:vAlign w:val="bottom"/>
          </w:tcPr>
          <w:p>
            <w:pPr>
              <w:spacing w:after="0"/>
              <w:rPr>
                <w:sz w:val="20"/>
                <w:szCs w:val="20"/>
                <w:color w:val="auto"/>
              </w:rPr>
            </w:pPr>
            <w:r>
              <w:rPr>
                <w:rFonts w:ascii="Arial" w:cs="Arial" w:eastAsia="Arial" w:hAnsi="Arial"/>
                <w:sz w:val="18"/>
                <w:szCs w:val="18"/>
                <w:b w:val="1"/>
                <w:bCs w:val="1"/>
                <w:color w:val="auto"/>
              </w:rPr>
              <w:t>AT PERIOD END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5,967,839</w:t>
            </w:r>
          </w:p>
        </w:tc>
        <w:tc>
          <w:tcPr>
            <w:tcW w:w="20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5,929,263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5,952,749</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5,999,093</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5,402,198</w:t>
            </w: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1,508,402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1,356,846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1,296,826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1,213,659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1,150,424</w:t>
            </w: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8,386,255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8,207,302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8,180,600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8,087,667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7,186,602</w:t>
            </w: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6,175,769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6,075,951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6,154,308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6,361,269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5,841,687</w:t>
            </w: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871,452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831,902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833,761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828,731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638,456</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Common shares outstanding</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47,004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46,903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47,542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48,781</w:t>
            </w:r>
          </w:p>
        </w:tc>
        <w:tc>
          <w:tcPr>
            <w:tcW w:w="1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43,038</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4" w:right="259" w:bottom="0" w:gutter="0" w:footer="0" w:header="0"/>
        </w:sectPr>
      </w:pPr>
    </w:p>
    <w:bookmarkStart w:id="17" w:name="page18"/>
    <w:bookmarkEnd w:id="17"/>
    <w:p>
      <w:pPr>
        <w:ind w:left="-8" w:firstLine="8"/>
        <w:spacing w:after="0" w:line="227" w:lineRule="auto"/>
        <w:tabs>
          <w:tab w:leader="none" w:pos="202"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Excludes effect of special $15 million fraud related provision for loan losses recorded in the second quarter of 2007 and an additional $3 million provision and $18 million of related loan charge-offs recorded in the fourth quarter of 2007.</w:t>
      </w:r>
    </w:p>
    <w:p>
      <w:pPr>
        <w:spacing w:after="0" w:line="215" w:lineRule="exact"/>
        <w:rPr>
          <w:rFonts w:ascii="Arial" w:cs="Arial" w:eastAsia="Arial" w:hAnsi="Arial"/>
          <w:sz w:val="24"/>
          <w:szCs w:val="24"/>
          <w:color w:val="auto"/>
          <w:vertAlign w:val="superscript"/>
        </w:rPr>
      </w:pPr>
    </w:p>
    <w:p>
      <w:pPr>
        <w:ind w:left="-8" w:right="260" w:firstLine="8"/>
        <w:spacing w:after="0" w:line="227" w:lineRule="auto"/>
        <w:tabs>
          <w:tab w:leader="none" w:pos="202"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Net income available to common shareholders, which excludes preferred stock dividends, divided by average realized common equity, which excludes accumulated other comprehensive income (loss).</w:t>
      </w:r>
    </w:p>
    <w:p>
      <w:pPr>
        <w:spacing w:after="0" w:line="158" w:lineRule="exact"/>
        <w:rPr>
          <w:rFonts w:ascii="Arial" w:cs="Arial" w:eastAsia="Arial" w:hAnsi="Arial"/>
          <w:sz w:val="24"/>
          <w:szCs w:val="24"/>
          <w:color w:val="auto"/>
          <w:vertAlign w:val="superscript"/>
        </w:rPr>
      </w:pPr>
    </w:p>
    <w:p>
      <w:pPr>
        <w:ind w:left="212" w:hanging="212"/>
        <w:spacing w:after="0"/>
        <w:tabs>
          <w:tab w:leader="none" w:pos="212"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Excludes effect of acquisition related intangibles and associated amortization.</w:t>
      </w:r>
    </w:p>
    <w:p>
      <w:pPr>
        <w:spacing w:after="0" w:line="158" w:lineRule="exact"/>
        <w:rPr>
          <w:rFonts w:ascii="Arial" w:cs="Arial" w:eastAsia="Arial" w:hAnsi="Arial"/>
          <w:sz w:val="25"/>
          <w:szCs w:val="25"/>
          <w:color w:val="auto"/>
          <w:vertAlign w:val="superscript"/>
        </w:rPr>
      </w:pPr>
    </w:p>
    <w:p>
      <w:pPr>
        <w:ind w:left="212" w:hanging="212"/>
        <w:spacing w:after="0"/>
        <w:tabs>
          <w:tab w:leader="none" w:pos="212"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Annualized.</w:t>
      </w:r>
    </w:p>
    <w:p>
      <w:pPr>
        <w:spacing w:after="0" w:line="22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382"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was $16.1 million for the first quarter of 2008, a decrease of $3.3 million, or 17%, from the same period in 2007. Diluted operating earnings per share was $.34 for the first quarter of 2008, compared to $.44 for the first quarter of 2007, a decrease of 23%. Return on tangible equity for the first quarter of 2008 was 13.16%, compared to 17.18% for the first quarter of 2007. Return on assets for the first quarter of 2008 was .78%, compared to 1.11% for the first quarter of 2007.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Net interest revenue for the three months ended March 31, 2008 was $66.3 million, up $1.2 million or 2% from last year. Average loans increased $555.4 million, or 10% from the first quarter last year. The increase over the first quarter of 2007 was driven primarily by assets acquired in the acquisition of First Bank of the South (“Gwinnett Acquisition”) in the second quarter of 2007. Overall, United had loan growth across all its markets with increases of $378.0 million in the Atlanta Region (includes $534 million from the Gwinnett Acquisition offset partially by reductions in construction loans), $66.9 million in coastal Georgia, $60.7 million in north Georgia, $34.5 million in western North Carolina, and $25.6 million in east Tennessee.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interest-earning assets for the first quarter 2008 increased $892.4 million, or 14% over the same period in 2007. This increase is largely the result of the Gwinnett Acquisition, with additional increases provided by core loan growth and leveraging additional earnings by increasing the securities portfolio. These increases in interest-earning assets were funded by interest-bearing sources, resulting in increases in average interest-bearing liabilities of $930.6 million as compared to the same period in 2007.</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defined as net interest revenue as a percent of average total interest-earning assets and takes into account the positive effect of investing non-interest-bearing deposits and capital.</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months ended March 31, 2008 and 2007, the net interest spread was 3.15% and 3.43%, respectively, while the net interest margin was 3.55% and 3.99%, respectively. The compression of the spread and margin was primarily due to the 300 basis point lowering of the prime rate initiated by actions of the Federal Reserve beginning in September 2007 combined with increased competition for deposits which hampered the rate at which deposit prices could be lowered to offset the effect of the decline in the prime interest rate on the mostly prime-based loan portfolio. Also contributing to the lower spread and net interest margin was the higher level of non-performing assets and a shift in earning-asset mix resulting from growth in the securities portfolio.</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March 31, 2008 and 2007, United had receive-fixed swap contracts with a total notional value of $680 million and $505 million respectively, which are used to reduce United’s exposure to changes in interest rates that were accounted for as cash flow hedges of prime-based loans. United also had receive-fixed swap contracts with a total notional amount of $105 million and $45 million that are being accounted for as fair value hedges of brokered time deposits and fixed rate Federal Home Loan Bank advances. In addition to the swap contracts, United has purchased interest rate floors having a total notional amount of $500 million for which it paid premiums totaling $13 million that are being accounted for as cash flow hedges of daily repricing, prime-based loans. The use of swap contracts is more fully explained in the Interest Rate Sensitivity Management section of this report beginning on page 24.</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average yield on interest-earning assets for the first quarter of 2008 was 6.92%, compared with 7.92% in the first quarter of 2007. Loan yields were down 118 basis points compared with the first quarter of 2007, primarily due to the 300 basis point decrease in the prime rate since September 2007.</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average cost of interest-bearing liabilities for the first quarter was 3.77%, compared to 4.49% from the same period of 2007. Even as the cost of borrowed funds decreased 182 basis points compared with the first quarter of 2007, the cost of interest-bearing deposits only decreased 58 basis points in the same timeframe. Deposit pricing decreased less than borrowed funds because while index interest rates were dropping, increasing competition for deposits kept deposit pricing at higher levels in relation to the cost to borrow funds.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March 31, 2008 and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Avg.</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Avg.</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r>
              <w:rPr>
                <w:rFonts w:ascii="Arial" w:cs="Arial" w:eastAsia="Arial" w:hAnsi="Arial"/>
                <w:sz w:val="18"/>
                <w:szCs w:val="18"/>
                <w:i w:val="1"/>
                <w:iCs w:val="1"/>
                <w:color w:val="auto"/>
                <w:w w:val="95"/>
              </w:rPr>
              <w:t>(dollars in thousands, taxable equivalent)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Rate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02"/>
        </w:trPr>
        <w:tc>
          <w:tcPr>
            <w:tcW w:w="3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5"/>
                <w:szCs w:val="25"/>
                <w:color w:val="auto"/>
                <w:vertAlign w:val="superscript"/>
              </w:rPr>
              <w:t>(1)(2)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5,958,296</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109,252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5,402,860</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113,868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5"/>
                <w:szCs w:val="25"/>
                <w:color w:val="auto"/>
                <w:vertAlign w:val="superscript"/>
              </w:rPr>
              <w:t>(3)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1,448,224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18,628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1,109,847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13,968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9"/>
        </w:trPr>
        <w:tc>
          <w:tcPr>
            <w:tcW w:w="316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5"/>
                <w:szCs w:val="25"/>
                <w:color w:val="auto"/>
                <w:vertAlign w:val="superscript"/>
              </w:rPr>
              <w:t>(1)(3)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37,291</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43,361</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w w:val="98"/>
              </w:rPr>
              <w:t>Federal funds sold and other interest-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earning assets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47,669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42,967</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31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Total interest-earning assets</w:t>
            </w: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7,491,480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129,041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6,599,035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129,028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(92,025)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(68,187)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154,706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120,637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181,355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146,832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160" w:type="dxa"/>
            <w:vAlign w:val="bottom"/>
          </w:tcPr>
          <w:p>
            <w:pPr>
              <w:ind w:left="180"/>
              <w:spacing w:after="0" w:line="244"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570,105</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294,393</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8,305,621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7,092,710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NOW</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1,462,116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8,587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1,322,818</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10,627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Money market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439,049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2,913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261,753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2,540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Savings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184,812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175,275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Time less than $100,000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1,553,313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18,223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1,641,507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19,796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Time greater than $100,000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1,365,307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16,370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1,385,401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17,916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Brokered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374,402</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4,291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334,753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3,913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3160" w:type="dxa"/>
            <w:vAlign w:val="bottom"/>
          </w:tcPr>
          <w:p>
            <w:pPr>
              <w:ind w:left="34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5,378,999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50,611</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5,121,507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55,101</w:t>
            </w:r>
          </w:p>
        </w:tc>
        <w:tc>
          <w:tcPr>
            <w:tcW w:w="2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418"/>
        </w:trPr>
        <w:tc>
          <w:tcPr>
            <w:tcW w:w="3160" w:type="dxa"/>
            <w:vAlign w:val="bottom"/>
          </w:tcPr>
          <w:p>
            <w:pPr>
              <w:ind w:left="180"/>
              <w:spacing w:after="0"/>
              <w:rPr>
                <w:sz w:val="20"/>
                <w:szCs w:val="20"/>
                <w:color w:val="auto"/>
              </w:rPr>
            </w:pPr>
            <w:r>
              <w:rPr>
                <w:rFonts w:ascii="Arial" w:cs="Arial" w:eastAsia="Arial" w:hAnsi="Arial"/>
                <w:sz w:val="18"/>
                <w:szCs w:val="18"/>
                <w:color w:val="auto"/>
              </w:rPr>
              <w:t>Federal funds purchased and other</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551,812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4,318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139,256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1,817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661,498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5,745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395,746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4,801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107,996</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2,080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113,234</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2,204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3"/>
        </w:trPr>
        <w:tc>
          <w:tcPr>
            <w:tcW w:w="3160" w:type="dxa"/>
            <w:vAlign w:val="bottom"/>
          </w:tcPr>
          <w:p>
            <w:pPr>
              <w:ind w:left="340"/>
              <w:spacing w:after="0"/>
              <w:rPr>
                <w:sz w:val="20"/>
                <w:szCs w:val="20"/>
                <w:color w:val="auto"/>
              </w:rPr>
            </w:pPr>
            <w:r>
              <w:rPr>
                <w:rFonts w:ascii="Arial" w:cs="Arial" w:eastAsia="Arial" w:hAnsi="Arial"/>
                <w:sz w:val="18"/>
                <w:szCs w:val="18"/>
                <w:color w:val="auto"/>
              </w:rPr>
              <w:t>Total borrowed funds</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1,321,306</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12,143</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648,236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8,822</w:t>
            </w:r>
          </w:p>
        </w:tc>
        <w:tc>
          <w:tcPr>
            <w:tcW w:w="2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439"/>
        </w:trPr>
        <w:tc>
          <w:tcPr>
            <w:tcW w:w="3160" w:type="dxa"/>
            <w:vAlign w:val="bottom"/>
          </w:tcPr>
          <w:p>
            <w:pPr>
              <w:ind w:left="340"/>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6,700,305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62,754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5,769,743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63,923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672,070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642,919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77,587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55,948</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60" w:type="dxa"/>
            <w:vAlign w:val="bottom"/>
          </w:tcPr>
          <w:p>
            <w:pPr>
              <w:ind w:left="340"/>
              <w:spacing w:after="0" w:line="201"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7,449,962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6,468,610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855,659</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624,100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340"/>
              <w:spacing w:after="0" w:line="198" w:lineRule="exact"/>
              <w:rPr>
                <w:sz w:val="20"/>
                <w:szCs w:val="20"/>
                <w:color w:val="auto"/>
              </w:rPr>
            </w:pPr>
            <w:r>
              <w:rPr>
                <w:rFonts w:ascii="Arial" w:cs="Arial" w:eastAsia="Arial" w:hAnsi="Arial"/>
                <w:sz w:val="18"/>
                <w:szCs w:val="18"/>
                <w:b w:val="1"/>
                <w:bCs w:val="1"/>
                <w:color w:val="auto"/>
                <w:w w:val="98"/>
              </w:rPr>
              <w:t>Total liabilities and shareholders'</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8,305,621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7,092,710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66,287</w:t>
            </w: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65,105</w:t>
            </w: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160" w:type="dxa"/>
            <w:vAlign w:val="bottom"/>
            <w:vMerge w:val="restart"/>
          </w:tcPr>
          <w:p>
            <w:pPr>
              <w:spacing w:after="0"/>
              <w:rPr>
                <w:sz w:val="20"/>
                <w:szCs w:val="20"/>
                <w:color w:val="auto"/>
              </w:rPr>
            </w:pPr>
            <w:r>
              <w:rPr>
                <w:rFonts w:ascii="Arial" w:cs="Arial" w:eastAsia="Arial" w:hAnsi="Arial"/>
                <w:sz w:val="18"/>
                <w:szCs w:val="18"/>
                <w:color w:val="auto"/>
              </w:rPr>
              <w:t>Net interest-rate spread</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5"/>
                <w:szCs w:val="25"/>
                <w:color w:val="auto"/>
                <w:vertAlign w:val="superscript"/>
              </w:rPr>
              <w:t>(4)</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80" w:right="1000" w:hanging="172"/>
        <w:spacing w:after="0" w:line="227" w:lineRule="auto"/>
        <w:tabs>
          <w:tab w:leader="none" w:pos="21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220" w:hanging="212"/>
        <w:spacing w:after="0" w:line="191" w:lineRule="auto"/>
        <w:tabs>
          <w:tab w:leader="none" w:pos="2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Included in the average balance of loans outstanding are loans where the accrual of interest has been discontinued.</w:t>
      </w:r>
    </w:p>
    <w:p>
      <w:pPr>
        <w:spacing w:after="0" w:line="15" w:lineRule="exact"/>
        <w:rPr>
          <w:rFonts w:ascii="Arial" w:cs="Arial" w:eastAsia="Arial" w:hAnsi="Arial"/>
          <w:sz w:val="25"/>
          <w:szCs w:val="25"/>
          <w:color w:val="auto"/>
          <w:vertAlign w:val="superscript"/>
        </w:rPr>
      </w:pPr>
    </w:p>
    <w:p>
      <w:pPr>
        <w:ind w:left="180" w:right="840" w:hanging="172"/>
        <w:spacing w:after="0" w:line="219" w:lineRule="auto"/>
        <w:tabs>
          <w:tab w:leader="none" w:pos="21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Securities available for sale are shown at amortized cost. Pretax unrealized gains of $15.9 million in 2008 and pretax unrealized losses of $10.0 million in 2007 are included in other assets for purposes of this presentation.</w:t>
      </w:r>
    </w:p>
    <w:p>
      <w:pPr>
        <w:ind w:left="220" w:hanging="212"/>
        <w:spacing w:after="0" w:line="191" w:lineRule="auto"/>
        <w:tabs>
          <w:tab w:leader="none" w:pos="2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045" w:gutter="0" w:footer="0" w:header="0"/>
        </w:sectPr>
      </w:pPr>
    </w:p>
    <w:bookmarkStart w:id="20" w:name="page21"/>
    <w:bookmarkEnd w:id="20"/>
    <w:p>
      <w:pPr>
        <w:jc w:val="both"/>
        <w:ind w:firstLine="48"/>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204" w:lineRule="exact"/>
        <w:rPr>
          <w:sz w:val="20"/>
          <w:szCs w:val="20"/>
          <w:color w:val="auto"/>
        </w:rPr>
      </w:pPr>
    </w:p>
    <w:p>
      <w:pPr>
        <w:ind w:left="1140" w:right="4060"/>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gridSpan w:val="10"/>
          </w:tcPr>
          <w:p>
            <w:pPr>
              <w:jc w:val="center"/>
              <w:ind w:right="280"/>
              <w:spacing w:after="0"/>
              <w:rPr>
                <w:sz w:val="20"/>
                <w:szCs w:val="20"/>
                <w:color w:val="auto"/>
              </w:rPr>
            </w:pPr>
            <w:r>
              <w:rPr>
                <w:rFonts w:ascii="Arial" w:cs="Arial" w:eastAsia="Arial" w:hAnsi="Arial"/>
                <w:sz w:val="18"/>
                <w:szCs w:val="18"/>
                <w:b w:val="1"/>
                <w:bCs w:val="1"/>
                <w:color w:val="auto"/>
                <w:w w:val="91"/>
              </w:rPr>
              <w:t>Three Months Ended March 31, 2008</w:t>
            </w:r>
          </w:p>
        </w:tc>
      </w:tr>
      <w:tr>
        <w:trPr>
          <w:trHeight w:val="216"/>
        </w:trPr>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Compared to 2007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Volume</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Interest-earning assets:</w:t>
            </w: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Loans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11,034</w:t>
            </w:r>
          </w:p>
        </w:tc>
        <w:tc>
          <w:tcPr>
            <w:tcW w:w="12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(15,650)</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(4,616)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Taxable securities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4,660</w:t>
            </w: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Tax-exempt securities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Federal funds sold and other interest-earning assets</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r>
      <w:tr>
        <w:trPr>
          <w:trHeight w:val="223"/>
        </w:trPr>
        <w:tc>
          <w:tcPr>
            <w:tcW w:w="5120" w:type="dxa"/>
            <w:vAlign w:val="bottom"/>
          </w:tcPr>
          <w:p>
            <w:pPr>
              <w:ind w:left="340"/>
              <w:spacing w:after="0"/>
              <w:rPr>
                <w:sz w:val="20"/>
                <w:szCs w:val="20"/>
                <w:color w:val="auto"/>
              </w:rPr>
            </w:pPr>
            <w:r>
              <w:rPr>
                <w:rFonts w:ascii="Arial" w:cs="Arial" w:eastAsia="Arial" w:hAnsi="Arial"/>
                <w:sz w:val="18"/>
                <w:szCs w:val="18"/>
                <w:b w:val="1"/>
                <w:bCs w:val="1"/>
                <w:color w:val="auto"/>
              </w:rPr>
              <w:t>Total interest-earning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r>
      <w:tr>
        <w:trPr>
          <w:trHeight w:val="418"/>
        </w:trPr>
        <w:tc>
          <w:tcPr>
            <w:tcW w:w="51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NOW accounts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(3,074)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(2,040)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(977)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Savings deposits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Time deposits less than $100,000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(529)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(1,573)</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(1,289)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(1,546)</w:t>
            </w: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Brokered deposits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20"/>
                <w:szCs w:val="20"/>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Total interest-bearing deposits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60" w:type="dxa"/>
            <w:vAlign w:val="bottom"/>
          </w:tcPr>
          <w:p>
            <w:pPr>
              <w:spacing w:after="0"/>
              <w:rPr>
                <w:sz w:val="19"/>
                <w:szCs w:val="19"/>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rPr>
              <w:t>Federal funds purchased &amp; other borrowings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3,485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(984)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2,501</w:t>
            </w:r>
          </w:p>
        </w:tc>
        <w:tc>
          <w:tcPr>
            <w:tcW w:w="60" w:type="dxa"/>
            <w:vAlign w:val="bottom"/>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(1,636)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18"/>
                <w:szCs w:val="18"/>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Total borrowed funds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60" w:type="dxa"/>
            <w:vAlign w:val="bottom"/>
          </w:tcPr>
          <w:p>
            <w:pPr>
              <w:spacing w:after="0"/>
              <w:rPr>
                <w:sz w:val="19"/>
                <w:szCs w:val="19"/>
                <w:color w:val="auto"/>
              </w:rPr>
            </w:pPr>
          </w:p>
        </w:tc>
      </w:tr>
      <w:tr>
        <w:trPr>
          <w:trHeight w:val="223"/>
        </w:trPr>
        <w:tc>
          <w:tcPr>
            <w:tcW w:w="5120" w:type="dxa"/>
            <w:vAlign w:val="bottom"/>
          </w:tcPr>
          <w:p>
            <w:pPr>
              <w:ind w:left="340"/>
              <w:spacing w:after="0"/>
              <w:rPr>
                <w:sz w:val="20"/>
                <w:szCs w:val="20"/>
                <w:color w:val="auto"/>
              </w:rPr>
            </w:pPr>
            <w:r>
              <w:rPr>
                <w:rFonts w:ascii="Arial" w:cs="Arial" w:eastAsia="Arial" w:hAnsi="Arial"/>
                <w:sz w:val="18"/>
                <w:szCs w:val="18"/>
                <w:b w:val="1"/>
                <w:bCs w:val="1"/>
                <w:color w:val="auto"/>
              </w:rPr>
              <w:t>Total interest-bearing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9"/>
                <w:szCs w:val="19"/>
                <w:color w:val="auto"/>
              </w:rPr>
            </w:pPr>
          </w:p>
        </w:tc>
      </w:tr>
      <w:tr>
        <w:trPr>
          <w:trHeight w:val="432"/>
        </w:trPr>
        <w:tc>
          <w:tcPr>
            <w:tcW w:w="5120" w:type="dxa"/>
            <w:vAlign w:val="bottom"/>
          </w:tcPr>
          <w:p>
            <w:pPr>
              <w:ind w:left="500"/>
              <w:spacing w:after="0"/>
              <w:rPr>
                <w:sz w:val="20"/>
                <w:szCs w:val="20"/>
                <w:color w:val="auto"/>
              </w:rPr>
            </w:pPr>
            <w:r>
              <w:rPr>
                <w:rFonts w:ascii="Arial" w:cs="Arial" w:eastAsia="Arial" w:hAnsi="Arial"/>
                <w:sz w:val="18"/>
                <w:szCs w:val="18"/>
                <w:b w:val="1"/>
                <w:bCs w:val="1"/>
                <w:color w:val="auto"/>
              </w:rPr>
              <w:t>Increase in net interest revenue</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7,807</w:t>
            </w:r>
          </w:p>
        </w:tc>
        <w:tc>
          <w:tcPr>
            <w:tcW w:w="120" w:type="dxa"/>
            <w:vAlign w:val="bottom"/>
          </w:tcPr>
          <w:p>
            <w:pPr>
              <w:spacing w:after="0"/>
              <w:rPr>
                <w:sz w:val="24"/>
                <w:szCs w:val="2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(6,625)</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1,182</w:t>
            </w:r>
          </w:p>
        </w:tc>
        <w:tc>
          <w:tcPr>
            <w:tcW w:w="60" w:type="dxa"/>
            <w:vAlign w:val="bottom"/>
          </w:tcPr>
          <w:p>
            <w:pPr>
              <w:spacing w:after="0"/>
              <w:rPr>
                <w:sz w:val="24"/>
                <w:szCs w:val="24"/>
                <w:color w:val="auto"/>
              </w:rPr>
            </w:pPr>
          </w:p>
        </w:tc>
      </w:tr>
      <w:tr>
        <w:trPr>
          <w:trHeight w:val="21"/>
        </w:trPr>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provision for loan losses was $7.5 million for the first quarter of 2008, compared with $3.7 million for the same period in 2007. Net loan charge-offs as an annualized percentage of average outstanding loans for the three months ended March 31, 2008 was .48%, compared to .11% for the first quarter of 2007. As vacant developed lot inventories have increased within our footprint, notably in the Atlanta Region, it has made it difficult for some developers to obtain cash flows from selling lots and houses that were needed to service their debt. This is part of the deteriorating of the residential construction and housing markets that has affected the Southeast and resulted in higher credit losses and an increase in non-performing assets.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loan losses is based on management’s evaluation of losses inherent in the loan portfolio and corresponding analysis of the allowance for loan losses at quarter-end. The amount of provision taken in the first quarter is the amount required such that the total allowance for loan losses reflects, in the estimation of management, the appropriate balance and is adequate to cover inherent losses in the loan portfolio. Additional discussion on loan quality and the allowance for loan losses is included in the Asset Quality section of this report.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Fee revenue for the first quarter 2008 was $14.2 million, a decrease of $185,000, or 1%, from 2007. Fee revenue accounted for 19% of taxable equivalent total revenue for the first quarter of 2008 and 2007. United continues to focus on increasing fee revenue through new products and services. The following table presents the components of fee revenue for the first quarter of 2008 and 2007.</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20"/>
        </w:trPr>
        <w:tc>
          <w:tcPr>
            <w:tcW w:w="3820" w:type="dxa"/>
            <w:vAlign w:val="bottom"/>
          </w:tcPr>
          <w:p>
            <w:pPr>
              <w:spacing w:after="0"/>
              <w:rPr>
                <w:sz w:val="20"/>
                <w:szCs w:val="20"/>
                <w:color w:val="auto"/>
              </w:rPr>
            </w:pPr>
            <w:r>
              <w:rPr>
                <w:rFonts w:ascii="Arial" w:cs="Arial" w:eastAsia="Arial" w:hAnsi="Arial"/>
                <w:sz w:val="18"/>
                <w:szCs w:val="18"/>
                <w:b w:val="1"/>
                <w:bCs w:val="1"/>
                <w:color w:val="auto"/>
              </w:rPr>
              <w:t>Table 5 - Fee Revenue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 the Three Months Ended March 31,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20"/>
                <w:szCs w:val="20"/>
                <w:color w:val="auto"/>
              </w:rPr>
            </w:pPr>
          </w:p>
        </w:tc>
        <w:tc>
          <w:tcPr>
            <w:tcW w:w="2520" w:type="dxa"/>
            <w:vAlign w:val="bottom"/>
            <w:gridSpan w:val="5"/>
            <w:vMerge w:val="restart"/>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5"/>
            <w:vMerge w:val="continue"/>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2007</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820" w:type="dxa"/>
            <w:vAlign w:val="bottom"/>
          </w:tcPr>
          <w:p>
            <w:pPr>
              <w:ind w:left="160"/>
              <w:spacing w:after="0"/>
              <w:rPr>
                <w:sz w:val="20"/>
                <w:szCs w:val="20"/>
                <w:color w:val="auto"/>
              </w:rPr>
            </w:pPr>
            <w:r>
              <w:rPr>
                <w:rFonts w:ascii="Arial" w:cs="Arial" w:eastAsia="Arial" w:hAnsi="Arial"/>
                <w:sz w:val="18"/>
                <w:szCs w:val="18"/>
                <w:color w:val="auto"/>
              </w:rPr>
              <w:t>Service charges and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7,813</w:t>
            </w:r>
          </w:p>
        </w:tc>
        <w:tc>
          <w:tcPr>
            <w:tcW w:w="16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7,253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Mortgage loan and other related fees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2,223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Consulting fees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1,747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Brokerage fees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944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Securities gains,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2,008</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820" w:type="dxa"/>
            <w:vAlign w:val="bottom"/>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14,197</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14,382</w:t>
            </w:r>
          </w:p>
        </w:tc>
        <w:tc>
          <w:tcPr>
            <w:tcW w:w="1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Service charges and fees for the first quarter increased $560,000, or 8%, from 2007. This increase was primarily due to growth in transactions and new accounts added through an acquisition, de novo growth and core deposit programs and higher ATM and debit card usage fees.</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Mortgage loans and related fees for the first quarter decreased $260,000, or 12%, from 2007. This decrease was due to decreased demand for new mortgage loans within our footprint. Substantially all originated residential mortgages were sold into the secondary market, including the right to service these loans.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Brokerage fees increased $149,000, or 16%, compared to 2007. This increase was primarily due to strong retention efforts and new customer outreach.</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fee revenue decreased $487,000, or 24%, compared to 2007. The decrease is primarily due to one-time gains in 2007, for a $225,000 recovery related to overpaid interest on brokered deposits and a $207,000 gain from the sale of a potential office site in Tennessee.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three months ended March 31, 2008, total operating expenses were $47.5 million, an increase of 6% compared with $44.8 million for the same period in 2007. The following table presents the components of operating expenses for the three months ended March 31, 2008 and 2007.</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20"/>
        </w:trPr>
        <w:tc>
          <w:tcPr>
            <w:tcW w:w="3820" w:type="dxa"/>
            <w:vAlign w:val="bottom"/>
          </w:tcPr>
          <w:p>
            <w:pPr>
              <w:spacing w:after="0"/>
              <w:rPr>
                <w:sz w:val="20"/>
                <w:szCs w:val="20"/>
                <w:color w:val="auto"/>
              </w:rPr>
            </w:pPr>
            <w:r>
              <w:rPr>
                <w:rFonts w:ascii="Arial" w:cs="Arial" w:eastAsia="Arial" w:hAnsi="Arial"/>
                <w:sz w:val="18"/>
                <w:szCs w:val="18"/>
                <w:b w:val="1"/>
                <w:bCs w:val="1"/>
                <w:color w:val="auto"/>
              </w:rPr>
              <w:t>Table 6 - 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 the Three Months Ended March 31,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20"/>
                <w:szCs w:val="20"/>
                <w:color w:val="auto"/>
              </w:rPr>
            </w:pPr>
          </w:p>
        </w:tc>
        <w:tc>
          <w:tcPr>
            <w:tcW w:w="2520" w:type="dxa"/>
            <w:vAlign w:val="bottom"/>
            <w:gridSpan w:val="5"/>
            <w:vMerge w:val="restart"/>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5"/>
            <w:vMerge w:val="continue"/>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2007</w:t>
            </w:r>
          </w:p>
        </w:tc>
        <w:tc>
          <w:tcPr>
            <w:tcW w:w="160" w:type="dxa"/>
            <w:vAlign w:val="bottom"/>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82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28,754</w:t>
            </w:r>
          </w:p>
        </w:tc>
        <w:tc>
          <w:tcPr>
            <w:tcW w:w="16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28,317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Communications and equipment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3,812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3,191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Advertising and public relations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Postage, printing and supplies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1,660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1,479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820" w:type="dxa"/>
            <w:vAlign w:val="bottom"/>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5,596</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3,802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820" w:type="dxa"/>
            <w:vAlign w:val="bottom"/>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47,529</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44,841</w:t>
            </w: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and employee benefits for the first quarter 2008 totaled $28.8 million, an increase of $437,000, or 2%, over the same period in 2007. This increase was due to staff expansion as a result of the acquisition of First Bank of the South, but the increase was minimized by decreases in bonus and profit sharing expense in 2008. At March 31, 2008, total staff was 2,008</w:t>
      </w:r>
      <w:r>
        <w:rPr>
          <w:rFonts w:ascii="Arial" w:cs="Arial" w:eastAsia="Arial" w:hAnsi="Arial"/>
          <w:sz w:val="18"/>
          <w:szCs w:val="18"/>
          <w:b w:val="1"/>
          <w:bCs w:val="1"/>
          <w:color w:val="auto"/>
        </w:rPr>
        <w:t>,</w:t>
      </w:r>
      <w:r>
        <w:rPr>
          <w:rFonts w:ascii="Arial" w:cs="Arial" w:eastAsia="Arial" w:hAnsi="Arial"/>
          <w:sz w:val="18"/>
          <w:szCs w:val="18"/>
          <w:color w:val="auto"/>
        </w:rPr>
        <w:t xml:space="preserve"> an increase of 58 employees from the first quarter 2007 which included 73 staff added by the acquisition.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Communications and equipment expense for the first quarter 2008 was essentially flat from the same period in 2007. This represents the effectiveness of company-wide discipline in holding down expenses.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Occupancy expense increased $525,000, or 16%, from the same period in 2007. This increase reflects the additional office space obtained in the acquisition, and de novo expansion.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and public relations expense for the first quarter 2008 decreased $665,000, or 33%, from the same period in 2007 due to efforts to reduce discretionary expenses.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Professional fees for the first quarter 2008 increased $442,000, or 30%, over the same period in 2007. This increase is primarily the result of increased legal fees associated with the higher level of foreclosed properties.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 increased $1.8 million, or 47%, from 2007. The increase was due to the increase in FDIC insurance premiums and additional writedowns on foreclosed properties.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efficiency ratio measures total operating expenses as a percentage of total revenue, excluding the provision for loan losses and net securities gains or losses. United’s efficiency ratio for the first quarter was 59.05%, compared to 56.56% for the first quarter of 2007. The increase is primarily the result of flat net interest revenue and fee revenue, combined with a small increase in operating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 expense was $8.8 million for the first quarter, as compared with $11.1 million for the first quarter of 2007, representing a 35.5% and a 36.5% effective tax rate, respectively. The effective tax rates were lower than the statutory tax rates primarily due to interest revenue on certain investment securities and loans that are exempt from income taxes, tax exempt fee revenue and tax credits received on affordable housing investments. Additional information regarding income taxes can be found in Note 14 to the consolidated financial statements filed with United’s 2007 Form 10-K. The decrease in the effective tax rate from 2007 to 2008 is due to the lower level of pre-tax income without a proportionate decline in tax-exempt income and tax credits.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Balance Sheet Review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assets at March 31, 2007 were $8.4 billion, compared with $7.2 billion at March 31, 2007. Average total assets for the first quarter 2008 were $8.3 billion, up $1.2 billion from average assets for the first quarter of 2007. A significant portion of the growth was the result of the Gwinnett Acquisition on June 1, 2007 which added total assets of $809 million, including intangible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b w:val="1"/>
                <w:bCs w:val="1"/>
                <w:i w:val="1"/>
                <w:iCs w:val="1"/>
                <w:color w:val="auto"/>
              </w:rPr>
              <w:t>Loans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20" w:type="dxa"/>
            <w:vAlign w:val="bottom"/>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020" w:type="dxa"/>
            <w:vAlign w:val="bottom"/>
          </w:tcPr>
          <w:p>
            <w:pPr>
              <w:ind w:left="1140"/>
              <w:spacing w:after="0"/>
              <w:rPr>
                <w:sz w:val="20"/>
                <w:szCs w:val="20"/>
                <w:color w:val="auto"/>
              </w:rPr>
            </w:pPr>
            <w:r>
              <w:rPr>
                <w:rFonts w:ascii="Arial" w:cs="Arial" w:eastAsia="Arial" w:hAnsi="Arial"/>
                <w:sz w:val="18"/>
                <w:szCs w:val="18"/>
                <w:b w:val="1"/>
                <w:bCs w:val="1"/>
                <w:color w:val="auto"/>
              </w:rPr>
              <w:t>Table 7 - Loans Outstanding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140"/>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24"/>
                <w:szCs w:val="24"/>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41"/>
        </w:trPr>
        <w:tc>
          <w:tcPr>
            <w:tcW w:w="6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20" w:type="dxa"/>
            <w:vAlign w:val="bottom"/>
          </w:tcPr>
          <w:p>
            <w:pPr>
              <w:ind w:left="1140"/>
              <w:spacing w:after="0" w:line="201" w:lineRule="exact"/>
              <w:rPr>
                <w:sz w:val="20"/>
                <w:szCs w:val="20"/>
                <w:color w:val="auto"/>
              </w:rPr>
            </w:pPr>
            <w:r>
              <w:rPr>
                <w:rFonts w:ascii="Arial" w:cs="Arial" w:eastAsia="Arial" w:hAnsi="Arial"/>
                <w:sz w:val="18"/>
                <w:szCs w:val="18"/>
                <w:b w:val="1"/>
                <w:bCs w:val="1"/>
                <w:color w:val="auto"/>
              </w:rPr>
              <w:t>By Loan Type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140"/>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1,526,282</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1,475,930</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1,227,075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14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548,063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527,123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114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437,220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417,715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315,246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20" w:type="dxa"/>
            <w:vAlign w:val="bottom"/>
          </w:tcPr>
          <w:p>
            <w:pPr>
              <w:ind w:left="148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2,511,565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2,420,768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2,004,581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14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1,791,338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1,829,506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1,874,000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14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1,490,951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1,501,916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1,353,444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1140"/>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173,985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177,073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170,173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480"/>
              <w:spacing w:after="0"/>
              <w:rPr>
                <w:sz w:val="20"/>
                <w:szCs w:val="20"/>
                <w:color w:val="auto"/>
              </w:rPr>
            </w:pPr>
            <w:r>
              <w:rPr>
                <w:rFonts w:ascii="Arial" w:cs="Arial" w:eastAsia="Arial" w:hAnsi="Arial"/>
                <w:sz w:val="18"/>
                <w:szCs w:val="18"/>
                <w:color w:val="auto"/>
              </w:rPr>
              <w:t>Total loans</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5,967,839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5,929,263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5,402,198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20" w:type="dxa"/>
            <w:vAlign w:val="bottom"/>
            <w:vMerge w:val="restart"/>
          </w:tcPr>
          <w:p>
            <w:pPr>
              <w:ind w:left="1140"/>
              <w:spacing w:after="0"/>
              <w:rPr>
                <w:sz w:val="20"/>
                <w:szCs w:val="20"/>
                <w:color w:val="auto"/>
              </w:rPr>
            </w:pPr>
            <w:r>
              <w:rPr>
                <w:rFonts w:ascii="Arial" w:cs="Arial" w:eastAsia="Arial" w:hAnsi="Arial"/>
                <w:sz w:val="18"/>
                <w:szCs w:val="18"/>
                <w:color w:val="auto"/>
              </w:rPr>
              <w:t>As a percentage of total loans: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0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32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020" w:type="dxa"/>
            <w:vAlign w:val="bottom"/>
          </w:tcPr>
          <w:p>
            <w:pPr>
              <w:ind w:left="132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132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20" w:type="dxa"/>
            <w:vAlign w:val="bottom"/>
          </w:tcPr>
          <w:p>
            <w:pPr>
              <w:ind w:left="148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42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37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32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32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1320"/>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602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By Geographic Location</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0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140"/>
              <w:spacing w:after="0"/>
              <w:rPr>
                <w:sz w:val="20"/>
                <w:szCs w:val="20"/>
                <w:color w:val="auto"/>
              </w:rPr>
            </w:pPr>
            <w:r>
              <w:rPr>
                <w:rFonts w:ascii="Arial" w:cs="Arial" w:eastAsia="Arial" w:hAnsi="Arial"/>
                <w:sz w:val="18"/>
                <w:szCs w:val="18"/>
                <w:color w:val="auto"/>
              </w:rPr>
              <w:t>Atlanta Region</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2,392,790</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2,401,649</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2,014,813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140"/>
              <w:spacing w:after="0"/>
              <w:rPr>
                <w:sz w:val="20"/>
                <w:szCs w:val="20"/>
                <w:color w:val="auto"/>
              </w:rPr>
            </w:pPr>
            <w:r>
              <w:rPr>
                <w:rFonts w:ascii="Arial" w:cs="Arial" w:eastAsia="Arial" w:hAnsi="Arial"/>
                <w:sz w:val="18"/>
                <w:szCs w:val="18"/>
                <w:color w:val="auto"/>
              </w:rPr>
              <w:t>North Georgia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2,070,551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2,060,224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2,009,852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140"/>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816,389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805,999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781,939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140"/>
              <w:spacing w:after="0"/>
              <w:rPr>
                <w:sz w:val="20"/>
                <w:szCs w:val="20"/>
                <w:color w:val="auto"/>
              </w:rPr>
            </w:pPr>
            <w:r>
              <w:rPr>
                <w:rFonts w:ascii="Arial" w:cs="Arial" w:eastAsia="Arial" w:hAnsi="Arial"/>
                <w:sz w:val="18"/>
                <w:szCs w:val="18"/>
                <w:color w:val="auto"/>
              </w:rPr>
              <w:t>Coastal Georgia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439,116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415,622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372,217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1140"/>
              <w:spacing w:after="0"/>
              <w:rPr>
                <w:sz w:val="20"/>
                <w:szCs w:val="20"/>
                <w:color w:val="auto"/>
              </w:rPr>
            </w:pPr>
            <w:r>
              <w:rPr>
                <w:rFonts w:ascii="Arial" w:cs="Arial" w:eastAsia="Arial" w:hAnsi="Arial"/>
                <w:sz w:val="18"/>
                <w:szCs w:val="18"/>
                <w:color w:val="auto"/>
              </w:rPr>
              <w:t>Tennessee</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248,993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245,769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223,377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48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5,967,839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5,929,263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5,402,198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United’s loans are to customers located in the immediate market areas of the Community Banks in Georgia, North Carolina, and Tennessee. At March 31, 2008, total loans were $6.0 billion, an increase of $565.6 million or 10%, from March 31, 2007. The rate of loan growth began to decline in the first quarter of 2007 and continued throughout 2007 and into 2008. The slowdown in loan growth was due to credit deterioration in the residential construction and housing markets that resulted in part from an oversupply of lot inventory within United’s markets, which slowed construction activities and acquisition and development projects.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at all of the Community Banks. Additional information on the credit administration function is included in Item 1 under the heading </w:t>
      </w:r>
      <w:r>
        <w:rPr>
          <w:rFonts w:ascii="Arial" w:cs="Arial" w:eastAsia="Arial" w:hAnsi="Arial"/>
          <w:sz w:val="16"/>
          <w:szCs w:val="16"/>
          <w:i w:val="1"/>
          <w:iCs w:val="1"/>
          <w:color w:val="auto"/>
        </w:rPr>
        <w:t>Loan Review and Non-performing Assets</w:t>
      </w:r>
      <w:r>
        <w:rPr>
          <w:rFonts w:ascii="Arial" w:cs="Arial" w:eastAsia="Arial" w:hAnsi="Arial"/>
          <w:sz w:val="16"/>
          <w:szCs w:val="16"/>
          <w:color w:val="auto"/>
        </w:rPr>
        <w:t xml:space="preserve"> in United’s Annual Report on Form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The provision for loan losses charged to earnings was based upon management’s judgment of the amount necessary to maintain the allowance at a level appropriate to absorb losses inherent in the loan portfolio at quarter-end. The amount each period is dependent upon many factors, including growth and changes in the composition of the loan portfolio, net charge-offs, delinquencies, management’s assessment of loan portfolio quality, the value of collateral, and other economic factors and trends. The evaluation of these factors is performed quarterly by management through an analysis of the appropriateness of the allowance for loan losses.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Reviews of non-performing loans, past due loans and larger credits, designed to identify potential charges to the allowance for loan losses, as well as determine the adequacy of the allowance, are conducted on a regular basis during the quarter. These reviews are performed by the responsible lending officers with management, as well as a separate loan review department, and consider such factors as the financial strength of borrowers, the value of the applicable collateral, past loan loss experience, anticipated loan losses, growth in the loan portfolio, prevailing economic conditions and other factors. United also uses external loan review to supplement the activities of the loan review department and to ensure the independence of the loan review process.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changes in the allowance for loan losses for the three-month periods ended March 31, 2008 and 2007.</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180" w:type="dxa"/>
            <w:vAlign w:val="bottom"/>
          </w:tcPr>
          <w:p>
            <w:pPr>
              <w:spacing w:after="0"/>
              <w:rPr>
                <w:sz w:val="20"/>
                <w:szCs w:val="20"/>
                <w:color w:val="auto"/>
              </w:rPr>
            </w:pPr>
            <w:r>
              <w:rPr>
                <w:rFonts w:ascii="Arial" w:cs="Arial" w:eastAsia="Arial" w:hAnsi="Arial"/>
                <w:sz w:val="18"/>
                <w:szCs w:val="18"/>
                <w:b w:val="1"/>
                <w:bCs w:val="1"/>
                <w:color w:val="auto"/>
              </w:rPr>
              <w:t>Table 8 - Summary of Loan Loss Experience</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vMerge w:val="restart"/>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89,423</w:t>
            </w:r>
          </w:p>
        </w:tc>
        <w:tc>
          <w:tcPr>
            <w:tcW w:w="200" w:type="dxa"/>
            <w:vAlign w:val="bottom"/>
          </w:tcPr>
          <w:p>
            <w:pPr>
              <w:spacing w:after="0"/>
              <w:rPr>
                <w:sz w:val="24"/>
                <w:szCs w:val="24"/>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66,566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Loans charged-off</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(7,502)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Recoveries</w:t>
            </w:r>
          </w:p>
        </w:tc>
        <w:tc>
          <w:tcPr>
            <w:tcW w:w="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180"/>
              <w:spacing w:after="0" w:line="201" w:lineRule="exact"/>
              <w:rPr>
                <w:sz w:val="20"/>
                <w:szCs w:val="20"/>
                <w:color w:val="auto"/>
              </w:rPr>
            </w:pPr>
            <w:r>
              <w:rPr>
                <w:rFonts w:ascii="Arial" w:cs="Arial" w:eastAsia="Arial" w:hAnsi="Arial"/>
                <w:sz w:val="18"/>
                <w:szCs w:val="18"/>
                <w:color w:val="auto"/>
              </w:rPr>
              <w:t>Net charge-offs</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(7,075)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(1,462)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6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Arial" w:cs="Arial" w:eastAsia="Arial" w:hAnsi="Arial"/>
                <w:sz w:val="18"/>
                <w:szCs w:val="18"/>
                <w:color w:val="auto"/>
              </w:rPr>
              <w:t>Total loans:</w:t>
            </w: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51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At period end</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5,967,839</w:t>
            </w:r>
          </w:p>
        </w:tc>
        <w:tc>
          <w:tcPr>
            <w:tcW w:w="200" w:type="dxa"/>
            <w:vAlign w:val="bottom"/>
          </w:tcPr>
          <w:p>
            <w:pPr>
              <w:spacing w:after="0"/>
              <w:rPr>
                <w:sz w:val="18"/>
                <w:szCs w:val="18"/>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5,402,198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Average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5,958,296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5,402,860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As a percentage of average loans (annualized):</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Net charge-offs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Allowance as a percentage of period end loans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Allowance as a percentage of period end non-performing loans</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that the allowance for loan losses at March 31, 2008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Non-performing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tcPr>
          <w:p>
            <w:pPr>
              <w:spacing w:after="0"/>
              <w:rPr>
                <w:sz w:val="20"/>
                <w:szCs w:val="20"/>
                <w:color w:val="auto"/>
              </w:rPr>
            </w:pPr>
            <w:r>
              <w:rPr>
                <w:rFonts w:ascii="Arial" w:cs="Arial" w:eastAsia="Arial" w:hAnsi="Arial"/>
                <w:sz w:val="18"/>
                <w:szCs w:val="18"/>
                <w:color w:val="auto"/>
              </w:rPr>
              <w:t>The table below summarizes non-performing 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320" w:type="dxa"/>
            <w:vAlign w:val="bottom"/>
          </w:tcPr>
          <w:p>
            <w:pPr>
              <w:spacing w:after="0"/>
              <w:rPr>
                <w:sz w:val="20"/>
                <w:szCs w:val="20"/>
                <w:color w:val="auto"/>
              </w:rPr>
            </w:pPr>
            <w:r>
              <w:rPr>
                <w:rFonts w:ascii="Arial" w:cs="Arial" w:eastAsia="Arial" w:hAnsi="Arial"/>
                <w:sz w:val="18"/>
                <w:szCs w:val="18"/>
                <w:b w:val="1"/>
                <w:bCs w:val="1"/>
                <w:color w:val="auto"/>
              </w:rPr>
              <w:t>Table 9 - Non-Performing 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20"/>
                <w:szCs w:val="20"/>
                <w:color w:val="auto"/>
              </w:rPr>
            </w:pPr>
          </w:p>
        </w:tc>
        <w:tc>
          <w:tcPr>
            <w:tcW w:w="128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w w:val="98"/>
              </w:rPr>
              <w:t>March 31,</w:t>
            </w:r>
          </w:p>
        </w:tc>
        <w:tc>
          <w:tcPr>
            <w:tcW w:w="134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92"/>
              </w:rPr>
              <w:t>December 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Non-accrual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67,728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28,219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12,319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320" w:type="dxa"/>
            <w:vAlign w:val="bottom"/>
          </w:tcPr>
          <w:p>
            <w:pPr>
              <w:ind w:left="180"/>
              <w:spacing w:after="0"/>
              <w:rPr>
                <w:sz w:val="20"/>
                <w:szCs w:val="20"/>
                <w:color w:val="auto"/>
              </w:rPr>
            </w:pPr>
            <w:r>
              <w:rPr>
                <w:rFonts w:ascii="Arial" w:cs="Arial" w:eastAsia="Arial" w:hAnsi="Arial"/>
                <w:sz w:val="18"/>
                <w:szCs w:val="18"/>
                <w:color w:val="auto"/>
              </w:rPr>
              <w:t>Total non-performing loans</w:t>
            </w:r>
          </w:p>
        </w:tc>
        <w:tc>
          <w:tcPr>
            <w:tcW w:w="1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67,728</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28,219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12,319</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Other real estate owned (OREO)</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22,136</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180"/>
              <w:spacing w:after="0"/>
              <w:rPr>
                <w:sz w:val="20"/>
                <w:szCs w:val="20"/>
                <w:color w:val="auto"/>
              </w:rPr>
            </w:pPr>
            <w:r>
              <w:rPr>
                <w:rFonts w:ascii="Arial" w:cs="Arial" w:eastAsia="Arial" w:hAnsi="Arial"/>
                <w:sz w:val="18"/>
                <w:szCs w:val="18"/>
                <w:color w:val="auto"/>
              </w:rPr>
              <w:t>Total non-performing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89,864</w:t>
            </w:r>
          </w:p>
        </w:tc>
        <w:tc>
          <w:tcPr>
            <w:tcW w:w="260" w:type="dxa"/>
            <w:vAlign w:val="bottom"/>
          </w:tcPr>
          <w:p>
            <w:pPr>
              <w:spacing w:after="0"/>
              <w:rPr>
                <w:sz w:val="24"/>
                <w:szCs w:val="24"/>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32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12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Non-performing assets as a percentage of loans and OREO</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Non-performing loans totaled $67.7 million, compared with $28.2 million at December 31, 2007 and $12.3 million at March 31, 2007. The ratio of non-performing loans to total loans increased .90% from March 31, 2007 and .65% from December 31, 2007 reflecting deterioration in United’s residential construction portfolio resulting from the deteriorating housing market. Non-performing assets, which include non-performing loans and foreclosed real estate, totaled $89.9 million at December 31, 2007, compared to $46.3 million at December 31, 2007 and $14.3 million at March 31. 2007.</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classify loans in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 is reversed against current interest revenue. Payments received on a non-accrual loan are applied to reduce outstanding principal.</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At March 31, 2008 and 2007, there were $64.5 million and $2.5 million, respectively, of loans classified as impaired under the definition outlined in SFAS No. 114 </w:t>
      </w:r>
      <w:r>
        <w:rPr>
          <w:rFonts w:ascii="Arial" w:cs="Arial" w:eastAsia="Arial" w:hAnsi="Arial"/>
          <w:sz w:val="18"/>
          <w:szCs w:val="18"/>
          <w:i w:val="1"/>
          <w:iCs w:val="1"/>
          <w:color w:val="auto"/>
        </w:rPr>
        <w:t>Accounting By Creditors For Impairment of a Loan</w:t>
      </w:r>
      <w:r>
        <w:rPr>
          <w:rFonts w:ascii="Arial" w:cs="Arial" w:eastAsia="Arial" w:hAnsi="Arial"/>
          <w:sz w:val="18"/>
          <w:szCs w:val="18"/>
          <w:color w:val="auto"/>
        </w:rPr>
        <w:t>. Specific reserves allocated to these impaired loans totaled $12.0 million and $490,000 at March 31, 2008 and 2007, respectively. The average recorded investments in impaired loans for the quarters ended March 31, 2008 and 2007 were $38.8 million and $3.3 million, respectively. Interest revenue recognized on loans while they were impaired for the first three months of 2008 was $36,000 compared with $18,000 for the same period in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investment securities available for sale at quarter-end increased $358.0 million from a year ago. The investment portfolio is used as a supplemental tool to stabilize interest rate sensitivity and increase net interest revenue. At March 31, 2008, December 31, 2007, and March 31, 2007, the securities portfolio represented approximately 18.0%, 16.5% and 16.0% of the balance sheet, respectively.</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investment securities portfolio primarily consists of U.S. Government agency securities, U.S. Government sponsored agency mortgage-backed securities, non-agency mortgage-backed securities,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time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deposits as of March 31, 2008 were $6.2 billion, an increase of $334 million, or 6%, from March 31, 2007. Total non-interest-bearing demand deposit accounts of $690 million increased $14 million or 2%, and interest-bearing demand and savings accounts of $2.1 billion increased $283 million, or 15%, due primarily to the acquisition.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time deposits, excluding brokered deposits, as of March 31, 2008 were $2.9 billion, a decrease of $75 million, or 3%, from March 31, 2007. Time deposits less than $100,000 totaled $1.5 billion, compared with $1.6 billion a year ago, which is a decrease of 5%. This reflects a strategic decision by United to allow higher-priced time deposits where there was no other customer relationship to lapse. Time deposits of $100,000 and greater totaled $1.4 billion as of March 31, 2008 and 2007, respectively. United also takes advantage of “brokered” time deposits, issued in certificates of less than $100,000 as an alternate source of cost-effective funding. Brokered time deposits as of March 31, 2008 were $431.5 million, compared with $319.1 million at March 31, 2007, an increase of 35%.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2008, the Bank was a shareholder in a Federal Home Loan Bank (“FHLB”.) Through this affiliation, FHLB secured advances totaled $615.3 million and $464.1 million as of March 31, 2008 and 2007, respectively. United anticipates continued use of this short and long-term source of funds. FHLB advances outstanding at March 31, 2008 had both fixed and floating interest rates up to 5.51%</w:t>
      </w:r>
      <w:r>
        <w:rPr>
          <w:rFonts w:ascii="Arial" w:cs="Arial" w:eastAsia="Arial" w:hAnsi="Arial"/>
          <w:sz w:val="17"/>
          <w:szCs w:val="17"/>
          <w:b w:val="1"/>
          <w:bCs w:val="1"/>
          <w:color w:val="auto"/>
        </w:rPr>
        <w:t>.</w:t>
      </w:r>
      <w:r>
        <w:rPr>
          <w:rFonts w:ascii="Arial" w:cs="Arial" w:eastAsia="Arial" w:hAnsi="Arial"/>
          <w:sz w:val="17"/>
          <w:szCs w:val="17"/>
          <w:color w:val="auto"/>
        </w:rPr>
        <w:t xml:space="preserve"> Additional information regarding FHLB advances, including scheduled maturities, is provided in Note 10 to the consolidated financial statements included in United’s 2007 Form 10-K.</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2008, United had $532.9 million in Federal funds purchased, repurchase agreements, and other short-term borrowings outstanding, compared to $77.4 million outstanding at March 31, 2007. United takes advantage of these additional sources of liquidity when rates are favorable compared to other forms of short-term borrowings, such as FHLB advances and brokered deposits.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impact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is influenced by changes in the level of interest rates. United manages its exposure to fluctuations in interest rates through policies established by the Asset/Liability Management Committee (“ALCO”). ALCO meets regularly and has responsibility for approving asset/liability management policies, formulating and implementing strategies to improve balance sheet positioning and/or earnings, and reviewing United’s interest rate sensitivity.</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One of the tools management utilizes to estimate the sensitivity of net interest revenue to changes in interest rates is an interest rate simulation model. Such estimates are based upon a number of assumptions for various scenarios, including the level of balance sheet growth, deposit repricing characteristics and the rate of prepayments. The simulation model measures the potential change in net interest revenue over a twelve-month period under various interest rate scenarios. United’s baseline scenario assumes rates remain flat (“flat rate scenario”) over the next twelve months and is the scenario that all others are compared to in order to measure the change in net interest revenue. United runs ramp scenarios that assume gradual increases and decreases of 200 basis points each over the next twelve months. United’s policy for net interest revenue simulation is limited to a change from the flat rate scenario of less than 10% for the up or down 200 basis point ramp scenarios over twelve months. At March 31, 2008, United’s simulation model indicated that a 200 basis point increase in rates over the next twelve months would cause an approximate 1.9% increase in net interest revenue and a 200 basis point decrease in rates over the next twelve months would cause an approximate 1.4% decrease in net interest revenue.</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manage its interest rate sensitivity, United uses off-balance sheet contracts that are considered derivative financial instruments. Derivative financial instruments can be a cost and capital effective means of modifying the repricing characteristics of on-balance sheet assets and liabilities. At March 31, 2008, United was a party to interest rate swap contracts under which it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presents the interest rate swap contracts outstanding at March 31,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Table 10 - Derivative Financial Instruments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As of March 31, 2008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Rate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Received /</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25"/>
                <w:szCs w:val="25"/>
                <w:color w:val="auto"/>
                <w:w w:val="96"/>
                <w:vertAlign w:val="superscript"/>
              </w:rPr>
              <w:t>(8)</w:t>
            </w:r>
          </w:p>
        </w:tc>
        <w:tc>
          <w:tcPr>
            <w:tcW w:w="0" w:type="dxa"/>
            <w:vAlign w:val="bottom"/>
          </w:tcPr>
          <w:p>
            <w:pPr>
              <w:spacing w:after="0"/>
              <w:rPr>
                <w:sz w:val="1"/>
                <w:szCs w:val="1"/>
                <w:color w:val="auto"/>
              </w:rPr>
            </w:pPr>
          </w:p>
        </w:tc>
      </w:tr>
      <w:tr>
        <w:trPr>
          <w:trHeight w:val="241"/>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Type/Maturity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Floor Rate</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Rate Paid</w:t>
            </w:r>
          </w:p>
        </w:tc>
        <w:tc>
          <w:tcPr>
            <w:tcW w:w="60" w:type="dxa"/>
            <w:vAlign w:val="bottom"/>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0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Fair Value Hedges: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20" w:type="dxa"/>
            <w:vAlign w:val="bottom"/>
            <w:gridSpan w:val="2"/>
          </w:tcPr>
          <w:p>
            <w:pPr>
              <w:ind w:left="360"/>
              <w:spacing w:after="0"/>
              <w:rPr>
                <w:sz w:val="20"/>
                <w:szCs w:val="20"/>
                <w:color w:val="auto"/>
              </w:rPr>
            </w:pPr>
            <w:r>
              <w:rPr>
                <w:rFonts w:ascii="Arial" w:cs="Arial" w:eastAsia="Arial" w:hAnsi="Arial"/>
                <w:sz w:val="18"/>
                <w:szCs w:val="18"/>
                <w:b w:val="1"/>
                <w:bCs w:val="1"/>
                <w:color w:val="auto"/>
              </w:rPr>
              <w:t>LIBOR Swaps (Brokered CDs)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360"/>
              <w:spacing w:after="0" w:line="229" w:lineRule="exact"/>
              <w:rPr>
                <w:sz w:val="20"/>
                <w:szCs w:val="20"/>
                <w:color w:val="auto"/>
              </w:rPr>
            </w:pPr>
            <w:r>
              <w:rPr>
                <w:rFonts w:ascii="Arial" w:cs="Arial" w:eastAsia="Arial" w:hAnsi="Arial"/>
                <w:sz w:val="18"/>
                <w:szCs w:val="18"/>
                <w:color w:val="auto"/>
              </w:rPr>
              <w:t xml:space="preserve">June 18, 2008 </w:t>
            </w:r>
            <w:r>
              <w:rPr>
                <w:rFonts w:ascii="Arial" w:cs="Arial" w:eastAsia="Arial" w:hAnsi="Arial"/>
                <w:sz w:val="25"/>
                <w:szCs w:val="25"/>
                <w:color w:val="auto"/>
                <w:vertAlign w:val="superscript"/>
              </w:rPr>
              <w:t>(1)</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9"/>
                <w:szCs w:val="19"/>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5.15%</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w w:val="97"/>
              </w:rPr>
              <w:t>2.78%</w:t>
            </w:r>
          </w:p>
        </w:tc>
        <w:tc>
          <w:tcPr>
            <w:tcW w:w="42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6020" w:type="dxa"/>
            <w:vAlign w:val="bottom"/>
            <w:gridSpan w:val="2"/>
          </w:tcPr>
          <w:p>
            <w:pPr>
              <w:ind w:left="360"/>
              <w:spacing w:after="0" w:line="229" w:lineRule="exact"/>
              <w:rPr>
                <w:sz w:val="20"/>
                <w:szCs w:val="20"/>
                <w:color w:val="auto"/>
              </w:rPr>
            </w:pPr>
            <w:r>
              <w:rPr>
                <w:rFonts w:ascii="Arial" w:cs="Arial" w:eastAsia="Arial" w:hAnsi="Arial"/>
                <w:sz w:val="18"/>
                <w:szCs w:val="18"/>
                <w:color w:val="auto"/>
              </w:rPr>
              <w:t xml:space="preserve">September 29, 2008 </w:t>
            </w:r>
            <w:r>
              <w:rPr>
                <w:rFonts w:ascii="Arial" w:cs="Arial" w:eastAsia="Arial" w:hAnsi="Arial"/>
                <w:sz w:val="25"/>
                <w:szCs w:val="25"/>
                <w:color w:val="auto"/>
                <w:vertAlign w:val="superscript"/>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6020" w:type="dxa"/>
            <w:vAlign w:val="bottom"/>
            <w:gridSpan w:val="2"/>
          </w:tcPr>
          <w:p>
            <w:pPr>
              <w:ind w:left="360"/>
              <w:spacing w:after="0" w:line="229" w:lineRule="exact"/>
              <w:rPr>
                <w:sz w:val="20"/>
                <w:szCs w:val="20"/>
                <w:color w:val="auto"/>
              </w:rPr>
            </w:pPr>
            <w:r>
              <w:rPr>
                <w:rFonts w:ascii="Arial" w:cs="Arial" w:eastAsia="Arial" w:hAnsi="Arial"/>
                <w:sz w:val="18"/>
                <w:szCs w:val="18"/>
                <w:color w:val="auto"/>
              </w:rPr>
              <w:t xml:space="preserve">November 3, 2008 </w:t>
            </w:r>
            <w:r>
              <w:rPr>
                <w:rFonts w:ascii="Arial" w:cs="Arial" w:eastAsia="Arial" w:hAnsi="Arial"/>
                <w:sz w:val="25"/>
                <w:szCs w:val="25"/>
                <w:color w:val="auto"/>
                <w:vertAlign w:val="superscript"/>
              </w:rPr>
              <w:t>(3)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5.00</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1"/>
        </w:trPr>
        <w:tc>
          <w:tcPr>
            <w:tcW w:w="6020" w:type="dxa"/>
            <w:vAlign w:val="bottom"/>
            <w:gridSpan w:val="2"/>
          </w:tcPr>
          <w:p>
            <w:pPr>
              <w:ind w:left="360"/>
              <w:spacing w:after="0" w:line="244" w:lineRule="exact"/>
              <w:rPr>
                <w:sz w:val="20"/>
                <w:szCs w:val="20"/>
                <w:color w:val="auto"/>
              </w:rPr>
            </w:pPr>
            <w:r>
              <w:rPr>
                <w:rFonts w:ascii="Arial" w:cs="Arial" w:eastAsia="Arial" w:hAnsi="Arial"/>
                <w:sz w:val="18"/>
                <w:szCs w:val="18"/>
                <w:color w:val="auto"/>
              </w:rPr>
              <w:t xml:space="preserve">April 17, 2013 </w:t>
            </w:r>
            <w:r>
              <w:rPr>
                <w:rFonts w:ascii="Arial" w:cs="Arial" w:eastAsia="Arial" w:hAnsi="Arial"/>
                <w:sz w:val="25"/>
                <w:szCs w:val="25"/>
                <w:color w:val="auto"/>
                <w:vertAlign w:val="superscript"/>
              </w:rPr>
              <w:t>(4)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1"/>
                <w:szCs w:val="21"/>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5.20</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02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5"/>
              </w:rPr>
              <w:t>5.15</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79"/>
              </w:rPr>
              <w:t>2.68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20" w:type="dxa"/>
            <w:vAlign w:val="bottom"/>
            <w:gridSpan w:val="2"/>
          </w:tcPr>
          <w:p>
            <w:pPr>
              <w:ind w:left="360"/>
              <w:spacing w:after="0" w:line="202" w:lineRule="exact"/>
              <w:rPr>
                <w:sz w:val="20"/>
                <w:szCs w:val="20"/>
                <w:color w:val="auto"/>
              </w:rPr>
            </w:pPr>
            <w:r>
              <w:rPr>
                <w:rFonts w:ascii="Arial" w:cs="Arial" w:eastAsia="Arial" w:hAnsi="Arial"/>
                <w:sz w:val="18"/>
                <w:szCs w:val="18"/>
                <w:b w:val="1"/>
                <w:bCs w:val="1"/>
                <w:color w:val="auto"/>
              </w:rPr>
              <w:t>LIBOR Swaps (FHLB Advances)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360"/>
              <w:spacing w:after="0" w:line="229" w:lineRule="exact"/>
              <w:rPr>
                <w:sz w:val="20"/>
                <w:szCs w:val="20"/>
                <w:color w:val="auto"/>
              </w:rPr>
            </w:pPr>
            <w:r>
              <w:rPr>
                <w:rFonts w:ascii="Arial" w:cs="Arial" w:eastAsia="Arial" w:hAnsi="Arial"/>
                <w:sz w:val="18"/>
                <w:szCs w:val="18"/>
                <w:color w:val="auto"/>
              </w:rPr>
              <w:t xml:space="preserve">January 5, 2009 </w:t>
            </w:r>
            <w:r>
              <w:rPr>
                <w:rFonts w:ascii="Arial" w:cs="Arial" w:eastAsia="Arial" w:hAnsi="Arial"/>
                <w:sz w:val="25"/>
                <w:szCs w:val="25"/>
                <w:color w:val="auto"/>
                <w:vertAlign w:val="superscript"/>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9"/>
                <w:szCs w:val="19"/>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5.06</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51"/>
        </w:trPr>
        <w:tc>
          <w:tcPr>
            <w:tcW w:w="6020" w:type="dxa"/>
            <w:vAlign w:val="bottom"/>
            <w:gridSpan w:val="2"/>
          </w:tcPr>
          <w:p>
            <w:pPr>
              <w:ind w:left="360"/>
              <w:spacing w:after="0" w:line="244" w:lineRule="exact"/>
              <w:rPr>
                <w:sz w:val="20"/>
                <w:szCs w:val="20"/>
                <w:color w:val="auto"/>
              </w:rPr>
            </w:pPr>
            <w:r>
              <w:rPr>
                <w:rFonts w:ascii="Arial" w:cs="Arial" w:eastAsia="Arial" w:hAnsi="Arial"/>
                <w:sz w:val="18"/>
                <w:szCs w:val="18"/>
                <w:color w:val="auto"/>
              </w:rPr>
              <w:t xml:space="preserve">March 2, 2009 </w:t>
            </w:r>
            <w:r>
              <w:rPr>
                <w:rFonts w:ascii="Arial" w:cs="Arial" w:eastAsia="Arial" w:hAnsi="Arial"/>
                <w:sz w:val="25"/>
                <w:szCs w:val="25"/>
                <w:color w:val="auto"/>
                <w:vertAlign w:val="superscript"/>
              </w:rPr>
              <w:t>(5)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21"/>
                <w:szCs w:val="21"/>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4.90</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602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5"/>
              </w:rPr>
              <w:t>4.98</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79"/>
              </w:rPr>
              <w:t>2.87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jc w:val="right"/>
              <w:ind w:right="100"/>
              <w:spacing w:after="0"/>
              <w:rPr>
                <w:sz w:val="20"/>
                <w:szCs w:val="20"/>
                <w:color w:val="auto"/>
              </w:rPr>
            </w:pPr>
            <w:r>
              <w:rPr>
                <w:rFonts w:ascii="Arial" w:cs="Arial" w:eastAsia="Arial" w:hAnsi="Arial"/>
                <w:sz w:val="18"/>
                <w:szCs w:val="18"/>
                <w:color w:val="auto"/>
              </w:rPr>
              <w:t>Total Fair Value Hedges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19"/>
                <w:szCs w:val="19"/>
                <w:color w:val="auto"/>
              </w:rPr>
            </w:pPr>
          </w:p>
        </w:tc>
        <w:tc>
          <w:tcPr>
            <w:tcW w:w="11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85"/>
              </w:rPr>
              <w:t>5.07</w:t>
            </w:r>
          </w:p>
        </w:tc>
        <w:tc>
          <w:tcPr>
            <w:tcW w:w="280" w:type="dxa"/>
            <w:vAlign w:val="bottom"/>
          </w:tcPr>
          <w:p>
            <w:pPr>
              <w:spacing w:after="0"/>
              <w:rPr>
                <w:sz w:val="19"/>
                <w:szCs w:val="19"/>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79"/>
              </w:rPr>
              <w:t>2.77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Flow Hedges: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gridSpan w:val="2"/>
          </w:tcPr>
          <w:p>
            <w:pPr>
              <w:ind w:left="360"/>
              <w:spacing w:after="0" w:line="229" w:lineRule="exact"/>
              <w:rPr>
                <w:sz w:val="20"/>
                <w:szCs w:val="20"/>
                <w:color w:val="auto"/>
              </w:rPr>
            </w:pPr>
            <w:r>
              <w:rPr>
                <w:rFonts w:ascii="Arial" w:cs="Arial" w:eastAsia="Arial" w:hAnsi="Arial"/>
                <w:sz w:val="18"/>
                <w:szCs w:val="18"/>
                <w:b w:val="1"/>
                <w:bCs w:val="1"/>
                <w:color w:val="auto"/>
              </w:rPr>
              <w:t xml:space="preserve">Prime Swaps (Prime Loans) </w:t>
            </w:r>
            <w:r>
              <w:rPr>
                <w:rFonts w:ascii="Arial" w:cs="Arial" w:eastAsia="Arial" w:hAnsi="Arial"/>
                <w:sz w:val="25"/>
                <w:szCs w:val="25"/>
                <w:color w:val="auto"/>
                <w:vertAlign w:val="superscript"/>
              </w:rPr>
              <w:t>(6)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April 17, 2008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8.25</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April 17, 2008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8.25</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May 1, 2008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8.33</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May 1, 2008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8.34</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August 4, 2008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8.32</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November 4, 2008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8.32</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February 1, 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8.31</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May 4, 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8.29</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June 11, 2010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8.26</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June 13, 2011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6.72</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December 12, 2011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6.86</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March 12, 2012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6.87</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March 27, 2012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6.76</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March 27, 2012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6.72</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37"/>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March 31, 2013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0"/>
                <w:szCs w:val="20"/>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6.26</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602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680,000</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5"/>
              </w:rPr>
              <w:t>7.70</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79"/>
              </w:rPr>
              <w:t>5.25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20" w:type="dxa"/>
            <w:vAlign w:val="bottom"/>
            <w:gridSpan w:val="2"/>
          </w:tcPr>
          <w:p>
            <w:pPr>
              <w:ind w:left="360"/>
              <w:spacing w:after="0" w:line="216" w:lineRule="exact"/>
              <w:rPr>
                <w:sz w:val="20"/>
                <w:szCs w:val="20"/>
                <w:color w:val="auto"/>
              </w:rPr>
            </w:pPr>
            <w:r>
              <w:rPr>
                <w:rFonts w:ascii="Arial" w:cs="Arial" w:eastAsia="Arial" w:hAnsi="Arial"/>
                <w:sz w:val="17"/>
                <w:szCs w:val="17"/>
                <w:b w:val="1"/>
                <w:bCs w:val="1"/>
                <w:color w:val="auto"/>
              </w:rPr>
              <w:t xml:space="preserve">Prime Floors (Prime Loans) </w:t>
            </w:r>
            <w:r>
              <w:rPr>
                <w:rFonts w:ascii="Arial" w:cs="Arial" w:eastAsia="Arial" w:hAnsi="Arial"/>
                <w:sz w:val="24"/>
                <w:szCs w:val="24"/>
                <w:color w:val="auto"/>
                <w:vertAlign w:val="superscript"/>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February 1, 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May 1, 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August 1, 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November 1, 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February 4, 2010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May 4, 2010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August 1, 2010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37"/>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August 4, 2010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0"/>
                <w:szCs w:val="20"/>
                <w:color w:val="auto"/>
              </w:rPr>
            </w:pP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8.75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23"/>
        </w:trPr>
        <w:tc>
          <w:tcPr>
            <w:tcW w:w="602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jc w:val="right"/>
              <w:ind w:right="100"/>
              <w:spacing w:after="0"/>
              <w:rPr>
                <w:sz w:val="20"/>
                <w:szCs w:val="20"/>
                <w:color w:val="auto"/>
              </w:rPr>
            </w:pPr>
            <w:r>
              <w:rPr>
                <w:rFonts w:ascii="Arial" w:cs="Arial" w:eastAsia="Arial" w:hAnsi="Arial"/>
                <w:sz w:val="18"/>
                <w:szCs w:val="18"/>
                <w:color w:val="auto"/>
              </w:rPr>
              <w:t>Total Cash Flow Hedges: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1,180,000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 Derivative Contracts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1,285,000</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(1) Rate Paid equals 1-Month LIBOR minus .2725</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5900" w:type="dxa"/>
            <w:vAlign w:val="bottom"/>
          </w:tcPr>
          <w:p>
            <w:pPr>
              <w:ind w:left="20"/>
              <w:spacing w:after="0"/>
              <w:rPr>
                <w:sz w:val="20"/>
                <w:szCs w:val="20"/>
                <w:color w:val="auto"/>
              </w:rPr>
            </w:pPr>
            <w:r>
              <w:rPr>
                <w:rFonts w:ascii="Arial" w:cs="Arial" w:eastAsia="Arial" w:hAnsi="Arial"/>
                <w:sz w:val="18"/>
                <w:szCs w:val="18"/>
                <w:color w:val="auto"/>
              </w:rPr>
              <w:t>Rate Paid equals 1-Month LIBOR minus .1280</w:t>
            </w: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(2) Rate Paid equals 1-Month LIBOR minus .0075</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5900" w:type="dxa"/>
            <w:vAlign w:val="bottom"/>
          </w:tcPr>
          <w:p>
            <w:pPr>
              <w:ind w:left="20"/>
              <w:spacing w:after="0"/>
              <w:rPr>
                <w:sz w:val="20"/>
                <w:szCs w:val="20"/>
                <w:color w:val="auto"/>
              </w:rPr>
            </w:pPr>
            <w:r>
              <w:rPr>
                <w:rFonts w:ascii="Arial" w:cs="Arial" w:eastAsia="Arial" w:hAnsi="Arial"/>
                <w:sz w:val="18"/>
                <w:szCs w:val="18"/>
                <w:color w:val="auto"/>
              </w:rPr>
              <w:t>Rate Paid equals Prime rate as of March 31, 2008</w:t>
            </w: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(3) Rate Paid equals 1-Month LIBOR minus .3435</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5900" w:type="dxa"/>
            <w:vAlign w:val="bottom"/>
          </w:tcPr>
          <w:p>
            <w:pPr>
              <w:ind w:left="20"/>
              <w:spacing w:after="0"/>
              <w:rPr>
                <w:sz w:val="20"/>
                <w:szCs w:val="20"/>
                <w:color w:val="auto"/>
              </w:rPr>
            </w:pPr>
            <w:r>
              <w:rPr>
                <w:rFonts w:ascii="Arial" w:cs="Arial" w:eastAsia="Arial" w:hAnsi="Arial"/>
                <w:sz w:val="18"/>
                <w:szCs w:val="18"/>
                <w:color w:val="auto"/>
                <w:w w:val="91"/>
              </w:rPr>
              <w:t>Floor contracts receive cash payments equal to the floor rate less the prime rate.</w:t>
            </w:r>
          </w:p>
        </w:tc>
      </w:tr>
      <w:tr>
        <w:trPr>
          <w:trHeight w:val="230"/>
        </w:trPr>
        <w:tc>
          <w:tcPr>
            <w:tcW w:w="4640" w:type="dxa"/>
            <w:vAlign w:val="bottom"/>
          </w:tcPr>
          <w:p>
            <w:pPr>
              <w:ind w:left="340"/>
              <w:spacing w:after="0"/>
              <w:rPr>
                <w:sz w:val="20"/>
                <w:szCs w:val="20"/>
                <w:color w:val="auto"/>
              </w:rPr>
            </w:pPr>
            <w:r>
              <w:rPr>
                <w:rFonts w:ascii="Arial" w:cs="Arial" w:eastAsia="Arial" w:hAnsi="Arial"/>
                <w:sz w:val="18"/>
                <w:szCs w:val="18"/>
                <w:color w:val="auto"/>
              </w:rPr>
              <w:t>(4) Rate Paid equals 1-Month LIBOR minus .1101</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5900" w:type="dxa"/>
            <w:vAlign w:val="bottom"/>
          </w:tcPr>
          <w:p>
            <w:pPr>
              <w:ind w:left="20"/>
              <w:spacing w:after="0"/>
              <w:rPr>
                <w:sz w:val="20"/>
                <w:szCs w:val="20"/>
                <w:color w:val="auto"/>
              </w:rPr>
            </w:pPr>
            <w:r>
              <w:rPr>
                <w:rFonts w:ascii="Arial" w:cs="Arial" w:eastAsia="Arial" w:hAnsi="Arial"/>
                <w:sz w:val="18"/>
                <w:szCs w:val="18"/>
                <w:color w:val="auto"/>
              </w:rPr>
              <w:t>Excludes accrued interest</w:t>
            </w:r>
          </w:p>
        </w:tc>
      </w:tr>
      <w:tr>
        <w:trPr>
          <w:trHeight w:val="459"/>
        </w:trPr>
        <w:tc>
          <w:tcPr>
            <w:tcW w:w="4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25</w:t>
            </w:r>
          </w:p>
        </w:tc>
      </w:tr>
      <w:tr>
        <w:trPr>
          <w:trHeight w:val="108"/>
        </w:trPr>
        <w:tc>
          <w:tcPr>
            <w:tcW w:w="4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8" w:right="2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March 31, 2008, United had interest rate swap contracts with a total notional amount of $680 million that were designated as cash flow hedges of prime-based loans. United had interest rate floor contracts with a total notional of $500 million that were also designated as cash flow hedges of prime-based loans. United also had receive fixed, pay LIBOR swap contracts with a total notional of $105 million that were accounted for as fair value hedges of brokered deposits and fixed-rate FHLB advances.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the financial condition or results of operations. In order to mitigate potential credit risk, from time to time United may require the counterparties to derivative contracts to pledge securities as collateral to cover the net exposure.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primary objectives of asset/liability management are to provide for adequate liquidity in order to meet the needs of customers and to maintain an optimal balance between interest-sensitive assets and interest-sensitive liabilities; so that United can also meet the investment requirements of its shareholders as market interest rates change. Daily monitoring of the sources and uses of funds is necessary to maintain a position that meets both requirements.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Mortgage loans held for sale totaled $28.5 million at March 31, 2008, and typically turn over every 45 days as the closed loans are sold to investors in the secondary market.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has available a line of credit and a joint credit agreement at its holding company with other financial institutions totaling $80 million. At March 31, 2008, United had no balances outstanding on those lines. United had sufficient qualifying collateral to increase FHLB advances by $596 million at March 31, 2008. United’s internal policy limits brokered deposits to 25% of total non-brokered deposits. At March 31, 2008, United had the capacity to increase brokered deposits by $1.0 billion and still remain within this limit. Also, United had sufficient qualifying assets pledged to the Federal Reserve under the Term Auction Facility to increase short-term borrowings by $86 million.</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$31.8 million for the three months ended March 31, 2008. The major contributors in this category were net income of $16.1 million, plus non-cash expenses for depreciation, amortization and accretion of $3.6 million, provision for loan losses of $7.5 million, stock based compensation of $975,000, a decrease in other assets and accrued interest receivable of $8.9 million, offset by a decrease of accrued expenses and other liabilities of $4.8 million. Net cash used by investing activities of $154.7 million consisted primarily of a net increase in loans totaling $63.1 million, purchases of premises and equipment of $3.8 million, and $296.2 million used to purchase investment securities, partially offset by proceeds from sales of securities of $25.0 million, maturities and calls of investment securities of $175.0 million, and sales of other real estate of $8.2 million. Net cash provided by financing activities of $86.3 million consisted primarily of a net increase in deposits of $99.9 million and a net increase in FHLB advances of $95.0 million, offset by a net decrease of $105.6 million in federal funds purchased, repurchase agreements, and other short-term borrowings and cash dividends paid of $4.2 million. In the opinion of management, the liquidity position at March 31, 2008 is sufficient to meet its expected cash flow requirements.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Shareholders' equity at March 31, 2008 was $871.5 million, an increase of $233 million, or 36%, from March 31, 2007. Accumulated other comprehensive income (loss) is not included in the calculation of regulatory capital adequacy ratios. Excluding the change in the accumulated other comprehensive income (loss), shareholders’ equity increased $193 million, or 30%, from March 31, 2007. Dividends of $4.2 million, or $.09 per share, were declared on common stock during the first quarter of 2008, an increase of 9% from the amount declared in the same period in 2007 due to an increase in the number of outstanding shares. The dividend payout ratio was 26% for the first quarter of 2008, compared to 20% for the first quarter of 2007. Although, United retains a portion of its earnings in order to provide a cost effective source of capital for continued growth and expansion, United recognizes that cash dividends are an important component of shareholder value, and therefore, provides for cash dividends when earnings and capital levels permit.</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Board of Directors has authorized the repurchase of United’s outstanding common stock for the general corporate purposes. At March 31, 2008, 1,000,000 shares remained available to be repurchased under the current 3,000,000 share authorization through December 31, 2008. During the first quarter of 2008, optionees delivered 5,179 shares to exercise stock options.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2008 and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Stock Price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2008</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Avg Daily</w:t>
            </w:r>
          </w:p>
        </w:tc>
        <w:tc>
          <w:tcPr>
            <w:tcW w:w="20" w:type="dxa"/>
            <w:vAlign w:val="bottom"/>
          </w:tcPr>
          <w:p>
            <w:pPr>
              <w:spacing w:after="0"/>
              <w:rPr>
                <w:sz w:val="17"/>
                <w:szCs w:val="17"/>
                <w:color w:val="auto"/>
              </w:rPr>
            </w:pPr>
          </w:p>
        </w:tc>
      </w:tr>
      <w:tr>
        <w:trPr>
          <w:trHeight w:val="241"/>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Close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Close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Volume</w:t>
            </w:r>
          </w:p>
        </w:tc>
        <w:tc>
          <w:tcPr>
            <w:tcW w:w="20" w:type="dxa"/>
            <w:vAlign w:val="bottom"/>
          </w:tcPr>
          <w:p>
            <w:pPr>
              <w:spacing w:after="0"/>
              <w:rPr>
                <w:sz w:val="20"/>
                <w:szCs w:val="20"/>
                <w:color w:val="auto"/>
              </w:rPr>
            </w:pP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20.80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16.98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441,659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32.79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232,269</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Second quarter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33.03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25.80</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25.89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266,682</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Third quarter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22.16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24.52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346,596</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Fourth quarter</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25.73</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15.80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421,910</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quarterly cash dividends declared in 2008 and 2007 and the respective payout ratios as a percentage of basic earnings per share, which excludes merger-related charges.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w w:val="97"/>
              </w:rPr>
              <w:t>Table 12 - Dividend Payout Information</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9"/>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Dividend</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Payout %</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Dividend</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Payout %</w:t>
            </w:r>
          </w:p>
        </w:tc>
        <w:tc>
          <w:tcPr>
            <w:tcW w:w="80" w:type="dxa"/>
            <w:vAlign w:val="bottom"/>
          </w:tcPr>
          <w:p>
            <w:pPr>
              <w:spacing w:after="0"/>
              <w:rPr>
                <w:sz w:val="19"/>
                <w:szCs w:val="19"/>
                <w:color w:val="auto"/>
              </w:rPr>
            </w:pP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79"/>
              </w:rPr>
              <w:t>20</w:t>
            </w:r>
          </w:p>
        </w:tc>
        <w:tc>
          <w:tcPr>
            <w:tcW w:w="80" w:type="dxa"/>
            <w:vAlign w:val="bottom"/>
          </w:tcPr>
          <w:p>
            <w:pPr>
              <w:spacing w:after="0"/>
              <w:rPr>
                <w:sz w:val="24"/>
                <w:szCs w:val="24"/>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w w:val="88"/>
              </w:rPr>
              <w:t>19*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79"/>
              </w:rPr>
              <w:t>19</w:t>
            </w:r>
          </w:p>
        </w:tc>
        <w:tc>
          <w:tcPr>
            <w:tcW w:w="8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w w:val="88"/>
              </w:rPr>
              <w:t>69*</w:t>
            </w:r>
          </w:p>
        </w:tc>
      </w:tr>
    </w:tbl>
    <w:p>
      <w:pPr>
        <w:spacing w:after="0" w:line="200" w:lineRule="exact"/>
        <w:rPr>
          <w:sz w:val="20"/>
          <w:szCs w:val="20"/>
          <w:color w:val="auto"/>
        </w:rPr>
      </w:pPr>
    </w:p>
    <w:p>
      <w:pPr>
        <w:spacing w:after="0" w:line="245" w:lineRule="exact"/>
        <w:rPr>
          <w:sz w:val="20"/>
          <w:szCs w:val="20"/>
          <w:color w:val="auto"/>
        </w:rPr>
      </w:pPr>
    </w:p>
    <w:p>
      <w:pPr>
        <w:ind w:left="1720" w:right="2160" w:firstLine="3"/>
        <w:spacing w:after="0" w:line="291" w:lineRule="auto"/>
        <w:tabs>
          <w:tab w:leader="none" w:pos="185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basic operating earnings per share which excludes the effect of the $15 million special fraud-related provision for loan losses in the second quarter of 2007 and $3 million in the fourth quarter of</w:t>
      </w:r>
    </w:p>
    <w:p>
      <w:pPr>
        <w:ind w:left="1720" w:right="2040"/>
        <w:spacing w:after="0" w:line="261" w:lineRule="auto"/>
        <w:rPr>
          <w:rFonts w:ascii="Arial" w:cs="Arial" w:eastAsia="Arial" w:hAnsi="Arial"/>
          <w:sz w:val="16"/>
          <w:szCs w:val="16"/>
          <w:color w:val="auto"/>
        </w:rPr>
      </w:pPr>
      <w:r>
        <w:rPr>
          <w:rFonts w:ascii="Arial" w:cs="Arial" w:eastAsia="Arial" w:hAnsi="Arial"/>
          <w:sz w:val="18"/>
          <w:szCs w:val="18"/>
          <w:color w:val="auto"/>
        </w:rPr>
        <w:t>2007. Including the special provisions, the dividend payout ratio was 35% and 100%, respectively, for the second and fourth quarters of 2007.</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risk-adjusted assets to determine the risk based capital ratios. The guidelines require an 8% total risk-based capital ratio, of which 4% must be Tier I capital. To be considered well capitalized under the guidelines, a 10% total risk-based capital ratio is required, of which 6% must be Tier I capital.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jc w:val="both"/>
        <w:spacing w:after="0" w:line="276" w:lineRule="auto"/>
        <w:rPr>
          <w:sz w:val="20"/>
          <w:szCs w:val="20"/>
          <w:color w:val="auto"/>
        </w:rPr>
      </w:pPr>
      <w:r>
        <w:rPr>
          <w:rFonts w:ascii="Arial" w:cs="Arial" w:eastAsia="Arial" w:hAnsi="Arial"/>
          <w:sz w:val="17"/>
          <w:szCs w:val="17"/>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United’s capital ratios, as calculated under regulatory guidelines, at March 31, 2008 and 2007.</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Table 13 - Capital Ratios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17"/>
                <w:szCs w:val="17"/>
                <w:color w:val="auto"/>
              </w:rPr>
            </w:pPr>
          </w:p>
        </w:tc>
        <w:tc>
          <w:tcPr>
            <w:tcW w:w="106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Regulatory</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17"/>
                <w:szCs w:val="17"/>
                <w:color w:val="auto"/>
              </w:rPr>
            </w:pPr>
          </w:p>
        </w:tc>
        <w:tc>
          <w:tcPr>
            <w:tcW w:w="106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Regulatory</w:t>
            </w:r>
          </w:p>
        </w:tc>
        <w:tc>
          <w:tcPr>
            <w:tcW w:w="140" w:type="dxa"/>
            <w:vAlign w:val="bottom"/>
          </w:tcPr>
          <w:p>
            <w:pPr>
              <w:spacing w:after="0"/>
              <w:rPr>
                <w:sz w:val="17"/>
                <w:szCs w:val="17"/>
                <w:color w:val="auto"/>
              </w:rPr>
            </w:pPr>
          </w:p>
        </w:tc>
      </w:tr>
      <w:tr>
        <w:trPr>
          <w:trHeight w:val="241"/>
        </w:trPr>
        <w:tc>
          <w:tcPr>
            <w:tcW w:w="2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Minimum</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Minimum</w:t>
            </w:r>
          </w:p>
        </w:tc>
      </w:tr>
      <w:tr>
        <w:trPr>
          <w:trHeight w:val="418"/>
        </w:trPr>
        <w:tc>
          <w:tcPr>
            <w:tcW w:w="2460" w:type="dxa"/>
            <w:vAlign w:val="bottom"/>
          </w:tcPr>
          <w:p>
            <w:pPr>
              <w:spacing w:after="0"/>
              <w:rPr>
                <w:sz w:val="20"/>
                <w:szCs w:val="20"/>
                <w:color w:val="auto"/>
              </w:rPr>
            </w:pPr>
            <w:r>
              <w:rPr>
                <w:rFonts w:ascii="Arial" w:cs="Arial" w:eastAsia="Arial" w:hAnsi="Arial"/>
                <w:sz w:val="18"/>
                <w:szCs w:val="18"/>
                <w:color w:val="auto"/>
              </w:rPr>
              <w:t>Tier I Leverage:</w:t>
            </w:r>
          </w:p>
        </w:tc>
        <w:tc>
          <w:tcPr>
            <w:tcW w:w="1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555,126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239,641</w:t>
            </w:r>
          </w:p>
        </w:tc>
        <w:tc>
          <w:tcPr>
            <w:tcW w:w="2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523,749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207,863</w:t>
            </w:r>
          </w:p>
        </w:tc>
        <w:tc>
          <w:tcPr>
            <w:tcW w:w="140" w:type="dxa"/>
            <w:vAlign w:val="bottom"/>
          </w:tcPr>
          <w:p>
            <w:pPr>
              <w:spacing w:after="0"/>
              <w:rPr>
                <w:sz w:val="18"/>
                <w:szCs w:val="18"/>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Ratio</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6.95%</w:t>
            </w:r>
          </w:p>
        </w:tc>
        <w:tc>
          <w:tcPr>
            <w:tcW w:w="1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418"/>
        </w:trPr>
        <w:tc>
          <w:tcPr>
            <w:tcW w:w="2460" w:type="dxa"/>
            <w:vAlign w:val="bottom"/>
          </w:tcPr>
          <w:p>
            <w:pPr>
              <w:spacing w:after="0"/>
              <w:rPr>
                <w:sz w:val="20"/>
                <w:szCs w:val="20"/>
                <w:color w:val="auto"/>
              </w:rPr>
            </w:pPr>
            <w:r>
              <w:rPr>
                <w:rFonts w:ascii="Arial" w:cs="Arial" w:eastAsia="Arial" w:hAnsi="Arial"/>
                <w:sz w:val="18"/>
                <w:szCs w:val="18"/>
                <w:color w:val="auto"/>
              </w:rPr>
              <w:t>Tier I Risk-Based:</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555,126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252,806</w:t>
            </w:r>
          </w:p>
        </w:tc>
        <w:tc>
          <w:tcPr>
            <w:tcW w:w="2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523,749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224,610</w:t>
            </w:r>
          </w:p>
        </w:tc>
        <w:tc>
          <w:tcPr>
            <w:tcW w:w="140" w:type="dxa"/>
            <w:vAlign w:val="bottom"/>
          </w:tcPr>
          <w:p>
            <w:pPr>
              <w:spacing w:after="0"/>
              <w:rPr>
                <w:sz w:val="18"/>
                <w:szCs w:val="18"/>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Ratio</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418"/>
        </w:trPr>
        <w:tc>
          <w:tcPr>
            <w:tcW w:w="2460" w:type="dxa"/>
            <w:vAlign w:val="bottom"/>
          </w:tcPr>
          <w:p>
            <w:pPr>
              <w:spacing w:after="0"/>
              <w:rPr>
                <w:sz w:val="20"/>
                <w:szCs w:val="20"/>
                <w:color w:val="auto"/>
              </w:rPr>
            </w:pPr>
            <w:r>
              <w:rPr>
                <w:rFonts w:ascii="Arial" w:cs="Arial" w:eastAsia="Arial" w:hAnsi="Arial"/>
                <w:sz w:val="18"/>
                <w:szCs w:val="18"/>
                <w:color w:val="auto"/>
              </w:rPr>
              <w:t>Total Risk-Based:</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694,462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505,613</w:t>
            </w:r>
          </w:p>
        </w:tc>
        <w:tc>
          <w:tcPr>
            <w:tcW w:w="2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659,053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449,220</w:t>
            </w:r>
          </w:p>
        </w:tc>
        <w:tc>
          <w:tcPr>
            <w:tcW w:w="140" w:type="dxa"/>
            <w:vAlign w:val="bottom"/>
          </w:tcPr>
          <w:p>
            <w:pPr>
              <w:spacing w:after="0"/>
              <w:rPr>
                <w:sz w:val="18"/>
                <w:szCs w:val="18"/>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Ratio</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ratios of United and the Banks currently exceed the minimum ratios as defined by federal regulators. United monitors these ratios to ensure that United and the Banks remain above regulatory minimum guidelines.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impact on the growth of total assets and the resulting need to increase equity capital at higher than normal rates in order to maintain an appropriate equity to assets ratio.</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believes the impact of inflation on financial results depends on United's ability to react to changes in interest rates and, by such reaction, reduce the inflationary impact on performance. United has an asset/liability management program to manage interest rate sensitivity. In addition, periodic reviews of banking services and products are conducted to adjust pricing in view of current and expected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March 31, 2008 from that presented in the Annual Report on Form 10-K for the year ended December 31, 2007. The interest rate sensitivity position at March 31, 2008 is included in management’s discussion and analysis on page 24 of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United’s management, including the Chief Executive Officer and Chief Financial Officer, supervised and participated in an evaluation of the company’s disclosure controls and procedures as of March 31, 2008.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operations, United and the Banks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United’s Form 10-K for the year ended December 31, 2007.</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 – None</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 – None</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jc w:val="both"/>
        <w:ind w:left="1720" w:hanging="566"/>
        <w:spacing w:after="0" w:line="264" w:lineRule="auto"/>
        <w:tabs>
          <w:tab w:leader="none" w:pos="1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Articles of Incorporation of United Community Banks, Inc., (incorporated herein by reference to Exhibit 3.1 to United Community Banks, Inc.’s Quarterly Report on Form 10-Q for the quarter ended June 30, 2001, File No. 0-21656, filed with the Commission on August 14, 2001).</w:t>
      </w:r>
    </w:p>
    <w:p>
      <w:pPr>
        <w:spacing w:after="0" w:line="181" w:lineRule="exact"/>
        <w:rPr>
          <w:sz w:val="20"/>
          <w:szCs w:val="20"/>
          <w:color w:val="auto"/>
        </w:rPr>
      </w:pPr>
    </w:p>
    <w:p>
      <w:pPr>
        <w:jc w:val="both"/>
        <w:ind w:left="1720" w:hanging="566"/>
        <w:spacing w:after="0" w:line="264" w:lineRule="auto"/>
        <w:tabs>
          <w:tab w:leader="none" w:pos="1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Amendment to the Restated Articles of Incorporation of United Community Banks, Inc. (incorporated herein by reference to Exhibit 3.3 to United Community Banks, Inc.’s Registration Statement on Form S-4, File No. 333-118893, filed with the Commission on September 9, 2004).</w:t>
      </w:r>
    </w:p>
    <w:p>
      <w:pPr>
        <w:spacing w:after="0" w:line="181" w:lineRule="exact"/>
        <w:rPr>
          <w:sz w:val="20"/>
          <w:szCs w:val="20"/>
          <w:color w:val="auto"/>
        </w:rPr>
      </w:pPr>
    </w:p>
    <w:p>
      <w:pPr>
        <w:jc w:val="both"/>
        <w:ind w:left="1720" w:hanging="566"/>
        <w:spacing w:after="0" w:line="264" w:lineRule="auto"/>
        <w:tabs>
          <w:tab w:leader="none" w:pos="17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United Community Banks, Inc., dated September 12, 1997 (incorporated herein by reference to Exhibit 3.1 to United Community Banks, Inc.’s Annual Report on Form 10-K, for the year ended December 31, 1997, File No. 0-21656, filed with the Commission on March 27, 1998).</w:t>
      </w:r>
    </w:p>
    <w:p>
      <w:pPr>
        <w:spacing w:after="0" w:line="181" w:lineRule="exact"/>
        <w:rPr>
          <w:sz w:val="20"/>
          <w:szCs w:val="20"/>
          <w:color w:val="auto"/>
        </w:rPr>
      </w:pPr>
    </w:p>
    <w:p>
      <w:pPr>
        <w:jc w:val="both"/>
        <w:ind w:left="1720" w:hanging="566"/>
        <w:spacing w:after="0" w:line="277" w:lineRule="auto"/>
        <w:tabs>
          <w:tab w:leader="none" w:pos="1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See Exhibits 3.1, 3.2 and 3.3 for provisions of the Restated Articles of Incorporation, as amended, and Amended and Restated Bylaws, which define the rights of the Shareholders.</w:t>
      </w:r>
    </w:p>
    <w:p>
      <w:pPr>
        <w:spacing w:after="0" w:line="197" w:lineRule="exact"/>
        <w:rPr>
          <w:sz w:val="20"/>
          <w:szCs w:val="20"/>
          <w:color w:val="auto"/>
        </w:rPr>
      </w:pPr>
    </w:p>
    <w:p>
      <w:pPr>
        <w:jc w:val="both"/>
        <w:ind w:left="1720" w:right="20" w:hanging="566"/>
        <w:spacing w:after="0" w:line="277" w:lineRule="auto"/>
        <w:tabs>
          <w:tab w:leader="none" w:pos="1700" w:val="left"/>
        </w:tabs>
        <w:rPr>
          <w:sz w:val="20"/>
          <w:szCs w:val="20"/>
          <w:color w:val="auto"/>
        </w:rPr>
      </w:pPr>
      <w:r>
        <w:rPr>
          <w:rFonts w:ascii="Arial" w:cs="Arial" w:eastAsia="Arial" w:hAnsi="Arial"/>
          <w:sz w:val="18"/>
          <w:szCs w:val="18"/>
          <w:color w:val="auto"/>
        </w:rPr>
        <w:t>31.1</w:t>
        <w:tab/>
        <w:t>Certification by Jimmy C. Tallent, President and Chief Executive Officer of United Community Banks, Inc., as adopted pursuant to Section 302 of the Sarbanes-Oxley Act of 2002</w:t>
      </w:r>
    </w:p>
    <w:p>
      <w:pPr>
        <w:spacing w:after="0" w:line="170" w:lineRule="exact"/>
        <w:rPr>
          <w:sz w:val="20"/>
          <w:szCs w:val="20"/>
          <w:color w:val="auto"/>
        </w:rPr>
      </w:pPr>
    </w:p>
    <w:p>
      <w:pPr>
        <w:jc w:val="both"/>
        <w:ind w:left="1720" w:hanging="566"/>
        <w:spacing w:after="0" w:line="277" w:lineRule="auto"/>
        <w:tabs>
          <w:tab w:leader="none" w:pos="1700" w:val="left"/>
        </w:tabs>
        <w:rPr>
          <w:sz w:val="20"/>
          <w:szCs w:val="20"/>
          <w:color w:val="auto"/>
        </w:rPr>
      </w:pPr>
      <w:r>
        <w:rPr>
          <w:rFonts w:ascii="Arial" w:cs="Arial" w:eastAsia="Arial" w:hAnsi="Arial"/>
          <w:sz w:val="18"/>
          <w:szCs w:val="18"/>
          <w:color w:val="auto"/>
        </w:rPr>
        <w:t>31.2</w:t>
        <w:tab/>
        <w:t>Certification by Rex S. Schuette, Executive Vice President and Chief Financial Officer of United Community Banks, Inc., as adopted pursuant to Section 302 of the Sarbanes-Oxley Act of 2002</w:t>
      </w:r>
    </w:p>
    <w:p>
      <w:pPr>
        <w:spacing w:after="0" w:line="170" w:lineRule="exact"/>
        <w:rPr>
          <w:sz w:val="20"/>
          <w:szCs w:val="20"/>
          <w:color w:val="auto"/>
        </w:rPr>
      </w:pPr>
    </w:p>
    <w:p>
      <w:pPr>
        <w:ind w:left="5620" w:right="960" w:hanging="4464"/>
        <w:spacing w:after="0" w:line="559" w:lineRule="auto"/>
        <w:tabs>
          <w:tab w:leader="none" w:pos="1719"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INC.</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6"/>
          <w:szCs w:val="16"/>
          <w:b w:val="1"/>
          <w:bCs w:val="1"/>
          <w:i w:val="1"/>
          <w:iCs w:val="1"/>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i w:val="1"/>
          <w:iCs w:val="1"/>
          <w:color w:val="auto"/>
        </w:rPr>
        <w:t>Jimmy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w:t>
      </w:r>
    </w:p>
    <w:p>
      <w:pPr>
        <w:spacing w:after="0" w:line="46" w:lineRule="exact"/>
        <w:rPr>
          <w:sz w:val="20"/>
          <w:szCs w:val="20"/>
          <w:color w:val="auto"/>
        </w:rPr>
      </w:pPr>
    </w:p>
    <w:p>
      <w:pPr>
        <w:sectPr>
          <w:pgSz w:w="11900" w:h="16838" w:orient="portrait"/>
          <w:cols w:equalWidth="0" w:num="3">
            <w:col w:w="6180" w:space="720"/>
            <w:col w:w="780" w:space="720"/>
            <w:col w:w="3020"/>
          </w:cols>
          <w:pgMar w:left="240" w:top="364" w:right="239" w:bottom="1440" w:gutter="0" w:footer="0" w:header="0"/>
          <w:type w:val="continuous"/>
        </w:sectPr>
      </w:pPr>
    </w:p>
    <w:p>
      <w:pPr>
        <w:jc w:val="center"/>
        <w:ind w:left="540"/>
        <w:spacing w:after="0"/>
        <w:rPr>
          <w:sz w:val="20"/>
          <w:szCs w:val="20"/>
          <w:color w:val="auto"/>
        </w:rPr>
      </w:pPr>
      <w:r>
        <w:rPr>
          <w:rFonts w:ascii="Arial" w:cs="Arial" w:eastAsia="Arial" w:hAnsi="Arial"/>
          <w:sz w:val="16"/>
          <w:szCs w:val="16"/>
          <w:b w:val="1"/>
          <w:bCs w:val="1"/>
          <w:i w:val="1"/>
          <w:iCs w:val="1"/>
          <w:color w:val="auto"/>
        </w:rPr>
        <w:t>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20320</wp:posOffset>
            </wp:positionV>
            <wp:extent cx="18097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p>
      <w:pPr>
        <w:spacing w:after="0" w:line="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b w:val="1"/>
                <w:bCs w:val="1"/>
                <w:i w:val="1"/>
                <w:iCs w:val="1"/>
                <w:color w:val="auto"/>
              </w:rPr>
              <w:t>/s/</w:t>
            </w:r>
          </w:p>
        </w:tc>
        <w:tc>
          <w:tcPr>
            <w:tcW w:w="1180" w:type="dxa"/>
            <w:vAlign w:val="bottom"/>
          </w:tcPr>
          <w:p>
            <w:pPr>
              <w:jc w:val="center"/>
              <w:ind w:right="630"/>
              <w:spacing w:after="0"/>
              <w:rPr>
                <w:sz w:val="20"/>
                <w:szCs w:val="20"/>
                <w:color w:val="auto"/>
              </w:rPr>
            </w:pPr>
            <w:r>
              <w:rPr>
                <w:rFonts w:ascii="Arial" w:cs="Arial" w:eastAsia="Arial" w:hAnsi="Arial"/>
                <w:sz w:val="18"/>
                <w:szCs w:val="18"/>
                <w:b w:val="1"/>
                <w:bCs w:val="1"/>
                <w:i w:val="1"/>
                <w:iCs w:val="1"/>
                <w:color w:val="auto"/>
                <w:w w:val="90"/>
              </w:rPr>
              <w:t>Rex</w:t>
            </w:r>
          </w:p>
        </w:tc>
        <w:tc>
          <w:tcPr>
            <w:tcW w:w="4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S.</w:t>
            </w:r>
          </w:p>
        </w:tc>
      </w:tr>
      <w:tr>
        <w:trPr>
          <w:trHeight w:val="237"/>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Schuette</w:t>
            </w:r>
          </w:p>
        </w:tc>
        <w:tc>
          <w:tcPr>
            <w:tcW w:w="1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w w:val="90"/>
              </w:rPr>
              <w:t>Rex S. Schuette</w:t>
            </w: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Executive Vice President and</w:t>
            </w:r>
          </w:p>
        </w:tc>
        <w:tc>
          <w:tcPr>
            <w:tcW w:w="48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480" w:type="dxa"/>
            <w:vAlign w:val="bottom"/>
          </w:tcPr>
          <w:p>
            <w:pPr>
              <w:spacing w:after="0"/>
              <w:rPr>
                <w:sz w:val="18"/>
                <w:szCs w:val="18"/>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480" w:type="dxa"/>
            <w:vAlign w:val="bottom"/>
          </w:tcPr>
          <w:p>
            <w:pPr>
              <w:spacing w:after="0"/>
              <w:rPr>
                <w:sz w:val="20"/>
                <w:szCs w:val="20"/>
                <w:color w:val="auto"/>
              </w:rPr>
            </w:pPr>
          </w:p>
        </w:tc>
      </w:tr>
      <w:tr>
        <w:trPr>
          <w:trHeight w:val="634"/>
        </w:trPr>
        <w:tc>
          <w:tcPr>
            <w:tcW w:w="1200" w:type="dxa"/>
            <w:vAlign w:val="bottom"/>
          </w:tcPr>
          <w:p>
            <w:pPr>
              <w:spacing w:after="0"/>
              <w:rPr>
                <w:sz w:val="20"/>
                <w:szCs w:val="20"/>
                <w:color w:val="auto"/>
              </w:rPr>
            </w:pPr>
            <w:r>
              <w:rPr>
                <w:rFonts w:ascii="Arial" w:cs="Arial" w:eastAsia="Arial" w:hAnsi="Arial"/>
                <w:sz w:val="18"/>
                <w:szCs w:val="18"/>
                <w:b w:val="1"/>
                <w:bCs w:val="1"/>
                <w:i w:val="1"/>
                <w:iCs w:val="1"/>
                <w:color w:val="auto"/>
              </w:rPr>
              <w:t>/s/</w:t>
            </w:r>
          </w:p>
        </w:tc>
        <w:tc>
          <w:tcPr>
            <w:tcW w:w="1180" w:type="dxa"/>
            <w:vAlign w:val="bottom"/>
          </w:tcPr>
          <w:p>
            <w:pPr>
              <w:jc w:val="center"/>
              <w:ind w:right="650"/>
              <w:spacing w:after="0"/>
              <w:rPr>
                <w:sz w:val="20"/>
                <w:szCs w:val="20"/>
                <w:color w:val="auto"/>
              </w:rPr>
            </w:pPr>
            <w:r>
              <w:rPr>
                <w:rFonts w:ascii="Arial" w:cs="Arial" w:eastAsia="Arial" w:hAnsi="Arial"/>
                <w:sz w:val="18"/>
                <w:szCs w:val="18"/>
                <w:b w:val="1"/>
                <w:bCs w:val="1"/>
                <w:i w:val="1"/>
                <w:iCs w:val="1"/>
                <w:color w:val="auto"/>
                <w:w w:val="92"/>
              </w:rPr>
              <w:t>Alan</w:t>
            </w:r>
          </w:p>
        </w:tc>
        <w:tc>
          <w:tcPr>
            <w:tcW w:w="4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H.</w:t>
            </w:r>
          </w:p>
        </w:tc>
      </w:tr>
      <w:tr>
        <w:trPr>
          <w:trHeight w:val="230"/>
        </w:trPr>
        <w:tc>
          <w:tcPr>
            <w:tcW w:w="1200" w:type="dxa"/>
            <w:vAlign w:val="bottom"/>
          </w:tcPr>
          <w:p>
            <w:pPr>
              <w:spacing w:after="0"/>
              <w:rPr>
                <w:sz w:val="20"/>
                <w:szCs w:val="20"/>
                <w:color w:val="auto"/>
              </w:rPr>
            </w:pPr>
            <w:r>
              <w:rPr>
                <w:rFonts w:ascii="Arial" w:cs="Arial" w:eastAsia="Arial" w:hAnsi="Arial"/>
                <w:sz w:val="18"/>
                <w:szCs w:val="18"/>
                <w:b w:val="1"/>
                <w:bCs w:val="1"/>
                <w:i w:val="1"/>
                <w:iCs w:val="1"/>
                <w:color w:val="auto"/>
              </w:rPr>
              <w:t>Kumler</w:t>
            </w: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18097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Senior Vice President and Controller</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7, 2008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64" w:right="2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President and Chief Executive Officer of United Community Banks, Inc. (the “registrant”), certify that:</w:t>
      </w:r>
    </w:p>
    <w:p>
      <w:pPr>
        <w:spacing w:after="0" w:line="252"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872"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firstLine="8"/>
        <w:spacing w:after="0" w:line="277" w:lineRule="auto"/>
        <w:tabs>
          <w:tab w:leader="none" w:pos="2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7, 2008</w:t>
      </w:r>
    </w:p>
    <w:p>
      <w:pPr>
        <w:sectPr>
          <w:pgSz w:w="11900" w:h="16838" w:orient="portrait"/>
          <w:cols w:equalWidth="0" w:num="1">
            <w:col w:w="11420"/>
          </w:cols>
          <w:pgMar w:left="240" w:top="24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Executive Vice President and Chief Financial Officer of United Community Banks, Inc. (the “registrant”), certify that:</w:t>
      </w:r>
    </w:p>
    <w:p>
      <w:pPr>
        <w:spacing w:after="0" w:line="252"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872"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firstLine="8"/>
        <w:spacing w:after="0" w:line="277"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7, 2008</w:t>
      </w:r>
    </w:p>
    <w:p>
      <w:pPr>
        <w:sectPr>
          <w:pgSz w:w="11900" w:h="16838" w:orient="portrait"/>
          <w:cols w:equalWidth="0" w:num="1">
            <w:col w:w="11420"/>
          </w:cols>
          <w:pgMar w:left="240" w:top="24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2008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200" w:lineRule="exact"/>
        <w:rPr>
          <w:sz w:val="20"/>
          <w:szCs w:val="20"/>
          <w:color w:val="auto"/>
        </w:rPr>
      </w:pPr>
    </w:p>
    <w:p>
      <w:pPr>
        <w:spacing w:after="0" w:line="257" w:lineRule="exact"/>
        <w:rPr>
          <w:sz w:val="20"/>
          <w:szCs w:val="20"/>
          <w:color w:val="auto"/>
        </w:rPr>
      </w:pPr>
    </w:p>
    <w:p>
      <w:pPr>
        <w:ind w:left="920" w:hanging="33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7, 2008</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2019-12-11T14:46:03Z</dcterms:created>
  <dcterms:modified xsi:type="dcterms:W3CDTF">2019-12-11T14:46:03Z</dcterms:modified>
</cp:coreProperties>
</file>