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216535</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248920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2013</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001-35095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240665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UNITED COMMUNITY BANKS,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208280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5920" w:type="dxa"/>
            <w:vAlign w:val="bottom"/>
            <w:gridSpan w:val="2"/>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58-1807304</w:t>
            </w:r>
          </w:p>
        </w:tc>
      </w:tr>
      <w:tr>
        <w:trPr>
          <w:trHeight w:val="194"/>
        </w:trPr>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60" w:type="dxa"/>
            <w:vAlign w:val="bottom"/>
          </w:tcPr>
          <w:p>
            <w:pPr>
              <w:spacing w:after="0"/>
              <w:rPr>
                <w:sz w:val="16"/>
                <w:szCs w:val="16"/>
                <w:color w:val="auto"/>
              </w:rPr>
            </w:pPr>
          </w:p>
        </w:tc>
        <w:tc>
          <w:tcPr>
            <w:tcW w:w="54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39"/>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125 Highway 515 East, Blairsville, Georgia</w:t>
            </w:r>
          </w:p>
        </w:tc>
        <w:tc>
          <w:tcPr>
            <w:tcW w:w="5920" w:type="dxa"/>
            <w:vAlign w:val="bottom"/>
            <w:gridSpan w:val="2"/>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30512</w:t>
            </w:r>
          </w:p>
        </w:tc>
      </w:tr>
      <w:tr>
        <w:trPr>
          <w:trHeight w:val="238"/>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6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(706) 781-2265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None</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 Nasdaq Global Select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226695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 x No o</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Sections 13 or 15(d) of the Act. Yes o No x</w:t>
      </w:r>
    </w:p>
    <w:p>
      <w:pPr>
        <w:spacing w:after="0" w:line="252" w:lineRule="exact"/>
        <w:rPr>
          <w:sz w:val="24"/>
          <w:szCs w:val="24"/>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3"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3"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03"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81" w:right="239" w:bottom="0" w:gutter="0" w:footer="0" w:header="0"/>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22" w:lineRule="exact"/>
        <w:rPr>
          <w:sz w:val="24"/>
          <w:szCs w:val="24"/>
          <w:color w:val="auto"/>
        </w:rPr>
      </w:pPr>
    </w:p>
    <w:p>
      <w:pPr>
        <w:sectPr>
          <w:pgSz w:w="11900" w:h="16838" w:orient="portrait"/>
          <w:cols w:equalWidth="0" w:num="4">
            <w:col w:w="1620" w:space="220"/>
            <w:col w:w="6360" w:space="720"/>
            <w:col w:w="1700" w:space="720"/>
            <w:col w:w="80"/>
          </w:cols>
          <w:pgMar w:left="240" w:top="281" w:right="23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22" w:lineRule="exact"/>
        <w:rPr>
          <w:sz w:val="24"/>
          <w:szCs w:val="24"/>
          <w:color w:val="auto"/>
        </w:rPr>
      </w:pPr>
    </w:p>
    <w:p>
      <w:pPr>
        <w:sectPr>
          <w:pgSz w:w="11900" w:h="16838" w:orient="portrait"/>
          <w:cols w:equalWidth="0" w:num="4">
            <w:col w:w="1540" w:space="300"/>
            <w:col w:w="6360" w:space="720"/>
            <w:col w:w="2080" w:space="340"/>
            <w:col w:w="80"/>
          </w:cols>
          <w:pgMar w:left="240" w:top="281" w:right="239" w:bottom="0"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o No x</w:t>
      </w:r>
    </w:p>
    <w:p>
      <w:pPr>
        <w:spacing w:after="0" w:line="252"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w:t>
      </w:r>
    </w:p>
    <w:p>
      <w:pPr>
        <w:sectPr>
          <w:pgSz w:w="11900" w:h="16838" w:orient="portrait"/>
          <w:cols w:equalWidth="0" w:num="1">
            <w:col w:w="11420"/>
          </w:cols>
          <w:pgMar w:left="240" w:top="281"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fiscal quarter: $709,568,000 (based on shares held by non-affiliates at $12.42 per share, the closing stock price on the Nasdaq stock market on June 30, 2013).</w:t>
      </w:r>
    </w:p>
    <w:p>
      <w:pPr>
        <w:spacing w:after="0" w:line="25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of January 31, 2014, 59,438,488 shares of common stock were issued and outstanding including 43,372,615 voting shares and 11,065,873 non-voting shares. Also outstanding were presently exercisable options to acquire 361,122 shares, presently exercisable warrants to acquire 1,631,674 shares and 237,825 shares issuable under United Community Banks, Inc.’s deferred compensation plan.</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registrant’s Proxy Statement for the 2014 Annual Meeting of Shareholders are incorporated herein into Part III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gridSpan w:val="9"/>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600" w:type="dxa"/>
            <w:vAlign w:val="bottom"/>
            <w:gridSpan w:val="8"/>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spacing w:after="0"/>
              <w:rPr>
                <w:rFonts w:ascii="Times New Roman" w:cs="Times New Roman" w:eastAsia="Times New Roman" w:hAnsi="Times New Roman"/>
                <w:sz w:val="18"/>
                <w:szCs w:val="18"/>
                <w:b w:val="1"/>
                <w:bCs w:val="1"/>
                <w:color w:val="0000EE"/>
                <w:w w:val="85"/>
              </w:rPr>
            </w:pPr>
            <w:hyperlink w:anchor="page4">
              <w:r>
                <w:rPr>
                  <w:rFonts w:ascii="Times New Roman" w:cs="Times New Roman" w:eastAsia="Times New Roman" w:hAnsi="Times New Roman"/>
                  <w:sz w:val="18"/>
                  <w:szCs w:val="18"/>
                  <w:b w:val="1"/>
                  <w:bCs w:val="1"/>
                  <w:color w:val="0000EE"/>
                  <w:w w:val="85"/>
                </w:rPr>
                <w:t>Item 1.</w:t>
              </w:r>
            </w:hyperlink>
          </w:p>
        </w:tc>
        <w:tc>
          <w:tcPr>
            <w:tcW w:w="44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8840" w:type="dxa"/>
            <w:vAlign w:val="bottom"/>
            <w:gridSpan w:val="18"/>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Business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5"/>
          </w:tcPr>
          <w:p>
            <w:pPr>
              <w:spacing w:after="0" w:line="196" w:lineRule="exact"/>
              <w:rPr>
                <w:rFonts w:ascii="Times New Roman" w:cs="Times New Roman" w:eastAsia="Times New Roman" w:hAnsi="Times New Roman"/>
                <w:sz w:val="18"/>
                <w:szCs w:val="18"/>
                <w:b w:val="1"/>
                <w:bCs w:val="1"/>
                <w:color w:val="0000EE"/>
                <w:w w:val="89"/>
              </w:rPr>
            </w:pPr>
            <w:hyperlink w:anchor="page17">
              <w:r>
                <w:rPr>
                  <w:rFonts w:ascii="Times New Roman" w:cs="Times New Roman" w:eastAsia="Times New Roman" w:hAnsi="Times New Roman"/>
                  <w:sz w:val="18"/>
                  <w:szCs w:val="18"/>
                  <w:b w:val="1"/>
                  <w:bCs w:val="1"/>
                  <w:color w:val="0000EE"/>
                  <w:w w:val="89"/>
                </w:rPr>
                <w:t>Item 1A.</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4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17">
              <w:r>
                <w:rPr>
                  <w:rFonts w:ascii="Times New Roman" w:cs="Times New Roman" w:eastAsia="Times New Roman" w:hAnsi="Times New Roman"/>
                  <w:sz w:val="18"/>
                  <w:szCs w:val="18"/>
                  <w:b w:val="1"/>
                  <w:bCs w:val="1"/>
                  <w:color w:val="0000EE"/>
                </w:rPr>
                <w:t>Risk Factors</w:t>
              </w:r>
            </w:hyperlink>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5"/>
          </w:tcPr>
          <w:p>
            <w:pPr>
              <w:spacing w:after="0" w:line="196" w:lineRule="exact"/>
              <w:rPr>
                <w:rFonts w:ascii="Times New Roman" w:cs="Times New Roman" w:eastAsia="Times New Roman" w:hAnsi="Times New Roman"/>
                <w:sz w:val="18"/>
                <w:szCs w:val="18"/>
                <w:b w:val="1"/>
                <w:bCs w:val="1"/>
                <w:color w:val="0000EE"/>
                <w:w w:val="90"/>
              </w:rPr>
            </w:pPr>
            <w:hyperlink w:anchor="page23">
              <w:r>
                <w:rPr>
                  <w:rFonts w:ascii="Times New Roman" w:cs="Times New Roman" w:eastAsia="Times New Roman" w:hAnsi="Times New Roman"/>
                  <w:sz w:val="18"/>
                  <w:szCs w:val="18"/>
                  <w:b w:val="1"/>
                  <w:bCs w:val="1"/>
                  <w:color w:val="0000EE"/>
                  <w:w w:val="90"/>
                </w:rPr>
                <w:t>Item 1B.</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4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Unresolved Staff Comments</w:t>
              </w:r>
            </w:hyperlink>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85"/>
              </w:rPr>
            </w:pPr>
            <w:hyperlink w:anchor="page23">
              <w:r>
                <w:rPr>
                  <w:rFonts w:ascii="Times New Roman" w:cs="Times New Roman" w:eastAsia="Times New Roman" w:hAnsi="Times New Roman"/>
                  <w:sz w:val="18"/>
                  <w:szCs w:val="18"/>
                  <w:b w:val="1"/>
                  <w:bCs w:val="1"/>
                  <w:color w:val="0000EE"/>
                  <w:w w:val="85"/>
                </w:rPr>
                <w:t>Item 2.</w:t>
              </w:r>
            </w:hyperlink>
          </w:p>
        </w:tc>
        <w:tc>
          <w:tcPr>
            <w:tcW w:w="140" w:type="dxa"/>
            <w:vAlign w:val="bottom"/>
            <w:tcBorders>
              <w:top w:val="single" w:sz="8" w:color="0000EE"/>
            </w:tcBorders>
            <w:gridSpan w:val="3"/>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Properties</w:t>
              </w:r>
            </w:hyperlink>
          </w:p>
        </w:tc>
        <w:tc>
          <w:tcPr>
            <w:tcW w:w="668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196" w:lineRule="exact"/>
              <w:rPr>
                <w:rFonts w:ascii="Times New Roman" w:cs="Times New Roman" w:eastAsia="Times New Roman" w:hAnsi="Times New Roman"/>
                <w:sz w:val="18"/>
                <w:szCs w:val="18"/>
                <w:b w:val="1"/>
                <w:bCs w:val="1"/>
                <w:color w:val="0000EE"/>
                <w:w w:val="85"/>
              </w:rPr>
            </w:pPr>
            <w:hyperlink w:anchor="page23">
              <w:r>
                <w:rPr>
                  <w:rFonts w:ascii="Times New Roman" w:cs="Times New Roman" w:eastAsia="Times New Roman" w:hAnsi="Times New Roman"/>
                  <w:sz w:val="18"/>
                  <w:szCs w:val="18"/>
                  <w:b w:val="1"/>
                  <w:bCs w:val="1"/>
                  <w:color w:val="0000EE"/>
                  <w:w w:val="85"/>
                </w:rPr>
                <w:t>Item 3.</w:t>
              </w:r>
            </w:hyperlink>
          </w:p>
        </w:tc>
        <w:tc>
          <w:tcPr>
            <w:tcW w:w="44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884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Legal Proceedings</w:t>
              </w:r>
            </w:hyperlink>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196" w:lineRule="exact"/>
              <w:rPr>
                <w:rFonts w:ascii="Times New Roman" w:cs="Times New Roman" w:eastAsia="Times New Roman" w:hAnsi="Times New Roman"/>
                <w:sz w:val="18"/>
                <w:szCs w:val="18"/>
                <w:b w:val="1"/>
                <w:bCs w:val="1"/>
                <w:color w:val="0000EE"/>
                <w:w w:val="85"/>
              </w:rPr>
            </w:pPr>
            <w:hyperlink w:anchor="page23">
              <w:r>
                <w:rPr>
                  <w:rFonts w:ascii="Times New Roman" w:cs="Times New Roman" w:eastAsia="Times New Roman" w:hAnsi="Times New Roman"/>
                  <w:sz w:val="18"/>
                  <w:szCs w:val="18"/>
                  <w:b w:val="1"/>
                  <w:bCs w:val="1"/>
                  <w:color w:val="0000EE"/>
                  <w:w w:val="85"/>
                </w:rPr>
                <w:t>Item 4.</w:t>
              </w:r>
            </w:hyperlink>
          </w:p>
        </w:tc>
        <w:tc>
          <w:tcPr>
            <w:tcW w:w="44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884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Mine Safety Disclosures</w:t>
              </w:r>
            </w:hyperlink>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8"/>
          </w:tcPr>
          <w:p>
            <w:pPr>
              <w:spacing w:after="0"/>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PART II</w:t>
              </w:r>
            </w:hyperlink>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85"/>
              </w:rPr>
            </w:pPr>
            <w:hyperlink w:anchor="page24">
              <w:r>
                <w:rPr>
                  <w:rFonts w:ascii="Times New Roman" w:cs="Times New Roman" w:eastAsia="Times New Roman" w:hAnsi="Times New Roman"/>
                  <w:sz w:val="18"/>
                  <w:szCs w:val="18"/>
                  <w:b w:val="1"/>
                  <w:bCs w:val="1"/>
                  <w:color w:val="0000EE"/>
                  <w:w w:val="85"/>
                </w:rPr>
                <w:t>Item 5.</w:t>
              </w:r>
            </w:hyperlink>
          </w:p>
        </w:tc>
        <w:tc>
          <w:tcPr>
            <w:tcW w:w="44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8400" w:type="dxa"/>
            <w:vAlign w:val="bottom"/>
            <w:tcBorders>
              <w:bottom w:val="single" w:sz="8" w:color="0000EE"/>
            </w:tcBorders>
            <w:gridSpan w:val="17"/>
          </w:tcPr>
          <w:p>
            <w:pPr>
              <w:spacing w:after="0"/>
              <w:rPr>
                <w:rFonts w:ascii="Times New Roman" w:cs="Times New Roman" w:eastAsia="Times New Roman" w:hAnsi="Times New Roman"/>
                <w:sz w:val="18"/>
                <w:szCs w:val="18"/>
                <w:b w:val="1"/>
                <w:bCs w:val="1"/>
                <w:color w:val="0000EE"/>
                <w:w w:val="99"/>
              </w:rPr>
            </w:pPr>
            <w:hyperlink w:anchor="page24">
              <w:r>
                <w:rPr>
                  <w:rFonts w:ascii="Times New Roman" w:cs="Times New Roman" w:eastAsia="Times New Roman" w:hAnsi="Times New Roman"/>
                  <w:sz w:val="18"/>
                  <w:szCs w:val="18"/>
                  <w:b w:val="1"/>
                  <w:bCs w:val="1"/>
                  <w:color w:val="0000EE"/>
                  <w:w w:val="99"/>
                </w:rPr>
                <w:t>Market for United’s Common Equity, Related Stockholder Matters and Issuer Purchases of Equity Securities</w:t>
              </w:r>
            </w:hyperlink>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85"/>
              </w:rPr>
            </w:pPr>
            <w:hyperlink w:anchor="page26">
              <w:r>
                <w:rPr>
                  <w:rFonts w:ascii="Times New Roman" w:cs="Times New Roman" w:eastAsia="Times New Roman" w:hAnsi="Times New Roman"/>
                  <w:sz w:val="18"/>
                  <w:szCs w:val="18"/>
                  <w:b w:val="1"/>
                  <w:bCs w:val="1"/>
                  <w:color w:val="0000EE"/>
                  <w:w w:val="85"/>
                </w:rPr>
                <w:t>Item 6.</w:t>
              </w:r>
            </w:hyperlink>
          </w:p>
        </w:tc>
        <w:tc>
          <w:tcPr>
            <w:tcW w:w="44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b w:val="1"/>
                <w:bCs w:val="1"/>
                <w:color w:val="0000EE"/>
                <w:w w:val="99"/>
              </w:rPr>
            </w:pPr>
            <w:hyperlink w:anchor="page26">
              <w:r>
                <w:rPr>
                  <w:rFonts w:ascii="Times New Roman" w:cs="Times New Roman" w:eastAsia="Times New Roman" w:hAnsi="Times New Roman"/>
                  <w:sz w:val="18"/>
                  <w:szCs w:val="18"/>
                  <w:b w:val="1"/>
                  <w:bCs w:val="1"/>
                  <w:color w:val="0000EE"/>
                  <w:w w:val="99"/>
                </w:rPr>
                <w:t>Selected Financial Data</w:t>
              </w:r>
            </w:hyperlink>
          </w:p>
        </w:tc>
        <w:tc>
          <w:tcPr>
            <w:tcW w:w="700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85"/>
              </w:rPr>
            </w:pPr>
            <w:hyperlink w:anchor="page30">
              <w:r>
                <w:rPr>
                  <w:rFonts w:ascii="Times New Roman" w:cs="Times New Roman" w:eastAsia="Times New Roman" w:hAnsi="Times New Roman"/>
                  <w:sz w:val="18"/>
                  <w:szCs w:val="18"/>
                  <w:b w:val="1"/>
                  <w:bCs w:val="1"/>
                  <w:color w:val="0000EE"/>
                  <w:w w:val="85"/>
                </w:rPr>
                <w:t>Item 7.</w:t>
              </w:r>
            </w:hyperlink>
          </w:p>
        </w:tc>
        <w:tc>
          <w:tcPr>
            <w:tcW w:w="44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68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b w:val="1"/>
                <w:bCs w:val="1"/>
                <w:color w:val="0000EE"/>
                <w:w w:val="99"/>
              </w:rPr>
            </w:pPr>
            <w:hyperlink w:anchor="page30">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200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b w:val="1"/>
                <w:bCs w:val="1"/>
                <w:color w:val="0000EE"/>
                <w:w w:val="89"/>
              </w:rPr>
            </w:pPr>
            <w:hyperlink w:anchor="page57">
              <w:r>
                <w:rPr>
                  <w:rFonts w:ascii="Times New Roman" w:cs="Times New Roman" w:eastAsia="Times New Roman" w:hAnsi="Times New Roman"/>
                  <w:sz w:val="18"/>
                  <w:szCs w:val="18"/>
                  <w:b w:val="1"/>
                  <w:bCs w:val="1"/>
                  <w:color w:val="0000EE"/>
                  <w:w w:val="89"/>
                </w:rPr>
                <w:t>Item 7A.</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b w:val="1"/>
                <w:bCs w:val="1"/>
                <w:color w:val="0000EE"/>
                <w:w w:val="99"/>
              </w:rPr>
            </w:pPr>
            <w:hyperlink w:anchor="page57">
              <w:r>
                <w:rPr>
                  <w:rFonts w:ascii="Times New Roman" w:cs="Times New Roman" w:eastAsia="Times New Roman" w:hAnsi="Times New Roman"/>
                  <w:sz w:val="18"/>
                  <w:szCs w:val="18"/>
                  <w:b w:val="1"/>
                  <w:bCs w:val="1"/>
                  <w:color w:val="0000EE"/>
                  <w:w w:val="99"/>
                </w:rPr>
                <w:t>Quantitative and Qualitative Disclosures About Market Risk</w:t>
              </w:r>
            </w:hyperlink>
          </w:p>
        </w:tc>
        <w:tc>
          <w:tcPr>
            <w:tcW w:w="4160" w:type="dxa"/>
            <w:vAlign w:val="bottom"/>
            <w:gridSpan w:val="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85"/>
              </w:rPr>
            </w:pPr>
            <w:hyperlink w:anchor="page59">
              <w:r>
                <w:rPr>
                  <w:rFonts w:ascii="Times New Roman" w:cs="Times New Roman" w:eastAsia="Times New Roman" w:hAnsi="Times New Roman"/>
                  <w:sz w:val="18"/>
                  <w:szCs w:val="18"/>
                  <w:b w:val="1"/>
                  <w:bCs w:val="1"/>
                  <w:color w:val="0000EE"/>
                  <w:w w:val="85"/>
                </w:rPr>
                <w:t>Item 8.</w:t>
              </w:r>
            </w:hyperlink>
          </w:p>
        </w:tc>
        <w:tc>
          <w:tcPr>
            <w:tcW w:w="44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3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b w:val="1"/>
                <w:bCs w:val="1"/>
                <w:color w:val="0000EE"/>
                <w:w w:val="99"/>
              </w:rPr>
            </w:pPr>
            <w:hyperlink w:anchor="page59">
              <w:r>
                <w:rPr>
                  <w:rFonts w:ascii="Times New Roman" w:cs="Times New Roman" w:eastAsia="Times New Roman" w:hAnsi="Times New Roman"/>
                  <w:sz w:val="18"/>
                  <w:szCs w:val="18"/>
                  <w:b w:val="1"/>
                  <w:bCs w:val="1"/>
                  <w:color w:val="0000EE"/>
                  <w:w w:val="99"/>
                </w:rPr>
                <w:t>Financial Statements and Supplementary Data</w:t>
              </w:r>
            </w:hyperlink>
          </w:p>
        </w:tc>
        <w:tc>
          <w:tcPr>
            <w:tcW w:w="5240" w:type="dxa"/>
            <w:vAlign w:val="bottom"/>
            <w:gridSpan w:val="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85"/>
              </w:rPr>
            </w:pPr>
            <w:hyperlink w:anchor="page119">
              <w:r>
                <w:rPr>
                  <w:rFonts w:ascii="Times New Roman" w:cs="Times New Roman" w:eastAsia="Times New Roman" w:hAnsi="Times New Roman"/>
                  <w:sz w:val="18"/>
                  <w:szCs w:val="18"/>
                  <w:b w:val="1"/>
                  <w:bCs w:val="1"/>
                  <w:color w:val="0000EE"/>
                  <w:w w:val="85"/>
                </w:rPr>
                <w:t>Item 9.</w:t>
              </w:r>
            </w:hyperlink>
          </w:p>
        </w:tc>
        <w:tc>
          <w:tcPr>
            <w:tcW w:w="44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68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b w:val="1"/>
                <w:bCs w:val="1"/>
                <w:color w:val="0000EE"/>
                <w:w w:val="99"/>
              </w:rPr>
            </w:pPr>
            <w:hyperlink w:anchor="page119">
              <w:r>
                <w:rPr>
                  <w:rFonts w:ascii="Times New Roman" w:cs="Times New Roman" w:eastAsia="Times New Roman" w:hAnsi="Times New Roman"/>
                  <w:sz w:val="18"/>
                  <w:szCs w:val="18"/>
                  <w:b w:val="1"/>
                  <w:bCs w:val="1"/>
                  <w:color w:val="0000EE"/>
                  <w:w w:val="99"/>
                </w:rPr>
                <w:t>Changes in and Disagreements with Accountants on Accounting and Financial Disclosure</w:t>
              </w:r>
            </w:hyperlink>
          </w:p>
        </w:tc>
        <w:tc>
          <w:tcPr>
            <w:tcW w:w="198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113</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b w:val="1"/>
                <w:bCs w:val="1"/>
                <w:color w:val="0000EE"/>
                <w:w w:val="89"/>
              </w:rPr>
            </w:pPr>
            <w:hyperlink w:anchor="page119">
              <w:r>
                <w:rPr>
                  <w:rFonts w:ascii="Times New Roman" w:cs="Times New Roman" w:eastAsia="Times New Roman" w:hAnsi="Times New Roman"/>
                  <w:sz w:val="18"/>
                  <w:szCs w:val="18"/>
                  <w:b w:val="1"/>
                  <w:bCs w:val="1"/>
                  <w:color w:val="0000EE"/>
                  <w:w w:val="89"/>
                </w:rPr>
                <w:t>Item 9A.</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b w:val="1"/>
                <w:bCs w:val="1"/>
                <w:color w:val="0000EE"/>
                <w:w w:val="99"/>
              </w:rPr>
            </w:pPr>
            <w:hyperlink w:anchor="page119">
              <w:r>
                <w:rPr>
                  <w:rFonts w:ascii="Times New Roman" w:cs="Times New Roman" w:eastAsia="Times New Roman" w:hAnsi="Times New Roman"/>
                  <w:sz w:val="18"/>
                  <w:szCs w:val="18"/>
                  <w:b w:val="1"/>
                  <w:bCs w:val="1"/>
                  <w:color w:val="0000EE"/>
                  <w:w w:val="99"/>
                </w:rPr>
                <w:t>Controls and Procedures</w:t>
              </w:r>
            </w:hyperlink>
          </w:p>
        </w:tc>
        <w:tc>
          <w:tcPr>
            <w:tcW w:w="690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113</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5"/>
          </w:tcPr>
          <w:p>
            <w:pPr>
              <w:spacing w:after="0" w:line="196" w:lineRule="exact"/>
              <w:rPr>
                <w:rFonts w:ascii="Times New Roman" w:cs="Times New Roman" w:eastAsia="Times New Roman" w:hAnsi="Times New Roman"/>
                <w:sz w:val="18"/>
                <w:szCs w:val="18"/>
                <w:b w:val="1"/>
                <w:bCs w:val="1"/>
                <w:color w:val="0000EE"/>
                <w:w w:val="90"/>
              </w:rPr>
            </w:pPr>
            <w:hyperlink w:anchor="page119">
              <w:r>
                <w:rPr>
                  <w:rFonts w:ascii="Times New Roman" w:cs="Times New Roman" w:eastAsia="Times New Roman" w:hAnsi="Times New Roman"/>
                  <w:sz w:val="18"/>
                  <w:szCs w:val="18"/>
                  <w:b w:val="1"/>
                  <w:bCs w:val="1"/>
                  <w:color w:val="0000EE"/>
                  <w:w w:val="90"/>
                </w:rPr>
                <w:t>Item 9B.</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4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119">
              <w:r>
                <w:rPr>
                  <w:rFonts w:ascii="Times New Roman" w:cs="Times New Roman" w:eastAsia="Times New Roman" w:hAnsi="Times New Roman"/>
                  <w:sz w:val="18"/>
                  <w:szCs w:val="18"/>
                  <w:b w:val="1"/>
                  <w:bCs w:val="1"/>
                  <w:color w:val="0000EE"/>
                </w:rPr>
                <w:t>Other Information</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113</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6"/>
              </w:rPr>
            </w:pPr>
            <w:hyperlink w:anchor="page120">
              <w:r>
                <w:rPr>
                  <w:rFonts w:ascii="Times New Roman" w:cs="Times New Roman" w:eastAsia="Times New Roman" w:hAnsi="Times New Roman"/>
                  <w:sz w:val="18"/>
                  <w:szCs w:val="18"/>
                  <w:b w:val="1"/>
                  <w:bCs w:val="1"/>
                  <w:color w:val="0000EE"/>
                  <w:w w:val="96"/>
                </w:rPr>
                <w:t>PART III</w:t>
              </w:r>
            </w:hyperlink>
          </w:p>
        </w:tc>
        <w:tc>
          <w:tcPr>
            <w:tcW w:w="86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4"/>
          </w:tcPr>
          <w:p>
            <w:pPr>
              <w:spacing w:after="0"/>
              <w:rPr>
                <w:rFonts w:ascii="Times New Roman" w:cs="Times New Roman" w:eastAsia="Times New Roman" w:hAnsi="Times New Roman"/>
                <w:sz w:val="18"/>
                <w:szCs w:val="18"/>
                <w:b w:val="1"/>
                <w:bCs w:val="1"/>
                <w:color w:val="0000EE"/>
                <w:w w:val="92"/>
              </w:rPr>
            </w:pPr>
            <w:hyperlink w:anchor="page120">
              <w:r>
                <w:rPr>
                  <w:rFonts w:ascii="Times New Roman" w:cs="Times New Roman" w:eastAsia="Times New Roman" w:hAnsi="Times New Roman"/>
                  <w:sz w:val="18"/>
                  <w:szCs w:val="18"/>
                  <w:b w:val="1"/>
                  <w:bCs w:val="1"/>
                  <w:color w:val="0000EE"/>
                  <w:w w:val="92"/>
                </w:rPr>
                <w:t>Item 10.</w:t>
              </w:r>
            </w:hyperlink>
          </w:p>
        </w:tc>
        <w:tc>
          <w:tcPr>
            <w:tcW w:w="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8840" w:type="dxa"/>
            <w:vAlign w:val="bottom"/>
            <w:gridSpan w:val="18"/>
          </w:tcPr>
          <w:p>
            <w:pPr>
              <w:spacing w:after="0"/>
              <w:rPr>
                <w:rFonts w:ascii="Times New Roman" w:cs="Times New Roman" w:eastAsia="Times New Roman" w:hAnsi="Times New Roman"/>
                <w:sz w:val="18"/>
                <w:szCs w:val="18"/>
                <w:b w:val="1"/>
                <w:bCs w:val="1"/>
                <w:color w:val="0000EE"/>
              </w:rPr>
            </w:pPr>
            <w:hyperlink w:anchor="page120">
              <w:r>
                <w:rPr>
                  <w:rFonts w:ascii="Times New Roman" w:cs="Times New Roman" w:eastAsia="Times New Roman" w:hAnsi="Times New Roman"/>
                  <w:sz w:val="18"/>
                  <w:szCs w:val="18"/>
                  <w:b w:val="1"/>
                  <w:bCs w:val="1"/>
                  <w:color w:val="0000EE"/>
                </w:rPr>
                <w:t>Directors, Executive Officers and Corporate Governance</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b w:val="1"/>
                <w:bCs w:val="1"/>
                <w:color w:val="0000EE"/>
                <w:w w:val="92"/>
              </w:rPr>
            </w:pPr>
            <w:hyperlink w:anchor="page120">
              <w:r>
                <w:rPr>
                  <w:rFonts w:ascii="Times New Roman" w:cs="Times New Roman" w:eastAsia="Times New Roman" w:hAnsi="Times New Roman"/>
                  <w:sz w:val="18"/>
                  <w:szCs w:val="18"/>
                  <w:b w:val="1"/>
                  <w:bCs w:val="1"/>
                  <w:color w:val="0000EE"/>
                  <w:w w:val="92"/>
                </w:rPr>
                <w:t>Item 11.</w:t>
              </w:r>
            </w:hyperlink>
          </w:p>
        </w:tc>
        <w:tc>
          <w:tcPr>
            <w:tcW w:w="3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43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b w:val="1"/>
                <w:bCs w:val="1"/>
                <w:color w:val="0000EE"/>
              </w:rPr>
            </w:pPr>
            <w:hyperlink w:anchor="page120">
              <w:r>
                <w:rPr>
                  <w:rFonts w:ascii="Times New Roman" w:cs="Times New Roman" w:eastAsia="Times New Roman" w:hAnsi="Times New Roman"/>
                  <w:sz w:val="18"/>
                  <w:szCs w:val="18"/>
                  <w:b w:val="1"/>
                  <w:bCs w:val="1"/>
                  <w:color w:val="0000EE"/>
                </w:rPr>
                <w:t>Executive Compensation</w:t>
              </w:r>
            </w:hyperlink>
          </w:p>
        </w:tc>
        <w:tc>
          <w:tcPr>
            <w:tcW w:w="446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5"/>
          </w:tcPr>
          <w:p>
            <w:pPr>
              <w:spacing w:after="0" w:line="196" w:lineRule="exact"/>
              <w:rPr>
                <w:rFonts w:ascii="Times New Roman" w:cs="Times New Roman" w:eastAsia="Times New Roman" w:hAnsi="Times New Roman"/>
                <w:sz w:val="18"/>
                <w:szCs w:val="18"/>
                <w:b w:val="1"/>
                <w:bCs w:val="1"/>
                <w:color w:val="0000EE"/>
                <w:w w:val="95"/>
              </w:rPr>
            </w:pPr>
            <w:hyperlink w:anchor="page120">
              <w:r>
                <w:rPr>
                  <w:rFonts w:ascii="Times New Roman" w:cs="Times New Roman" w:eastAsia="Times New Roman" w:hAnsi="Times New Roman"/>
                  <w:sz w:val="18"/>
                  <w:szCs w:val="18"/>
                  <w:b w:val="1"/>
                  <w:bCs w:val="1"/>
                  <w:color w:val="0000EE"/>
                  <w:w w:val="95"/>
                </w:rPr>
                <w:t>Item 12.</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4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120">
              <w:r>
                <w:rPr>
                  <w:rFonts w:ascii="Times New Roman" w:cs="Times New Roman" w:eastAsia="Times New Roman" w:hAnsi="Times New Roman"/>
                  <w:sz w:val="18"/>
                  <w:szCs w:val="18"/>
                  <w:b w:val="1"/>
                  <w:bCs w:val="1"/>
                  <w:color w:val="0000EE"/>
                </w:rPr>
                <w:t>Security Ownership of Certain Beneficial Owners and Management and Related Stockholder Matters</w:t>
              </w:r>
            </w:hyperlink>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b w:val="1"/>
                <w:bCs w:val="1"/>
                <w:color w:val="0000EE"/>
                <w:w w:val="95"/>
              </w:rPr>
            </w:pPr>
            <w:hyperlink w:anchor="page120">
              <w:r>
                <w:rPr>
                  <w:rFonts w:ascii="Times New Roman" w:cs="Times New Roman" w:eastAsia="Times New Roman" w:hAnsi="Times New Roman"/>
                  <w:sz w:val="18"/>
                  <w:szCs w:val="18"/>
                  <w:b w:val="1"/>
                  <w:bCs w:val="1"/>
                  <w:color w:val="0000EE"/>
                  <w:w w:val="95"/>
                </w:rPr>
                <w:t>Item 13.</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b w:val="1"/>
                <w:bCs w:val="1"/>
                <w:color w:val="0000EE"/>
              </w:rPr>
            </w:pPr>
            <w:hyperlink w:anchor="page120">
              <w:r>
                <w:rPr>
                  <w:rFonts w:ascii="Times New Roman" w:cs="Times New Roman" w:eastAsia="Times New Roman" w:hAnsi="Times New Roman"/>
                  <w:sz w:val="18"/>
                  <w:szCs w:val="18"/>
                  <w:b w:val="1"/>
                  <w:bCs w:val="1"/>
                  <w:color w:val="0000EE"/>
                </w:rPr>
                <w:t>Certain Relationships and Related Transactions, and Director Independence</w:t>
              </w:r>
            </w:hyperlink>
          </w:p>
        </w:tc>
        <w:tc>
          <w:tcPr>
            <w:tcW w:w="104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b w:val="1"/>
                <w:bCs w:val="1"/>
                <w:color w:val="0000EE"/>
                <w:w w:val="92"/>
              </w:rPr>
            </w:pPr>
            <w:hyperlink w:anchor="page120">
              <w:r>
                <w:rPr>
                  <w:rFonts w:ascii="Times New Roman" w:cs="Times New Roman" w:eastAsia="Times New Roman" w:hAnsi="Times New Roman"/>
                  <w:sz w:val="18"/>
                  <w:szCs w:val="18"/>
                  <w:b w:val="1"/>
                  <w:bCs w:val="1"/>
                  <w:color w:val="0000EE"/>
                  <w:w w:val="92"/>
                </w:rPr>
                <w:t>Item 14.</w:t>
              </w:r>
            </w:hyperlink>
          </w:p>
        </w:tc>
        <w:tc>
          <w:tcPr>
            <w:tcW w:w="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b w:val="1"/>
                <w:bCs w:val="1"/>
                <w:color w:val="0000EE"/>
              </w:rPr>
            </w:pPr>
            <w:hyperlink w:anchor="page120">
              <w:r>
                <w:rPr>
                  <w:rFonts w:ascii="Times New Roman" w:cs="Times New Roman" w:eastAsia="Times New Roman" w:hAnsi="Times New Roman"/>
                  <w:sz w:val="18"/>
                  <w:szCs w:val="18"/>
                  <w:b w:val="1"/>
                  <w:bCs w:val="1"/>
                  <w:color w:val="0000EE"/>
                </w:rPr>
                <w:t>Principal Accountant Fees and Services</w:t>
              </w:r>
            </w:hyperlink>
          </w:p>
        </w:tc>
        <w:tc>
          <w:tcPr>
            <w:tcW w:w="298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2"/>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8"/>
          </w:tcPr>
          <w:p>
            <w:pPr>
              <w:spacing w:after="0"/>
              <w:rPr>
                <w:rFonts w:ascii="Times New Roman" w:cs="Times New Roman" w:eastAsia="Times New Roman" w:hAnsi="Times New Roman"/>
                <w:sz w:val="18"/>
                <w:szCs w:val="18"/>
                <w:b w:val="1"/>
                <w:bCs w:val="1"/>
                <w:color w:val="0000EE"/>
              </w:rPr>
            </w:pPr>
            <w:hyperlink w:anchor="page121">
              <w:r>
                <w:rPr>
                  <w:rFonts w:ascii="Times New Roman" w:cs="Times New Roman" w:eastAsia="Times New Roman" w:hAnsi="Times New Roman"/>
                  <w:sz w:val="18"/>
                  <w:szCs w:val="18"/>
                  <w:b w:val="1"/>
                  <w:bCs w:val="1"/>
                  <w:color w:val="0000EE"/>
                </w:rPr>
                <w:t>PART IV</w:t>
              </w:r>
            </w:hyperlink>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320" w:type="dxa"/>
            <w:vAlign w:val="bottom"/>
            <w:gridSpan w:val="10"/>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4"/>
          </w:tcPr>
          <w:p>
            <w:pPr>
              <w:spacing w:after="0"/>
              <w:rPr>
                <w:rFonts w:ascii="Times New Roman" w:cs="Times New Roman" w:eastAsia="Times New Roman" w:hAnsi="Times New Roman"/>
                <w:sz w:val="18"/>
                <w:szCs w:val="18"/>
                <w:b w:val="1"/>
                <w:bCs w:val="1"/>
                <w:color w:val="0000EE"/>
                <w:w w:val="92"/>
              </w:rPr>
            </w:pPr>
            <w:hyperlink w:anchor="page121">
              <w:r>
                <w:rPr>
                  <w:rFonts w:ascii="Times New Roman" w:cs="Times New Roman" w:eastAsia="Times New Roman" w:hAnsi="Times New Roman"/>
                  <w:sz w:val="18"/>
                  <w:szCs w:val="18"/>
                  <w:b w:val="1"/>
                  <w:bCs w:val="1"/>
                  <w:color w:val="0000EE"/>
                  <w:w w:val="92"/>
                </w:rPr>
                <w:t>Item 15.</w:t>
              </w:r>
            </w:hyperlink>
          </w:p>
        </w:tc>
        <w:tc>
          <w:tcPr>
            <w:tcW w:w="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8840" w:type="dxa"/>
            <w:vAlign w:val="bottom"/>
            <w:gridSpan w:val="18"/>
          </w:tcPr>
          <w:p>
            <w:pPr>
              <w:spacing w:after="0"/>
              <w:rPr>
                <w:rFonts w:ascii="Times New Roman" w:cs="Times New Roman" w:eastAsia="Times New Roman" w:hAnsi="Times New Roman"/>
                <w:sz w:val="18"/>
                <w:szCs w:val="18"/>
                <w:b w:val="1"/>
                <w:bCs w:val="1"/>
                <w:color w:val="0000EE"/>
              </w:rPr>
            </w:pPr>
            <w:hyperlink w:anchor="page121">
              <w:r>
                <w:rPr>
                  <w:rFonts w:ascii="Times New Roman" w:cs="Times New Roman" w:eastAsia="Times New Roman" w:hAnsi="Times New Roman"/>
                  <w:sz w:val="18"/>
                  <w:szCs w:val="18"/>
                  <w:b w:val="1"/>
                  <w:bCs w:val="1"/>
                  <w:color w:val="0000EE"/>
                </w:rPr>
                <w:t>Exhibits, Financial Statement Schedules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2"/>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8"/>
          </w:tcPr>
          <w:p>
            <w:pPr>
              <w:spacing w:after="0"/>
              <w:rPr>
                <w:rFonts w:ascii="Times New Roman" w:cs="Times New Roman" w:eastAsia="Times New Roman" w:hAnsi="Times New Roman"/>
                <w:sz w:val="18"/>
                <w:szCs w:val="18"/>
                <w:b w:val="1"/>
                <w:bCs w:val="1"/>
                <w:color w:val="0000EE"/>
              </w:rPr>
            </w:pPr>
            <w:hyperlink w:anchor="page125">
              <w:r>
                <w:rPr>
                  <w:rFonts w:ascii="Times New Roman" w:cs="Times New Roman" w:eastAsia="Times New Roman" w:hAnsi="Times New Roman"/>
                  <w:sz w:val="18"/>
                  <w:szCs w:val="18"/>
                  <w:b w:val="1"/>
                  <w:bCs w:val="1"/>
                  <w:color w:val="0000EE"/>
                </w:rPr>
                <w:t>SIGNATURES</w:t>
              </w:r>
            </w:hyperlink>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0" w:type="dxa"/>
            <w:vAlign w:val="bottom"/>
          </w:tcPr>
          <w:p>
            <w:pPr>
              <w:spacing w:after="0"/>
              <w:rPr>
                <w:sz w:val="1"/>
                <w:szCs w:val="1"/>
                <w:color w:val="auto"/>
              </w:rPr>
            </w:pPr>
          </w:p>
        </w:tc>
      </w:tr>
      <w:tr>
        <w:trPr>
          <w:trHeight w:val="696"/>
        </w:trPr>
        <w:tc>
          <w:tcPr>
            <w:tcW w:w="60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80" w:type="dxa"/>
            <w:vAlign w:val="bottom"/>
            <w:tcBorders>
              <w:top w:val="single" w:sz="8" w:color="0000EE"/>
              <w:bottom w:val="single" w:sz="8" w:color="DCDCDC"/>
            </w:tcBorders>
          </w:tcPr>
          <w:p>
            <w:pPr>
              <w:spacing w:after="0"/>
              <w:rPr>
                <w:sz w:val="24"/>
                <w:szCs w:val="24"/>
                <w:color w:val="auto"/>
              </w:rPr>
            </w:pPr>
          </w:p>
        </w:tc>
        <w:tc>
          <w:tcPr>
            <w:tcW w:w="420" w:type="dxa"/>
            <w:vAlign w:val="bottom"/>
            <w:tcBorders>
              <w:top w:val="single" w:sz="8" w:color="0000EE"/>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4660" w:type="dxa"/>
            <w:vAlign w:val="bottom"/>
            <w:tcBorders>
              <w:bottom w:val="single" w:sz="8" w:color="DCDCDC"/>
            </w:tcBorders>
            <w:gridSpan w:val="12"/>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0"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United Community Banks, Inc. (“United”), a bank holding company registered under the Bank Holding Company Act of 1956, as amended (the “BHC Act”), was incorporated under the laws of Georgia in 1987 and commenced operations in 1988 by acquiring 100% of the outstanding shares of Union County Bank, Blairsville, Georgia, now known as United Community Bank, Blairsville, Georgia (the “Bank”).</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the early 1990’s, United has actively expanded its market coverage through organic growth complemented by selective acquisitions, primarily of banks whose managements share United’s community banking and customer service philosophies. Although those acquisitions have directly contributed to United’s growth, their contribution has primarily been to provide United access to new markets with attractive organic growth potential. Organic growth in assets includes growth through existing offices as well as growth at de novo locations and post-acquisition growth at acquired banking offices.</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emphasize its commitment to community banking, United conducts substantially all of its operations through a community-focused operating model of separate “community banks”, which as of December 31, 2013, operated at 102 locations throughout north Georgia, the Atlanta-Sandy Springs-Roswell, Georgia metropolitan statistical area, the Gainesville, Georgia metropolitan statistical area, coastal Georgia, western North Carolina, east and central Tennessee and the Greenville-Anderson-Mauldin, South Carolina metropolitan statistical area. In 2012, United expanded into Greenville, South Carolina by opening a loan production office which has subsequently been converted to a full-service branch. The community banks offer a full range of retail and corporate banking services, including checking, savings and time deposit accounts, secured and unsecured loans, wire transfers, brokerage services and other financial services, and are led by local bank presidents (referred to herein as the “Community Bank Presidents”) and management with significant experience in, and ties to, their communities. Each of the Community Bank Presidents has authority, alone or with other local officers, to make most credit decisions.</w:t>
      </w:r>
    </w:p>
    <w:p>
      <w:pPr>
        <w:spacing w:after="0" w:line="2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Bank, through its full-service retail mortgage lending division, United Community Mortgage Services (“UCMS”), is approved as a seller/servicer for the Federal National Mortgage Association (“Fannie Mae”) and the Federal Home Loan Mortgage Corporation (“Freddie Mac”) and provides fixed and adjustable-rate home mortgages. During 2013, the Bank originated $297 million of residential mortgage loans throughout its footprint in Georgia, North Carolina, Tennessee and South Carolina for the purchase of homes and to refinance existing mortgage debt. Substantially all of these mortgages were sold into the secondary market without recourse to the Bank, other than for breaches of warranties.</w:t>
      </w:r>
    </w:p>
    <w:p>
      <w:pPr>
        <w:spacing w:after="0" w:line="21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Bank owns an insurance agency, United Community Insurance Services, Inc. (“UCIS”), known as United Community Advisory Services, which is a subsidiary of the Bank. United also owns a captive insurance subsidiary, United Community Risk Management Services, Inc. (“UCRMSI”) that provides risk management services for United’s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provides retail brokerage services through an affiliation with a third party broker/dealer.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Preferred Stock Redemptions. </w:t>
      </w:r>
      <w:r>
        <w:rPr>
          <w:rFonts w:ascii="Times New Roman" w:cs="Times New Roman" w:eastAsia="Times New Roman" w:hAnsi="Times New Roman"/>
          <w:sz w:val="18"/>
          <w:szCs w:val="18"/>
          <w:color w:val="auto"/>
        </w:rPr>
        <w:t>On December 31, 2013, United redeemed all of its outstanding Series A Non-Cumulative Preferred Stock (the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in the principal amount of $217,000. The redemption price for shares of the Series A Preferred Stock was the stated value of $10 per share, plus any accrued and unpaid dividends that had been earned thereon through the redemption date. Following the redemption, there are no shares of United’s Series A Preferred Stock outstanding.</w:t>
      </w:r>
    </w:p>
    <w:p>
      <w:pPr>
        <w:spacing w:after="0" w:line="20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December 27, 2013, United redeemed $75 million of its $180 million in outstanding Fixed Rate Cumulative Perpetual Preferred Stock, Series B (the “Series B Preferred Stock”). The Series B Preferred Stock was originally issued to the U.S. Department of the Treasury (“Treasury”) under the Troubled Asset Relief Program Capital Purchase Program (the “CPP”). In the redemption, shares of the Series B Preferred Stock were redeemed from third parties that purchased the securities from Treasury in a private placement. The redemption price for shares of the Series B Preferred Stock called for redemption was the stated liquidation value of $1,000 per share, plus accrued and unpaid dividends that had been earned thereon to, but not including, the redemption date. As of December 31, 2013, $105 million of United’s Series B Preferred Stock was outstanding. The remaining $105 million of United’s Series B Preferred Stock was redeemed on January 10, 2014 on comparable terms. United funded both redemptions by utilizing cash on hand, cash dividends from the Bank and short-term debt.</w:t>
      </w:r>
    </w:p>
    <w:p>
      <w:pPr>
        <w:spacing w:after="0" w:line="2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Termination of Memorandums of Understanding</w:t>
      </w:r>
      <w:r>
        <w:rPr>
          <w:rFonts w:ascii="Times New Roman" w:cs="Times New Roman" w:eastAsia="Times New Roman" w:hAnsi="Times New Roman"/>
          <w:sz w:val="18"/>
          <w:szCs w:val="18"/>
          <w:color w:val="auto"/>
        </w:rPr>
        <w:t>. In December 2013, the Georgia Department of Banking and Finance (the “DBF”) and the Federal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Corporation (the “FDIC”) terminated their informal memorandum of understanding with the Bank (the “Bank MOU”). The Bank MOU, which was entered into in April 2010, required, among other things, that the Bank maintain a Tier 1 leverage ratio of at least 8% and a total risk-based capital ratio of at least 10% and prohibited the Bank from declaring or paying any cash dividends to United without the prior approval of the DBF and the FDIC.</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4" w:name="page5"/>
    <w:bookmarkEnd w:id="4"/>
    <w:p>
      <w:pPr>
        <w:ind w:right="280"/>
        <w:spacing w:after="0" w:line="261" w:lineRule="auto"/>
        <w:rPr>
          <w:sz w:val="20"/>
          <w:szCs w:val="20"/>
          <w:color w:val="auto"/>
        </w:rPr>
      </w:pPr>
      <w:r>
        <w:rPr>
          <w:rFonts w:ascii="Times New Roman" w:cs="Times New Roman" w:eastAsia="Times New Roman" w:hAnsi="Times New Roman"/>
          <w:sz w:val="18"/>
          <w:szCs w:val="18"/>
          <w:color w:val="auto"/>
        </w:rPr>
        <w:t>In January 2014, the Federal Reserve Bank of Atlanta and the DBF terminated their informal memorandum of understanding with United (the “Holding Company MOU”). The Holding Company MOU, which was entered into in November 2011, provided, among other things, that United could not incur additional indebtedness, pay cash dividends, make payments on its trust preferred securities or subordinated indebtedness or repurchase outstanding stock without prior approval of the Federal Reserve Bank of Atlanta and the DBF.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June 17, 2011, United completed a 1-for-5 reverse stock split, whereby each five shares of United’s common stock were reclassified into one share of common stock, and each five shares of United’s non-voting common stock was reclassified into one share of non-voting common stock. All share and per share amounts for all periods presented in this report have been adjusted to reflect the reverse split as though it had occurred prior to the earliest period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Form 10-K contains forward-looking statements within the meaning of Section 27A of the Securities Act of 1933, as amended, (the “Securities Act’), and Section 21E of the Securities Exchange Act of 1934,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21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following factors:</w:t>
      </w:r>
    </w:p>
    <w:p>
      <w:pPr>
        <w:spacing w:after="0" w:line="203"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our deferred tax asset balances, including net operating loss carry-forwards;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banking system and financial markets;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as may be necessary;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liquidity or access other sources of funding;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funding;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local economies in which we operate;</w:t>
      </w:r>
    </w:p>
    <w:p>
      <w:pPr>
        <w:spacing w:after="0" w:line="9" w:lineRule="exact"/>
        <w:rPr>
          <w:rFonts w:ascii="Times New Roman" w:cs="Times New Roman" w:eastAsia="Times New Roman" w:hAnsi="Times New Roman"/>
          <w:sz w:val="18"/>
          <w:szCs w:val="18"/>
          <w:color w:val="auto"/>
        </w:rPr>
      </w:pPr>
    </w:p>
    <w:p>
      <w:pPr>
        <w:ind w:left="340" w:right="2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interest rates may negatively affect our net income and the value of our assets;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and reporting policies of United;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allowance for loan losses is not sufficient to cover actual loan losses;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loan customers, third party service providers or employees;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future expansion and acquisitions;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in the stock market, the public debt market and other capital markets deteriorate;</w:t>
      </w:r>
    </w:p>
    <w:p>
      <w:pPr>
        <w:spacing w:after="0" w:line="9" w:lineRule="exact"/>
        <w:rPr>
          <w:rFonts w:ascii="Times New Roman" w:cs="Times New Roman" w:eastAsia="Times New Roman" w:hAnsi="Times New Roman"/>
          <w:sz w:val="18"/>
          <w:szCs w:val="18"/>
          <w:color w:val="auto"/>
        </w:rPr>
      </w:pPr>
    </w:p>
    <w:p>
      <w:pPr>
        <w:ind w:left="340" w:right="50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Dodd-Frank Wall Street Reform and Consumer Protection Act of 2010 (the “Dodd-Frank Act”) and related regulations and other changes in financial services laws and regulations;</w:t>
      </w:r>
    </w:p>
    <w:p>
      <w:pPr>
        <w:ind w:left="340" w:right="1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litigation, examinations, investigations, or similar matters, or adverse facts and developments related thereto, including possible dilution;</w:t>
      </w:r>
    </w:p>
    <w:p>
      <w:pPr>
        <w:ind w:left="3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judicial proceedings, board resolutions, informal memorandums of understanding or formal enforcement actions imposed by regulators that may occur;</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increase the valuation allowance on our deferred tax asset in future periods;</w:t>
      </w:r>
    </w:p>
    <w:p>
      <w:pPr>
        <w:spacing w:after="0" w:line="9"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could have an “ownership change” under Section 382 of the Internal Revenue Code, which could impair our ability to timely and fully realize our deferred tax asset balance; and</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could be subject to changes in tax laws, regulations and interpretations or challenges to our income tax provision.</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18" w:right="299" w:bottom="1440" w:gutter="0" w:footer="0" w:header="0"/>
        </w:sectPr>
      </w:pPr>
    </w:p>
    <w:bookmarkStart w:id="5" w:name="page6"/>
    <w:bookmarkEnd w:id="5"/>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Monetary Policy and Economic Conditions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United’s profitability depends to a substantial extent on the difference between interest revenue received from loans, investments, and other earning assets, and the interest paid on deposits and other liabilities. These rates are highly sensitive to many factors that are beyond the control of United, including national and international economic conditions and the monetary policies of various governmental and regulatory authorities, particularly the Board of Governors of the Federal Reserve System (the “Federal Reserve”). The instruments of monetary policy employed by the Federal Reserve include open market operations in U.S. government securities, changes in the discount rate on bank borrowings and changes in reserve requirements against bank deposits.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market for banking and bank-related services is highly competitive. United actively competes in its market areas, which include north Georgia, the Atlanta-Sandy Springs-Roswell, Georgia metropolitan statistical area, the Gainesville, Georgia metropolitan statistical area, coastal Georgia, western North Carolina, east and central Tennessee and the Greenville-Anderson-Mauldin, South Carolina metropolitan statistical area, with other providers of deposit and credit services. These competitors include other commercial banks, savings banks, savings and loan associations, credit unions, mortgage companies, and brokerage firms.</w:t>
      </w:r>
    </w:p>
    <w:p>
      <w:pPr>
        <w:spacing w:after="0" w:line="21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table on the following page displays the respective percentage of total bank and thrift deposits for the last five years in each county where the Bank has deposit operations. The table also indicates the Bank’s ranking by deposit size in each county. All information in the table was obtained from the Federal Deposit Insurance Corporation Summary of Deposits as of June 30 of each year. The following information only shows market share in deposit gathering, which may not be indicative of market presence in other areas.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Share of Local Deposit Markets by County - Banks and Savings Institutions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Rank in Market</w:t>
            </w: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500" w:type="dxa"/>
            <w:vAlign w:val="bottom"/>
          </w:tcPr>
          <w:p>
            <w:pPr>
              <w:spacing w:after="0"/>
              <w:rPr>
                <w:sz w:val="13"/>
                <w:szCs w:val="13"/>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2012</w:t>
            </w:r>
          </w:p>
        </w:tc>
        <w:tc>
          <w:tcPr>
            <w:tcW w:w="180" w:type="dxa"/>
            <w:vAlign w:val="bottom"/>
          </w:tcPr>
          <w:p>
            <w:pPr>
              <w:spacing w:after="0"/>
              <w:rPr>
                <w:sz w:val="13"/>
                <w:szCs w:val="13"/>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500" w:type="dxa"/>
            <w:vAlign w:val="bottom"/>
          </w:tcPr>
          <w:p>
            <w:pPr>
              <w:spacing w:after="0"/>
              <w:rPr>
                <w:sz w:val="13"/>
                <w:szCs w:val="13"/>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2010</w:t>
            </w:r>
          </w:p>
        </w:tc>
        <w:tc>
          <w:tcPr>
            <w:tcW w:w="500" w:type="dxa"/>
            <w:vAlign w:val="bottom"/>
          </w:tcPr>
          <w:p>
            <w:pPr>
              <w:spacing w:after="0"/>
              <w:rPr>
                <w:sz w:val="13"/>
                <w:szCs w:val="13"/>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500" w:type="dxa"/>
            <w:vAlign w:val="bottom"/>
          </w:tcPr>
          <w:p>
            <w:pPr>
              <w:spacing w:after="0"/>
              <w:rPr>
                <w:sz w:val="13"/>
                <w:szCs w:val="13"/>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440" w:type="dxa"/>
            <w:vAlign w:val="bottom"/>
          </w:tcPr>
          <w:p>
            <w:pPr>
              <w:spacing w:after="0"/>
              <w:rPr>
                <w:sz w:val="13"/>
                <w:szCs w:val="13"/>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2012</w:t>
            </w:r>
          </w:p>
        </w:tc>
        <w:tc>
          <w:tcPr>
            <w:tcW w:w="60" w:type="dxa"/>
            <w:vAlign w:val="bottom"/>
          </w:tcPr>
          <w:p>
            <w:pPr>
              <w:spacing w:after="0"/>
              <w:rPr>
                <w:sz w:val="13"/>
                <w:szCs w:val="13"/>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440" w:type="dxa"/>
            <w:vAlign w:val="bottom"/>
          </w:tcPr>
          <w:p>
            <w:pPr>
              <w:spacing w:after="0"/>
              <w:rPr>
                <w:sz w:val="13"/>
                <w:szCs w:val="13"/>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2010</w:t>
            </w:r>
          </w:p>
        </w:tc>
        <w:tc>
          <w:tcPr>
            <w:tcW w:w="440" w:type="dxa"/>
            <w:vAlign w:val="bottom"/>
          </w:tcPr>
          <w:p>
            <w:pPr>
              <w:spacing w:after="0"/>
              <w:rPr>
                <w:sz w:val="13"/>
                <w:szCs w:val="13"/>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Atlanta, Georgia MSA</w:t>
            </w: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Bartow</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Carroll</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Cherokee</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Cobb</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Coweta</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Dawson</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DeKalb</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Douglas</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Fayette</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Forsyth</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Fulton</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Gwinnett</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Henry</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Newton</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Paulding</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Pickens</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Rockdale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Walton</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Gainesville, Georgia MSA</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Hall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Georgia</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Chattooga</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Fannin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Floyd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Gilmer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Habersham</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Jackson</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Lumpkin</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Rabun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Towns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88</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White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Tennessee</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Blount</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Bradley</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Knox</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Loudon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McMinn</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Monroe</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Roane</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Coastal Georgia</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Chatham</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Glynn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Ware</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Avery</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Cherokee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Clay</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Graham</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Haywood</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Henderson</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Jackson</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Macon</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Mitchell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Swain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Transylvania</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Watauga</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Yancey</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648"/>
        </w:trPr>
        <w:tc>
          <w:tcPr>
            <w:tcW w:w="20" w:type="dxa"/>
            <w:vAlign w:val="bottom"/>
          </w:tcPr>
          <w:p>
            <w:pPr>
              <w:spacing w:after="0"/>
              <w:rPr>
                <w:sz w:val="24"/>
                <w:szCs w:val="24"/>
                <w:color w:val="auto"/>
              </w:rPr>
            </w:pPr>
          </w:p>
        </w:tc>
        <w:tc>
          <w:tcPr>
            <w:tcW w:w="376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87" w:right="239" w:bottom="1103"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Loans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Bank makes both secured and unsecured loans to individuals, and businesses. Secured loans include first and second real estate mortgage loans and commercial loans secured by non-real estate assets. The Bank also makes direct installment loans to consumers on both a secured and unsecured basis. At December 31, 2013, commercial (secured by real estate), commercial (commercial and industrial), commercial construction, residential mortgage, residential construction, and consumer installment loans represented approximately 41%, 11%, 3%, 30%, 8% and 7%, respectively, of United’s total loan portfolio.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risk elements associated with the Bank’s lending categories include, but are not limited to:</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 Type</w:t>
            </w:r>
          </w:p>
        </w:tc>
        <w:tc>
          <w:tcPr>
            <w:tcW w:w="7980" w:type="dxa"/>
            <w:vAlign w:val="bottom"/>
          </w:tcPr>
          <w:p>
            <w:pPr>
              <w:ind w:left="3580"/>
              <w:spacing w:after="0"/>
              <w:rPr>
                <w:sz w:val="20"/>
                <w:szCs w:val="20"/>
                <w:color w:val="auto"/>
              </w:rPr>
            </w:pPr>
            <w:r>
              <w:rPr>
                <w:rFonts w:ascii="Times New Roman" w:cs="Times New Roman" w:eastAsia="Times New Roman" w:hAnsi="Times New Roman"/>
                <w:sz w:val="14"/>
                <w:szCs w:val="14"/>
                <w:color w:val="auto"/>
              </w:rPr>
              <w:t>Risk Elements</w:t>
            </w:r>
          </w:p>
        </w:tc>
      </w:tr>
      <w:tr>
        <w:trPr>
          <w:trHeight w:val="58"/>
        </w:trPr>
        <w:tc>
          <w:tcPr>
            <w:tcW w:w="3440" w:type="dxa"/>
            <w:vAlign w:val="bottom"/>
            <w:gridSpan w:val="2"/>
          </w:tcPr>
          <w:p>
            <w:pPr>
              <w:spacing w:after="0"/>
              <w:rPr>
                <w:sz w:val="5"/>
                <w:szCs w:val="5"/>
                <w:color w:val="auto"/>
              </w:rPr>
            </w:pPr>
          </w:p>
        </w:tc>
        <w:tc>
          <w:tcPr>
            <w:tcW w:w="7980" w:type="dxa"/>
            <w:vAlign w:val="bottom"/>
          </w:tcPr>
          <w:p>
            <w:pPr>
              <w:spacing w:after="0"/>
              <w:rPr>
                <w:sz w:val="5"/>
                <w:szCs w:val="5"/>
                <w:color w:val="auto"/>
              </w:rPr>
            </w:pPr>
          </w:p>
        </w:tc>
      </w:tr>
      <w:tr>
        <w:trPr>
          <w:trHeight w:val="198"/>
        </w:trPr>
        <w:tc>
          <w:tcPr>
            <w:tcW w:w="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76"/>
              </w:rPr>
              <w:t>Commercial</w:t>
            </w:r>
          </w:p>
        </w:tc>
        <w:tc>
          <w:tcPr>
            <w:tcW w:w="274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(secured by real estate)</w:t>
            </w:r>
          </w:p>
        </w:tc>
        <w:tc>
          <w:tcPr>
            <w:tcW w:w="79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Loan portfolio concentrations; declines in general economic conditions and occupancy rates; business failure</w:t>
            </w:r>
          </w:p>
        </w:tc>
      </w:tr>
      <w:tr>
        <w:trPr>
          <w:trHeight w:val="234"/>
        </w:trPr>
        <w:tc>
          <w:tcPr>
            <w:tcW w:w="7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and lack of a suitable alternative use for property; environmental contamination.</w:t>
            </w:r>
          </w:p>
        </w:tc>
      </w:tr>
      <w:tr>
        <w:trPr>
          <w:trHeight w:val="41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(commercial and industrial)</w:t>
            </w: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Industry concentrations; inability to monitor the condition of collateral (inventory, accounts receivable and</w:t>
            </w:r>
          </w:p>
        </w:tc>
      </w:tr>
      <w:tr>
        <w:trPr>
          <w:trHeight w:val="216"/>
        </w:trPr>
        <w:tc>
          <w:tcPr>
            <w:tcW w:w="7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w w:val="99"/>
              </w:rPr>
              <w:t>other non-real estate assets); use of specialized or obsolete equipment as collateral; insufficient cash flow from</w:t>
            </w:r>
          </w:p>
        </w:tc>
      </w:tr>
      <w:tr>
        <w:trPr>
          <w:trHeight w:val="234"/>
        </w:trPr>
        <w:tc>
          <w:tcPr>
            <w:tcW w:w="7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operations to service debt payments; declines in general economic conditions.</w:t>
            </w:r>
          </w:p>
        </w:tc>
      </w:tr>
      <w:tr>
        <w:trPr>
          <w:trHeight w:val="41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Inadequate long-term financing arrangements; inventory levels; cost overruns, changes in market demand for</w:t>
            </w:r>
          </w:p>
        </w:tc>
      </w:tr>
      <w:tr>
        <w:trPr>
          <w:trHeight w:val="234"/>
        </w:trPr>
        <w:tc>
          <w:tcPr>
            <w:tcW w:w="7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property.</w:t>
            </w:r>
          </w:p>
        </w:tc>
      </w:tr>
      <w:tr>
        <w:trPr>
          <w:trHeight w:val="41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Loan portfolio concentrations; changes in general economic conditions or in the local economy; loss of</w:t>
            </w:r>
          </w:p>
        </w:tc>
      </w:tr>
      <w:tr>
        <w:trPr>
          <w:trHeight w:val="234"/>
        </w:trPr>
        <w:tc>
          <w:tcPr>
            <w:tcW w:w="7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borrower’s employment; insufficient collateral value due to decline in property value.</w:t>
            </w:r>
          </w:p>
        </w:tc>
      </w:tr>
      <w:tr>
        <w:trPr>
          <w:trHeight w:val="41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Inadequate long-term financing arrangements; inventory levels; cost overruns, changes in market demand for</w:t>
            </w:r>
          </w:p>
        </w:tc>
      </w:tr>
      <w:tr>
        <w:trPr>
          <w:trHeight w:val="234"/>
        </w:trPr>
        <w:tc>
          <w:tcPr>
            <w:tcW w:w="7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property; rising interest rates.</w:t>
            </w:r>
          </w:p>
        </w:tc>
      </w:tr>
      <w:tr>
        <w:trPr>
          <w:trHeight w:val="43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Loss of borrower’s employment; changes in local economy; the inability to monitor collateral.</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Lending Policy</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Bank makes loans primarily to persons or businesses that reside, work, own property, or operate in its primary market areas. Unsecured loans are generally made only to persons who qualify for such credit based on their credit history, net worth, income and liquidity. Secured loans are made to persons who are well established and have the credit history, net worth, collateral, and cash flow to support the loan. Exceptions to the Bank’s policies are permitted on a case-by-case basis. Major policy exceptions require the approving officer to document the reason for the exception. Loans exceeding the lending officer’s credit limit must be approved through the credit approval process involving Regional Credit Managers. Consumer loans are approved through the centralized consumer credit centers.</w:t>
      </w:r>
    </w:p>
    <w:p>
      <w:pPr>
        <w:spacing w:after="0" w:line="21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United’s Credit Administration department provides each lending officer with written guidelines for lending activities as approved by the Bank’s Board of Directors. Limited lending authority is delegated to lending officers by Credit Administration as authorized by the Bank’s Board of Directors. Loans in excess of individual officer credit authority must be approved by a senior officer with sufficient approval authority delegated by Credit Administration as authorized by the Bank’s Board of Directors. At December 31, 2013, the Bank’s legal lending limit was $215 million; however, the Board of Directors has established an internal lending limit of $25 million. All loans to borrowers for any individual real estate project that exceeds $15 million or whose total aggregate borrowing relationship exceed $20 million require the approval of two Bank directors and must be reported quarterly to the Bank’s Board of Directors for ratification.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Lending</w:t>
      </w:r>
    </w:p>
    <w:p>
      <w:pPr>
        <w:spacing w:after="0" w:line="25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United utilizes its Regional Credit Managers to provide credit administration support for commercial loans to the Bank as needed. The Regional Credit Managers have joint lending approval authority with the Community Bank Presidents within varying limits set by Credit Administration based on characteristics of each market. The Regional Credit Managers also provide credit underwriting support as needed by the community banks they serve.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Credit Center</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United has implemented a centralized consumer credit center that provides underwriting, regulatory disclosure and document preparation for all consumer loan requests originated by the bank’s market lenders. Requests are processed through an automated loan origination software platform.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Loan Review and Nonperforming Assets</w:t>
      </w:r>
    </w:p>
    <w:p>
      <w:pPr>
        <w:spacing w:after="0" w:line="24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Loan Review Department of United reviews, or engages an independent third party to review, the Bank’s loan portfolio on an ongoing basis to identify any weaknesses in the portfolio and to assess the general quality of credit underwriting. The results of such reviews are presented to Executive Management, the Community Bank Presidents, Credit Administration Management and the Audit Committee of the Board of Directors. If an individual loan or credit relationship has a material weakness identified during the review process, the risk rating of the loan, or generally all loans comprising that credit relationship, will be downgraded to the classification that most closely matches the current risk level. The review process also provides for the upgrade of loans that show improvement since the last review. Since each loan in a credit relationship may have a different credit structure, collateral, and source of repayment, different loans in a relationship can be assigned different risk ratings. Under United’s 10-tier loan grading system for commercial loans, grades 1 through 6 are considered “pass” (acceptable) credit risk, grade 7 is a “watch” rating, and grades 8 through 10 are “adversely classified” credits that require management’s attention. The entire 10-grade rating scale provides for a higher numeric rating for increased risk. For example, a risk rating of 1 is the least risky of all credits and would be typical of a loan that is 100% secured by a deposit at the Bank. Risk ratings of 2 through 6 in the pass category each have incrementally more risk. The four watch list credit ratings and rating definitions are: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(Watch)</w:t>
            </w:r>
          </w:p>
        </w:tc>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Loans in this category are presently protected from apparent loss; however weaknesses exist that could cause future impairment,</w:t>
            </w: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including the deterioration of financial ratios, past due status and questionable management capabilities. These loans require more</w:t>
            </w: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than the ordinary amount of supervision. Collateral values generally afford adequate coverage, but may not be immediately</w:t>
            </w:r>
          </w:p>
        </w:tc>
      </w:tr>
      <w:tr>
        <w:trPr>
          <w:trHeight w:val="234"/>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marketable.</w:t>
            </w:r>
          </w:p>
        </w:tc>
      </w:tr>
      <w:tr>
        <w:trPr>
          <w:trHeight w:val="441"/>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(Substandard)</w:t>
            </w:r>
          </w:p>
        </w:tc>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w:t>
            </w: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Specific and well-defined weaknesses exist that may include poor liquidity and deterioration of financial ratios. The loan may be</w:t>
            </w: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past due and related deposit accounts experiencing overdrafts. There is the distinct possibility that United will sustain some loss if</w:t>
            </w:r>
          </w:p>
        </w:tc>
      </w:tr>
      <w:tr>
        <w:trPr>
          <w:trHeight w:val="234"/>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deficiencies are not corrected. If possible, immediate corrective action is taken.</w:t>
            </w:r>
          </w:p>
        </w:tc>
      </w:tr>
      <w:tr>
        <w:trPr>
          <w:trHeight w:val="441"/>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(Doubtful)</w:t>
            </w:r>
          </w:p>
        </w:tc>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Specific weaknesses characterized as Substandard that are severe enough to make collection in full highly questionable and</w:t>
            </w:r>
          </w:p>
        </w:tc>
      </w:tr>
      <w:tr>
        <w:trPr>
          <w:trHeight w:val="234"/>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improbable. There is no reliable secondary source of full repayment.</w:t>
            </w:r>
          </w:p>
        </w:tc>
      </w:tr>
      <w:tr>
        <w:trPr>
          <w:trHeight w:val="441"/>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(Loss)</w:t>
            </w:r>
          </w:p>
        </w:tc>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Loans categorized as Loss have the same characteristics as Doubtful, however, probability of loss is certain. Loans classified as</w:t>
            </w:r>
          </w:p>
        </w:tc>
      </w:tr>
      <w:tr>
        <w:trPr>
          <w:trHeight w:val="234"/>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are charged-off.</w:t>
            </w: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Loans not meeting the criteria above that are analyzed individually as part of the above described process are considered to be pass rated loans. Loans listed as not rated are generally deposit account overdrafts that have not been assigned a grade.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Credit Administration, with supervision and input from Accounting, prepares a quarterly analysis to determine the adequacy of the Allowance for Credit Losses (“ACL”). The ACL is comprised of the allowance for loan losses and the allowance for unfunded commitments. The allowance for loan losses analysis starts with total loans and subtracts loans fully secured by deposit accounts at the Bank, which effectively have no risk of loss. Next, all loans that are considered impaired are individually reviewed and assigned a specific reserve if one is warranted. Most collateral dependent impaired loans with specific reserves are charged down to net realizable value. The remaining loan balance for each major loan category is then multiplied by its respective loss factor that is derived from the average historical loss rate for the preceding two year period, weighted toward the most recent quarters, and adjusted to reflect current economic conditions. Loss factors for these loans are determined based on historical loss experience by type of loan. The unallocated portion of the allowance is maintained due to imprecision in estimating loss factors and economic and other conditions that cannot be entirely quantified in the analysis.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Asset/Liability Committee</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United’s Asset Liability Management Committee (“ALCO”) is composed of executive officers and the Treasurer of United. ALCO is charged with managing the assets and liabilities of United and the Bank. ALCO’s primary role is to balance asset growth and income generation with the prudent management of interest rate risk, market risk and liquidity risk and with the need to maintain appropriate levels of capital. ALCO directs the Bank’s overall balance sheet strategy, including the acquisition and investment of funds. At regular meetings, the committee reviews the interest rate sensitivity and liquidity positions, including stress scenarios, the net interest margin, the investment portfolio, the funding mix and other variables, such as regulatory changes, monetary policy adjustments and the overall state of the economy. A more comprehensive discussion of United’s asset/liability management and interest rate risk is contained in the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(Part II, Item 7) and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(Part II, Item 7A) sections of this report.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Investment Policy</w:t>
      </w:r>
    </w:p>
    <w:p>
      <w:pPr>
        <w:spacing w:after="0" w:line="256"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7"/>
          <w:szCs w:val="17"/>
          <w:color w:val="auto"/>
        </w:rPr>
        <w:t>United’s investment portfolio policy is to balance income generation with liquidity, interest rate sensitivity, pledging and regulatory needs. The Chief Financial Officer and the Treasurer of United administer the policy, and it is reviewed from time to time by United’s ALCO and the Board of Directors. Portfolio activity, composition, and performance are reviewed and approved periodically by United’s Board of Directors or a committee thereof.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2013, United and its subsidiaries had 1,472 full-time equivalent employees. Neither United nor any of its subsidiaries are a party to any collective bargaining agreement and management believes that employee relations are good.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United’s Internet website address is www.ucbi.com. United makes available free of charge through its website Annual Reports on Form 10-K, Quarterly Reports on Form 10-Q and Current Reports on Form 8-K, and amendments to those reports, as soon as reasonably practicable after they are filed with, or furnished to, the SEC.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Supervision and Regulation</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is an explanation of the supervision and regulation of United and the Bank as financial institutions. This explanation does not purport to describe state, federal or Nasdaq Stock Market supervision and regulation of general business corporations or Nasdaq listed companies.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United is a registered bank holding company subject to regulation by the Federal Reserve under the BHC Act. United is required to file annual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quarterly financial information with the Federal Reserve and is subject to periodic examination by the Federal Reserve.</w:t>
      </w:r>
    </w:p>
    <w:p>
      <w:pPr>
        <w:spacing w:after="0" w:line="1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BHC Act requires every bank holding company to obtain the Federal Reserve’s prior approval before (1) it may acquire direct or indirect ownership or control of more than 5% of the voting shares of any bank that it does not already control; (2) it or any of its non-bank subsidiaries may acquire all or substantially all of the assets of a bank; and (3) it may merge or consolidate with any other bank holding company. In addition, a bank holding company is generally prohibited from engaging in, or acquiring, direct or indirect control of the voting shares of any company engaged in non-banking activities. This prohibition does not apply to activities listed in the BHC Act or found by the Federal Reserve, by order or regulation, to be closely related to banking or managing or controlling banks as to be a proper incident thereto. Some of the activities that the Federal Reserve has determined by regulation or order to be closely related to banking are:</w:t>
      </w:r>
    </w:p>
    <w:p>
      <w:pPr>
        <w:spacing w:after="0" w:line="216"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servicing loans and certain types of leases;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certain data processing services;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fiduciary or investment or financial advisor;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brokerage services;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bank eligible securities;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debt and equity securities on a limited basis through separately capitalized subsidiaries;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investments in corporations or projects designed primarily to promote community welfare.</w:t>
      </w:r>
    </w:p>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Although the activities of bank holding companies have traditionally been limited to the business of banking and activities closely related or incidental to banking (as discussed above), the Gramm-Leach-Bliley Act (the “GLB Act”) relaxed the previous limitations and permitted bank holding companies to engage in a broader range of financial activities. Specifically, bank holding companies may elect to become financial holding companies which may affiliate with securities firms and insurance companies and engage in other activities that are financial in nature. Among the activities that are deemed “financial in nature” include:</w:t>
      </w:r>
    </w:p>
    <w:p>
      <w:pPr>
        <w:spacing w:after="0" w:line="21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lending, exchanging, transferring, investing for others or safeguarding money or securities;</w:t>
      </w:r>
    </w:p>
    <w:p>
      <w:pPr>
        <w:spacing w:after="0" w:line="225" w:lineRule="exact"/>
        <w:rPr>
          <w:rFonts w:ascii="Times New Roman" w:cs="Times New Roman" w:eastAsia="Times New Roman" w:hAnsi="Times New Roman"/>
          <w:sz w:val="18"/>
          <w:szCs w:val="18"/>
          <w:color w:val="auto"/>
        </w:rPr>
      </w:pPr>
    </w:p>
    <w:p>
      <w:pPr>
        <w:ind w:left="340" w:right="66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guaranteeing, or indemnifying against loss, harm, damage, illness, disability, or death, or providing and issuing annuities, and acting as principal, agent, or broker with respect thereto;</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financial, investment, or economic advisory services, including advising an investment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selling instruments representing interests in pools of assets permissible for a bank to hold directly;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dealing in or making a market in securities.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14" w:right="279" w:bottom="752" w:gutter="0" w:footer="0" w:header="0"/>
        </w:sectPr>
      </w:pPr>
    </w:p>
    <w:bookmarkStart w:id="10" w:name="page11"/>
    <w:bookmarkEnd w:id="10"/>
    <w:p>
      <w:pPr>
        <w:ind w:right="60"/>
        <w:spacing w:after="0" w:line="261" w:lineRule="auto"/>
        <w:rPr>
          <w:sz w:val="20"/>
          <w:szCs w:val="20"/>
          <w:color w:val="auto"/>
        </w:rPr>
      </w:pPr>
      <w:r>
        <w:rPr>
          <w:rFonts w:ascii="Times New Roman" w:cs="Times New Roman" w:eastAsia="Times New Roman" w:hAnsi="Times New Roman"/>
          <w:sz w:val="18"/>
          <w:szCs w:val="18"/>
          <w:color w:val="auto"/>
        </w:rPr>
        <w:t>A bank holding company may become a financial holding company under this statute only if each of its subsidiary banks is well-capitalized, is well managed and has at least a satisfactory rating under the Community Reinvestment Act. A bank holding company that falls out of compliance with such requirement may be required to cease engaging in certain activities. Any bank holding company that does not elect to become a financial holding company remains subject to the bank holding company restrictions of the BHC Act.</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this legislation, the Federal Reserve serves as the primary “umbrella” regulator of financial holding companies with supervisory authority over each parent company and limited authority over its subsidiaries. The primary regulator of each subsidiary of a financial holding company will depend on the type of activity conducted by the subsidiary. For example, broker-dealer subsidiaries will be regulated largely by securities regulators and insurance subsidiaries will be regulated largely by insurance authorities.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has no current plans to register as a financial holding company.</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United must also register with the DBF and file periodic information with the DBF. As part of such registration, the DBF requires information with respect to the financial condition, operations, management and intercompany relationship of United and the Bank and related matters. The DBF may also require such other information as is necessary to keep itself informed concerning compliance with Georgia law and the regulations and orders issued thereunder by the DBF, and the DBF may examine United and the Bank. Although the Bank operates branches in North Carolina, east and central Tennessee and Greenville, South Carolina; neither the North Carolina Banking Commission, the Tennessee Department of Financial Institutions (the “TDFI”), nor the South Carolina Commissioner of Banking examines or directly regulates out-of-state holding companies.</w:t>
      </w:r>
    </w:p>
    <w:p>
      <w:pPr>
        <w:spacing w:after="0" w:line="21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United is an “affiliate” of the Bank under the Federal Reserve Act, which imposes certain restrictions on (1) loans by the Bank to United, (2) investments in the stock or securities of United by the Bank, (3) the Bank taking the stock or securities of an “affiliate” as collateral for loans by the Bank to a borrower, and</w:t>
      </w:r>
    </w:p>
    <w:p>
      <w:pPr>
        <w:spacing w:after="0" w:line="1" w:lineRule="exact"/>
        <w:rPr>
          <w:sz w:val="20"/>
          <w:szCs w:val="20"/>
          <w:color w:val="auto"/>
        </w:rPr>
      </w:pPr>
    </w:p>
    <w:p>
      <w:pPr>
        <w:ind w:right="500" w:firstLine="8"/>
        <w:spacing w:after="0" w:line="26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assets from United by the Bank. Further, a bank holding company and its subsidiaries are prohibited from engaging in certain tie-in arrangements in connection with any extension of credit, lease or sale of property or furnishing of services.</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Bank and each of its subsidiaries are regularly examined by the FDIC. The Bank, as a state banking association organized under Georgia law, is subject to the supervision of, and is regularly examined by, the DBF. Both the FDIC and the DBF must grant prior approval of any merger, consolidation or other corporation reorganization involving the Bank.</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Payment of Dividends. </w:t>
      </w:r>
      <w:r>
        <w:rPr>
          <w:rFonts w:ascii="Times New Roman" w:cs="Times New Roman" w:eastAsia="Times New Roman" w:hAnsi="Times New Roman"/>
          <w:sz w:val="18"/>
          <w:szCs w:val="18"/>
          <w:color w:val="auto"/>
        </w:rPr>
        <w:t>United is a legal entity separate and distinct from the Bank. Most of the revenue of United results from dividends paid to it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There are statutory and regulatory requirements applicable to the payment of dividends by the Bank, as well as by United to its shareholders.</w:t>
      </w:r>
    </w:p>
    <w:p>
      <w:pPr>
        <w:spacing w:after="0" w:line="1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the regulations of the DBF, a state bank with negative retained earnings may declare dividends by first obtaining the written permission of the DBF. If a state bank has positive retained earnings, it may declare a dividend without DBF approval if it meets all the following requirements:</w:t>
      </w:r>
    </w:p>
    <w:p>
      <w:pPr>
        <w:spacing w:after="0" w:line="189"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classified assets as of the most recent examination of the bank do not exceed 80% of equity capital (as defined by regulation);</w:t>
      </w:r>
    </w:p>
    <w:p>
      <w:pPr>
        <w:spacing w:after="0" w:line="225"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dividends declared or anticipated to be declared in the calendar year does not exceed 50% of the net profits after taxes but before dividends for the previous calendar year;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equity capital to adjusted assets is not less than 6%.</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payment of dividends by United and the Bank may also be affected or limited by other factors, such as the requirement to maintain adequate capital above regulatory guidelines. In addition, if, in the opinion of the applicable regulatory authority, a bank under its jurisdiction is engaged in or is about to engage in an unsafe or unsound practice (which, depending upon the financial condition of the bank, could include the payment of dividends), such authority may require, after notice and hearing, that such bank cease and desist from such practice. The FDIC has issued a policy statement providing that insured banks should generally only pay dividends out of current operating earnings. In addition to the formal statutes and regulations, regulatory authorities consider the adequacy of the Bank’s total capital in relation to its assets, deposits and other such items. Capital adequacy considerations could further limit the availability of dividends from the Bank.</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rules adopted by the Federal Reserve in November 2011, known as the Comprehensive Capital Analysis and Review (“CCAR”) Rules, bank holding companies with $50 billion or more of total assets are required to submit annual capital plans to the Federal Reserve and generally may pay dividends and repurchase stock only under a capital plan as to which the Federal Reserve has not objected. The CCAR rules will not apply to United for so long as our total consolidated assets remain below $50 billion. However, it is anticipated that United capital ratios will be important factors considered by the Federal Reserve in evaluating whether proposed payments of dividends or stock repurchases may be an unsafe or unsound practices.</w:t>
      </w:r>
    </w:p>
    <w:p>
      <w:pPr>
        <w:spacing w:after="0" w:line="21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Due to our accumulated deficit (negative retained earnings), the Bank does not have the ability to pay cash dividends to United in 2014 without the approval of the DBF. During the fourth quarter of 2013, the Bank paid a cash dividend of $50.0 million to United. United did not pay cash dividends on its common stock in 2013.</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11" w:name="page12"/>
    <w:bookmarkEnd w:id="11"/>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Capital Adequacy. </w:t>
      </w:r>
      <w:r>
        <w:rPr>
          <w:rFonts w:ascii="Times New Roman" w:cs="Times New Roman" w:eastAsia="Times New Roman" w:hAnsi="Times New Roman"/>
          <w:sz w:val="18"/>
          <w:szCs w:val="18"/>
          <w:color w:val="auto"/>
        </w:rPr>
        <w:t>Banks and bank holding companies are subject to various regulatory capital requirements administered by state and federal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agencies. Capital adequacy guidelines involve quantitative measures of assets, liabilities and certain off-balance-sheet items calculated under regulatory accounting practices. Capital amounts and classifications are also subject to qualitative judgments by regulators about components, risk weighting and other factors.</w:t>
      </w:r>
    </w:p>
    <w:p>
      <w:pPr>
        <w:spacing w:after="0" w:line="2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Federal Reserve and the FDIC have implemented substantially identical risk-based rules for assessing bank and bank holding company capital adequacy. These regulations establish minimum capital standards in relation to assets and off-balance sheet exposures as adjusted for credit risk. Banks and bank holding companies are required to have (1) a minimum level of total capital to risk-weighted assets of 8%; and (2) a minimum ratio of Tier 1 capital to risk-weighted assets of 4%. In addition, the Federal Reserve and the FDIC have established a minimum 3% leverage ratio of Tier 1 capital to quarterly average total assets for the most highly-rated banks and bank holding companies. “Total capital” is composed of Tier 1 capital and Tier 2 capital. “Tier 1 capital” includes common equity, retained earnings, qualifying non-cumulative perpetual preferred stock, a limited amount of qualifying cumulative perpetual stock at the holding company level, minority interests in equity accounts of consolidated subsidiaries, less goodwill, most intangible assets and certain other assets. “Tier 2 capital” includes, among other things, perpetual preferred stock and related surplus not meeting the Tier 1 capital definition, qualifying mandatorily convertible debt securities, qualifying subordinated debt and allowances for possible loan and lease losses, subject to limitations. The Federal Reserve and the FDIC use the leverage ratio in tandem with the risk-based ratio to assess the capital adequacy of banks and bank holding companies. The Federal Reserve will require a bank holding company to maintain a leverage ratio greater than 4% if it is experiencing or anticipating significant growth or is operating with less than well-diversified risks in the opinion of the Federal Reserve. The FDIC, the Office of the Comptroller of the Currency (the “OCC”) and the Federal Reserve require banks to maintain capital well above minimum levels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Section 38 of the Federal Deposit Insurance Act implemented the prompt corrective action provisions that Congress enacted as a part of the Federal Deposit Insurance Corporation Improvement Act of 1991 (the “1991 Act”). The “prompt corrective action” provisions set forth five regulatory zones in which all banks are placed largely based on their capital positions. Regulators are permitted to take increasingly harsh action as a bank’s financial condition declines. The FDIC is required to resolve a bank when its ratio of tangible equity to total assets reaches 2%. Better capitalized institutions are generally subject to less onerous regulation and supervision than banks with lesser amounts of capital.</w:t>
      </w:r>
    </w:p>
    <w:p>
      <w:pPr>
        <w:spacing w:after="0" w:line="2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FDIC has adopted regulations implementing the prompt corrective action provisions of the 1991 Act, which place financial institutions in the following five categories based upon capitalization ratios: (1) a “well-capitalized” institution has a Total risk-based capital ratio of at least 10%, a Tier 1 risk-based ratio of at least 6% and a leverage ratio of at least 5%; (2) an “adequately capitalized” institution has a Total risk-based capital ratio of at least 8%, a Tier 1 risk-based ratio of at least 4% and a leverage ratio of at least 4%; (3) an “undercapitalized” institution has a Total risk-based capital ratio of under 8%, a Tier 1 risk-based ratio of under 4% or a leverage ratio of under 4%; (4) a “significantly undercapitalized” institution has a Total risk-based capital ratio of under 6%, a Tier 1 risk-based ratio of under 3% or a leverage ratio of under 3%; and (5) a “critically undercapitalized” institution has a ratio of tangible equity to total assets of 2% or less. Institutions in any of the three undercapitalized categories would be prohibited from declaring dividends or making capital distributions. The FDIC regulations also allow it to “downgrade” an institution to a lower capital category based on supervisory factors other than capital.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2013, the FDIC categorized the Bank as “well-capitalized” under current regulations.</w:t>
      </w:r>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July 2013, the Federal Reserve published the Basel III Capital Rules establishing a new comprehensive capital framework applicable to all depository institutions, bank holding companies with total consolidated assets of $500 million or more and all and savings and loan holding companies except for those that are substantially engaged in insurance underwriting or commercial activities (collectively, “banking organizations”). The rules implement the December 2010 framework proposed by the Basel Committee on Banking Supervision (the “Basel Committee”), known as “Basel III”, for strengthening international capital standards as well as certain provisions of the Dodd-Frank Act.</w:t>
      </w:r>
    </w:p>
    <w:p>
      <w:pPr>
        <w:spacing w:after="0" w:line="21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Basel III Capital Rules substantially revise the foregoing risk-based capital requirements applicable to bank holding companies and depository institutions, including United and the Bank, compared to the current U.S. risk-based capital rules. The Basel III Capital Rules:</w:t>
      </w:r>
    </w:p>
    <w:p>
      <w:pPr>
        <w:spacing w:after="0" w:line="18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components of capital and address other issues affecting the numerator in banking institutions’ regulatory capital ratios;</w:t>
      </w:r>
    </w:p>
    <w:p>
      <w:pPr>
        <w:spacing w:after="0" w:line="252"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risk weights and other issues affecting the denominator in banking institutions’ regulatory capital ratios and replace the existing risk-weighting approach, which was derived from the Basel I capital accords of the Basel Committee, with a more risk-sensitive approach based, in part, on the standardized approach in the Basel Committee’s 2004 “Basel II” capital accords;</w:t>
      </w:r>
    </w:p>
    <w:p>
      <w:pPr>
        <w:spacing w:after="0" w:line="2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a new capital measure called “common equity Tier 1” (“CET1”);</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Tier 1 capital consists of CET1 and “additional Tier 1 capital” instruments meeting specified requirements;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the requirements of Section 939A of the Dodd-Frank Act to remove references to credit ratings from the federal banking agencies’ rules.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4"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Basel III Capital Rules are effective for United and the Bank on January 1, 2015 subject to a phase in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fully phased in on January 1, 2019, the Basel III Capital Rules will require United and the Bank to maintain;</w:t>
      </w:r>
    </w:p>
    <w:p>
      <w:pPr>
        <w:spacing w:after="0" w:line="252" w:lineRule="exact"/>
        <w:rPr>
          <w:sz w:val="20"/>
          <w:szCs w:val="20"/>
          <w:color w:val="auto"/>
        </w:rPr>
      </w:pPr>
    </w:p>
    <w:p>
      <w:pPr>
        <w:ind w:left="340" w:right="18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CET1 to risk-weighted assets of at least 4.5%, plus a 2.5% “capital conservation buffer” (which is added to the 4.5% CET1 ratio as that buffer is phased in, effectively resulting in a minimum ratio of CET1 to risk-weighted assets of at least 7% upon full implementation);</w:t>
      </w:r>
    </w:p>
    <w:p>
      <w:pPr>
        <w:spacing w:after="0" w:line="161"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Tier 1 capital to risk-weighted assets of at least 6.0%, plus the capital conservation buffer (which is added to the 6.0% Tier 1 capital ratio as that buffer is phased in, effectively resulting in a minimum Tier 1 capital ratio of 8.5% upon full implementation);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total capital (that is, Tier 1 plus Tier 2) to risk-weighted assets of at least 8.0%, plus the capital conservation buffer (which is added to the 8.0% total capital ratio as that buffer is phased in, effectively resulting in a minimum total capital ratio of 10.5% upon full implementation); and</w:t>
      </w:r>
    </w:p>
    <w:p>
      <w:pPr>
        <w:spacing w:after="0" w:line="161"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leverage ratio of 4%, calculated as the ratio of Tier 1 capital to average assets (as compared to a current minimum leverage ratio of 3% for banking organizations that either have the highest supervisory rating or have implemented the appropriate federal regulatory authority’s risk-adjusted measure for market risk).</w:t>
      </w:r>
    </w:p>
    <w:p>
      <w:pPr>
        <w:spacing w:after="0" w:line="200" w:lineRule="exact"/>
        <w:rPr>
          <w:sz w:val="20"/>
          <w:szCs w:val="20"/>
          <w:color w:val="auto"/>
        </w:rPr>
      </w:pPr>
    </w:p>
    <w:p>
      <w:pPr>
        <w:spacing w:after="0" w:line="2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initial minimum capital ratios as of January 1, 2015 will be as follows: (i) 4.5% CET1 to risk-weighted assets, (ii) 6.0% Tier 1 capital to risk-weighted assets, and (iii) 8.0% total capital to risk-weighted assets.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Effective January 1, 2015, the Basel III Capital Rules will also revise the FDIC’s current “prompt corrective action” regulations by (i) introducing a CET1 ratio requirement at each level (other than critically undercapitalized), with the required CET1 ratio being 6.5% for well-capitalized status; (ii) increasing the minimum Tier 1 capital ratio requirement for each category (other than critically undercapitalized), with the minimum Tier 1 capital ratio for well-capitalized status being 8.0% (as compared to the current 6.0%); and (iii) eliminating the current provision that provides that a bank with a composite supervisory rating of 1 may have a 3% leverage ratio and still be adequately capitalized. The Basel III Capital Rules do not change the total risk-based capital requirement for any prompt corrective action category.</w:t>
      </w:r>
    </w:p>
    <w:p>
      <w:pPr>
        <w:spacing w:after="0" w:line="2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Basel III Capital Rules provide for a number of deductions from and adjustments to CET1. These include, for example, the requirement that mortgage servicing rights, deferred tax assets arising from temporary differences that could not be realized through net operating loss carrybacks and significant investments in non-consolidated financial entities be deducted from CET1 to the extent that any one such category exceeds 10% of CET1 or all such categories in the aggregate exceed 15% of CET1. Under current capital standards, the effects of accumulated other comprehensive income items included in capital are excluded for the purposes of determining regulatory capital ratios. Under the Basel III Capital Rules, the effects of certain accumulated other comprehensive items are not excluded; however, certain banking organizations, including United and the Bank, may make a one-time permanent election to continue to exclude these items. United and the Bank expect to make this election in order to avoid significant variations in the level of capital depending upon the impact of interest rate fluctuations on the fair value of United’s available-for-sale securities portfolio. The Basel III Capital Rules also eliminate the inclusion of certain instruments, such as trust preferred securities, from Tier 1 capital of bank holding companies. Instruments issued prior to May 19, 2010 will be grandfathered for bank holding companies with consolidated assets of $15 billion or less (subject to the 25% of Tier 1 capital limit).</w:t>
      </w:r>
    </w:p>
    <w:p>
      <w:pPr>
        <w:spacing w:after="0" w:line="21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Banking organizations with a ratio of CET1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Implementation of the deductions and other adjustments to CET1 will begin on January 1, 2015 and will be phased-in over a four-year period (beginning at 40% on January 1, 2015 and an additional 20% per year thereafter). The implementation of the capital conservation buffer will begin on January 1, 2016 at the 0.625% level and be phased in over a four-year period (increasing by that amount on each subsequent January 1, until it reaches 2.5% on January 1, 2019).</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Basel III Capital Rules prescribe a standardized approach for risk weightings that expand the risk-weighting categories from the current four Basel I-derived categories (0%, 20%, 50% and 100%) to a much larger and more risk-sensitive number of categories, depending on the nature of the assets, generally ranging from 0% for U.S. government and agency securities, to 600% for certain equity exposures, and resulting in higher risk weights for a variety of asset categories. In addition, the Basel III Capital Rules provide more advantageous risk weights for derivatives and repurchase-style transactions cleared through a qualifying central counterparty and increase the scope of eligible guarantors and eligible collateral for purposes of credit risk mitigation.</w:t>
      </w:r>
    </w:p>
    <w:p>
      <w:pPr>
        <w:spacing w:after="0" w:line="21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Management believes that, as of December 31, 2013, United and the Bank would meet all capital adequacy requirements under the Basel III Capital Rules on a fully phased-in basis as if such requirements were currently in effect.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13" w:name="page14"/>
    <w:bookmarkEnd w:id="13"/>
    <w:p>
      <w:pPr>
        <w:ind w:right="4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Consumer Protection Laws. </w:t>
      </w:r>
      <w:r>
        <w:rPr>
          <w:rFonts w:ascii="Times New Roman" w:cs="Times New Roman" w:eastAsia="Times New Roman" w:hAnsi="Times New Roman"/>
          <w:sz w:val="18"/>
          <w:szCs w:val="18"/>
          <w:color w:val="auto"/>
        </w:rPr>
        <w:t>The Dodd-Frank Act centralized responsibility for consumer financial protection by creating a new agency, the 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Protection Bureau (“CFPB”), and giving it the power to promulgate and enforce federal consumer protection laws. Depository institutions are subject to the CFPB’s rule writing authority, and existing federal bank regulatory agencies retain examination and enforcement authority for such institutions. The CFPB and United’s existing federal regulator, the FDIC, are focused on the following:</w:t>
      </w:r>
    </w:p>
    <w:p>
      <w:pPr>
        <w:spacing w:after="0" w:line="20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consumers and compliance with the federal consumer financial laws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firms operate and risks to consumers posed by activities in those markets;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depository institutions that offer a wide variety of consumer financial products and services;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depository institutions with a more specialized focus;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non-depository companies that offer one or more consumer financial products or services.</w:t>
      </w:r>
    </w:p>
    <w:p>
      <w:pPr>
        <w:spacing w:after="0" w:line="24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Stress Testing. </w:t>
      </w:r>
      <w:r>
        <w:rPr>
          <w:rFonts w:ascii="Times New Roman" w:cs="Times New Roman" w:eastAsia="Times New Roman" w:hAnsi="Times New Roman"/>
          <w:sz w:val="18"/>
          <w:szCs w:val="18"/>
          <w:color w:val="auto"/>
        </w:rPr>
        <w:t>As required by the Dodd-Frank Act, the federal bank regulatory agencies have implemented stress testing requirements for certain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including bank holding companies and state chartered banks, with more than $10 billion in total consolidated assets. Although these requirements do not apply to institutions with $10 billion or less in total consolidated assets, the federal bank regulatory agencies emphasize that all banking organizations, regardless of size, should have the capacity to analyze the potential impact of adverse market conditions or outcomes on the organization’s financial condition. Based on this regulatory guidance, United and the Bank will be expected to consider the institution’s interest rate risk management, commercial real estate concentrations and other credit-related information, and funding and liquidity management during this analysis of adverse outcomes.</w:t>
      </w:r>
    </w:p>
    <w:p>
      <w:pPr>
        <w:spacing w:after="0" w:line="2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Volcker Rule. </w:t>
      </w:r>
      <w:r>
        <w:rPr>
          <w:rFonts w:ascii="Times New Roman" w:cs="Times New Roman" w:eastAsia="Times New Roman" w:hAnsi="Times New Roman"/>
          <w:sz w:val="18"/>
          <w:szCs w:val="18"/>
          <w:color w:val="auto"/>
        </w:rPr>
        <w:t>The Dodd-Frank Act amended the BHC Act to require the federal bank regulatory agencies to adopt rules that prohibit banks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from engaging in proprietary trading and investing in and sponsoring certain unregistered investment companies (defined as hedge funds and private equity funds). The statutory provision is commonly called the “Volcker Rule”. The Federal Reserve adopted final rules implementing the Volcker Rule on December 10, 2013. Although United continues to evaluate the impact of the Volcker Rule and the final rules adopted by the Federal Reserve thereunder, United does not currently anticipate that the Volcker Rule will have a material effect on its operations and the operations of its subsidiaries, including the Bank, as United does not engage in businesses prohibited by the Volcker Rule. United may incur costs to adopt additional policies and systems to ensure compliance with the Volcker Rule.</w:t>
      </w:r>
    </w:p>
    <w:p>
      <w:pPr>
        <w:spacing w:after="0" w:line="2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Durbin Amendment. </w:t>
      </w:r>
      <w:r>
        <w:rPr>
          <w:rFonts w:ascii="Times New Roman" w:cs="Times New Roman" w:eastAsia="Times New Roman" w:hAnsi="Times New Roman"/>
          <w:sz w:val="18"/>
          <w:szCs w:val="18"/>
          <w:color w:val="auto"/>
        </w:rPr>
        <w:t>The Dodd-Frank Act included provisions which restrict interchange fees to those which are “reasonable and proportionate” for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debit card issuers and limits the ability of networks and issuers to restrict debit card transaction routing. This statutory provision is known as the “Durbin Amendment”. The Federal Reserve issued final rules implementing the Durbin Amendment on June 29, 2011. In the final rules, interchange fees for debit card transactions were capped at $0.21 plus five basis points in order to be eligible for a safe harbor such that the fee is conclusively determined to be reasonable and proportionate. Another related rule also permits an additional $0.01 per transaction “fraud prevention adjustment” to the interchange fee if certain Federal Reserve standards are implemented, including an annual review of fraud prevention policies and procedures. With respect to network exclusivity and merchant routing restrictions, it is now required that all debit cards participate in at least two unaffiliated networks so that the transactions initiated using those debit cards will have at least two independent routing channels. The interchange fee restrictions contained in the Durbin Amendment, and the rules promulgated thereunder, only apply to debit card issuers with $10 billion or more in total consolidated assets.</w:t>
      </w:r>
    </w:p>
    <w:p>
      <w:pPr>
        <w:spacing w:after="0" w:line="2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Incentive Compensation. </w:t>
      </w:r>
      <w:r>
        <w:rPr>
          <w:rFonts w:ascii="Times New Roman" w:cs="Times New Roman" w:eastAsia="Times New Roman" w:hAnsi="Times New Roman"/>
          <w:sz w:val="18"/>
          <w:szCs w:val="18"/>
          <w:color w:val="auto"/>
        </w:rPr>
        <w:t>The federal bank regulatory agencies have issued guidance on incentive compensation policies (the “Incentive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intended to ensure that the incentive compensation policies of financial institutions do not undermine the safety and soundness of such institutions by encouraging excessive risk-taking. The Incentive Compensation Guidance, which covers all employees that have the ability to materially affect the risk profile of an institution, either individually or as part of a group, is based upon the key principles that a financial institution’s incentive compensation arrangements should (i) provide incentives that do not encourage risk-taking beyond the institution’s ability to effectively identify and manage risks, (ii) be compatible with effective internal controls and risk management, and (iii) be supported by strong corporate governance, including active and effective oversight by the institution’s board of directors.</w:t>
      </w:r>
    </w:p>
    <w:p>
      <w:pPr>
        <w:spacing w:after="0" w:line="21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Federal Reserve will review, as part of the regular, risk-focused examination process, the incentive compensation arrangements of financial institutions, such as United, that are not “large, complex banking organizations.” These reviews will be tailored to each financial institution based on the scope and complexity of the institution’s activities and the prevalence of incentive compensation arrangements. The findings of the supervisory initiatives will be included in reports of examination. Deficiencies will be incorporated into the financial institution’s supervisory ratings, which can affect the institution’s ability to make acquisitions and take other actions. Enforcement actions may be taken against a financial institution if its incentive compensation arrangements, or related risk-management control or governance processes, pose a risk to the institution’s safety and soundness and the institution is not taking prompt and effective measures to correct the deficiencies.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4" w:name="page15"/>
    <w:bookmarkEnd w:id="14"/>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federal bank regulatory agencies have proposed rule-making implementing provisions of the Dodd-Frank Act to prohibit incentive-based compensation plans that expose “covered financial institutions” to inappropriate risks. Covered financial institutions are institutions that have over $1 billion in assets and offer incentive-based compensation programs. The proposed rules would:</w:t>
      </w:r>
    </w:p>
    <w:p>
      <w:pPr>
        <w:spacing w:after="0" w:line="203"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incentives that do not encourage risk-taking beyond the organization’s ability to effectively identify and manage risks,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compatible with effective internal controls and risk management, and</w:t>
      </w:r>
    </w:p>
    <w:p>
      <w:pPr>
        <w:spacing w:after="0" w:line="225"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supported by strong corporate governance, including active and effective oversight by the organization’s board of directors and appropriate policies, procedures and monitoring.</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scope and content of federal bank regulatory agencies’ policies on executive compensation are continuing to develop and are likely to continue evolving in the near future. It cannot be determined at this time whether compliance with such policies will adversely affect United’s ability to hire, retain and motivate its key employees.</w:t>
      </w:r>
    </w:p>
    <w:p>
      <w:pPr>
        <w:spacing w:after="0" w:line="1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Commercial Real Estate. </w:t>
      </w:r>
      <w:r>
        <w:rPr>
          <w:rFonts w:ascii="Times New Roman" w:cs="Times New Roman" w:eastAsia="Times New Roman" w:hAnsi="Times New Roman"/>
          <w:sz w:val="18"/>
          <w:szCs w:val="18"/>
          <w:color w:val="auto"/>
        </w:rPr>
        <w:t>The federal bank regulatory agencies, including the FDIC, restrict concentrations in commercial real estate lending and have noted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recent increases in banks’ commercial real estate concentrations have created safety and soundness concerns in the current economic downturn. The regulatory guidance mandates certain minimal risk management practices and categorizes banks with defined levels of such concentrations as banks requiring elevated examiner scrutiny. The Bank has concentrations in commercial real estate loans in excess of those defined levels. Although management believes that United’s credit processes and procedures meet the risk management standards dictated by this guidance, regulatory outcomes could effectively limit increases in the real estate concentrations in the Bank’s loan portfolio and require additional credit administration and management costs associated with those portfolios.</w:t>
      </w:r>
    </w:p>
    <w:p>
      <w:pPr>
        <w:spacing w:after="0" w:line="21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Source of Strength Doctrine. </w:t>
      </w:r>
      <w:r>
        <w:rPr>
          <w:rFonts w:ascii="Times New Roman" w:cs="Times New Roman" w:eastAsia="Times New Roman" w:hAnsi="Times New Roman"/>
          <w:sz w:val="18"/>
          <w:szCs w:val="18"/>
          <w:color w:val="auto"/>
        </w:rPr>
        <w:t>Federal Reserve regulations and policy requires bank holding companies to act as a source of financial and managerial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strength to their subsidiary banks. Under this policy, United is expected to commit resources to support the Bank.</w:t>
      </w:r>
    </w:p>
    <w:p>
      <w:pPr>
        <w:spacing w:after="0" w:line="18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Loans. </w:t>
      </w:r>
      <w:r>
        <w:rPr>
          <w:rFonts w:ascii="Times New Roman" w:cs="Times New Roman" w:eastAsia="Times New Roman" w:hAnsi="Times New Roman"/>
          <w:sz w:val="18"/>
          <w:szCs w:val="18"/>
          <w:color w:val="auto"/>
        </w:rPr>
        <w:t>Inter-agency guidelines adopted by federal bank regulatory agencies mandate that financial institutions establish real estate lending policies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allowable real estate loan-to-value limits, subject to an allowable amount of non-conforming loans as a percentage of capital.</w:t>
      </w:r>
    </w:p>
    <w:p>
      <w:pPr>
        <w:spacing w:after="0" w:line="18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Transactions with Affiliates. </w:t>
      </w:r>
      <w:r>
        <w:rPr>
          <w:rFonts w:ascii="Times New Roman" w:cs="Times New Roman" w:eastAsia="Times New Roman" w:hAnsi="Times New Roman"/>
          <w:sz w:val="18"/>
          <w:szCs w:val="18"/>
          <w:color w:val="auto"/>
        </w:rPr>
        <w:t>Under federal law, all transactions between and among a state nonmember bank and its affiliates, which include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are subject to Sections 23A and 23B of the Federal Reserve Act and Regulation W promulgated thereunder. Generally, these requirements limit these transactions to a percentage of the bank’s capital and require all of them to be on terms at least as favorable to the bank as transactions with non-affiliates. In addition, a bank may not lend to any affiliate engaged in non-banking activities not permissible for a bank holding company or acquire shares of any affiliate that is not a subsidiary. The FDIC is authorized to impose additional restrictions on transactions with affiliates if necessary to protect the safety and soundness of a bank. The regulations also set forth various reporting requirements relating to transactions with affiliates.</w:t>
      </w:r>
    </w:p>
    <w:p>
      <w:pPr>
        <w:spacing w:after="0" w:line="210"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Financial Privacy. </w:t>
      </w:r>
      <w:r>
        <w:rPr>
          <w:rFonts w:ascii="Times New Roman" w:cs="Times New Roman" w:eastAsia="Times New Roman" w:hAnsi="Times New Roman"/>
          <w:sz w:val="18"/>
          <w:szCs w:val="18"/>
          <w:color w:val="auto"/>
        </w:rPr>
        <w:t>In accordance with the GLB Act, federal banking regulatory agencies adopted rules that limit the ability of banks and other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204"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Anti-Money Laundering Initiatives and the USA Patriot Act. </w:t>
      </w:r>
      <w:r>
        <w:rPr>
          <w:rFonts w:ascii="Times New Roman" w:cs="Times New Roman" w:eastAsia="Times New Roman" w:hAnsi="Times New Roman"/>
          <w:sz w:val="18"/>
          <w:szCs w:val="18"/>
          <w:color w:val="auto"/>
        </w:rPr>
        <w:t>A major focus of governmental policy on financial institutions in recent years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aimed at combating terrorist financing. This has generally been accomplished by amending existing anti-money laundering laws and regulations. Treasury has issued a number of implementing regulations which apply various requirements of the USA Patriot Act of 2001 to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terrorist financing, or to comply with all of the relevant laws or regulations, could have serious legal and reputational consequences for the institution.</w:t>
      </w:r>
    </w:p>
    <w:p>
      <w:pPr>
        <w:spacing w:after="0" w:line="210"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Future Legislation. </w:t>
      </w:r>
      <w:r>
        <w:rPr>
          <w:rFonts w:ascii="Times New Roman" w:cs="Times New Roman" w:eastAsia="Times New Roman" w:hAnsi="Times New Roman"/>
          <w:sz w:val="18"/>
          <w:szCs w:val="18"/>
          <w:color w:val="auto"/>
        </w:rPr>
        <w:t>Various legislation affecting financial institutions and the financial industry is from time to time introduced in Congress.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legislation may change banking statutes and the operating environment of United and its subsidiaries in substantial and unpredictable ways, and could increase or decrease the cost of doing business, limit or expand permissible activities or affect the competitive balance depending upon whether any of this potential legislation will be enacted, and if enacted, the effect that it or any implementing regulations would have on the financial condition or results of operations of United or any of its subsidiaries. With the current economic environment, the nature and extent of future legislative and regulatory changes affecting financial institutions is very unpredictable at this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Executive Officers of United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executives of United are elected by the Board of Directors annually and serve at the pleasure of the Board of Directors.</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senior executive officers of United, and their ages, positions with United, past five year employment history and terms of office as of February 1, 2014,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 (age)</w:t>
            </w: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16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Position with United and Employment History</w:t>
            </w:r>
          </w:p>
        </w:tc>
        <w:tc>
          <w:tcPr>
            <w:tcW w:w="6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Officer of United Since</w:t>
            </w:r>
          </w:p>
        </w:tc>
      </w:tr>
      <w:tr>
        <w:trPr>
          <w:trHeight w:val="58"/>
        </w:trPr>
        <w:tc>
          <w:tcPr>
            <w:tcW w:w="2440" w:type="dxa"/>
            <w:vAlign w:val="bottom"/>
            <w:gridSpan w:val="3"/>
          </w:tcPr>
          <w:p>
            <w:pPr>
              <w:spacing w:after="0"/>
              <w:rPr>
                <w:sz w:val="5"/>
                <w:szCs w:val="5"/>
                <w:color w:val="auto"/>
              </w:rPr>
            </w:pPr>
          </w:p>
        </w:tc>
        <w:tc>
          <w:tcPr>
            <w:tcW w:w="800" w:type="dxa"/>
            <w:vAlign w:val="bottom"/>
          </w:tcPr>
          <w:p>
            <w:pPr>
              <w:spacing w:after="0"/>
              <w:rPr>
                <w:sz w:val="5"/>
                <w:szCs w:val="5"/>
                <w:color w:val="auto"/>
              </w:rPr>
            </w:pPr>
          </w:p>
        </w:tc>
        <w:tc>
          <w:tcPr>
            <w:tcW w:w="6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34"/>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Jimmy C.</w:t>
            </w:r>
          </w:p>
        </w:tc>
        <w:tc>
          <w:tcPr>
            <w:tcW w:w="17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Tallent (61)</w:t>
            </w:r>
          </w:p>
        </w:tc>
        <w:tc>
          <w:tcPr>
            <w:tcW w:w="800" w:type="dxa"/>
            <w:vAlign w:val="bottom"/>
          </w:tcPr>
          <w:p>
            <w:pPr>
              <w:spacing w:after="0"/>
              <w:rPr>
                <w:sz w:val="20"/>
                <w:szCs w:val="20"/>
                <w:color w:val="auto"/>
              </w:rPr>
            </w:pPr>
          </w:p>
        </w:tc>
        <w:tc>
          <w:tcPr>
            <w:tcW w:w="6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66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1988</w:t>
            </w:r>
          </w:p>
        </w:tc>
      </w:tr>
      <w:tr>
        <w:trPr>
          <w:trHeight w:val="39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 Lynn Harton</w:t>
            </w:r>
          </w:p>
        </w:tc>
        <w:tc>
          <w:tcPr>
            <w:tcW w:w="12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(52)</w:t>
            </w:r>
          </w:p>
        </w:tc>
        <w:tc>
          <w:tcPr>
            <w:tcW w:w="6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Executive Vice President and Chief Operating Officer; prior to joining United was</w:t>
            </w:r>
          </w:p>
        </w:tc>
        <w:tc>
          <w:tcPr>
            <w:tcW w:w="20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2012</w:t>
            </w:r>
          </w:p>
        </w:tc>
      </w:tr>
      <w:tr>
        <w:trPr>
          <w:trHeight w:val="216"/>
        </w:trPr>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Executive Vice President and Special Assistant to the Chief Executive Officer of</w:t>
            </w: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Toronto-Dominion Bank (2010 - 2012); President and Chief Executive Officer of</w:t>
            </w: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South Financial Group (2009 - 2010); Chief Risk and Chief Credit Officer of South</w:t>
            </w: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Financial Group (2007 - 2009);</w:t>
            </w: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Rex S. Schuette</w:t>
            </w:r>
          </w:p>
        </w:tc>
        <w:tc>
          <w:tcPr>
            <w:tcW w:w="12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(64)</w:t>
            </w:r>
          </w:p>
        </w:tc>
        <w:tc>
          <w:tcPr>
            <w:tcW w:w="6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0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2001</w:t>
            </w:r>
          </w:p>
        </w:tc>
      </w:tr>
      <w:tr>
        <w:trPr>
          <w:trHeight w:val="43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Shearrow</w:t>
            </w:r>
          </w:p>
        </w:tc>
        <w:tc>
          <w:tcPr>
            <w:tcW w:w="12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(54)</w:t>
            </w:r>
          </w:p>
        </w:tc>
        <w:tc>
          <w:tcPr>
            <w:tcW w:w="6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Executive Vice President and Chief Risk Officer</w:t>
            </w:r>
          </w:p>
        </w:tc>
        <w:tc>
          <w:tcPr>
            <w:tcW w:w="20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2007</w:t>
            </w:r>
          </w:p>
        </w:tc>
      </w:tr>
      <w:tr>
        <w:trPr>
          <w:trHeight w:val="41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Bill M. Gilbert (61)</w:t>
            </w:r>
          </w:p>
        </w:tc>
        <w:tc>
          <w:tcPr>
            <w:tcW w:w="6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Director of Banking; Regional President of North Georgia and Coastal Georgia</w:t>
            </w:r>
          </w:p>
        </w:tc>
        <w:tc>
          <w:tcPr>
            <w:tcW w:w="20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2003</w:t>
            </w:r>
          </w:p>
        </w:tc>
      </w:tr>
      <w:tr>
        <w:trPr>
          <w:trHeight w:val="234"/>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(2011 - 2013); Senior Vice President of Retail Banking (2003 - 2011)</w:t>
            </w: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 Schools (44)</w:t>
            </w:r>
          </w:p>
        </w:tc>
        <w:tc>
          <w:tcPr>
            <w:tcW w:w="6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Chief Strategy Officer; Regional President of North Carolina and Tennessee</w:t>
            </w:r>
          </w:p>
        </w:tc>
        <w:tc>
          <w:tcPr>
            <w:tcW w:w="20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2011</w:t>
            </w:r>
          </w:p>
        </w:tc>
      </w:tr>
      <w:tr>
        <w:trPr>
          <w:trHeight w:val="216"/>
        </w:trPr>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(November 2011 through 2012); prior to joining United was President (2008 - 2010)</w:t>
            </w: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and Chief Operating Officer (2007 – 2008) of American Savings Bank, F.S.B.</w:t>
            </w: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None of the above officers are related and there are no arrangements or understandings between them and any other person pursuant to which any of them was elected as an officer, other than arrangements or understandings with directors or officers of United acting solely in their capacities as such.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6" w:name="page17"/>
    <w:bookmarkEnd w:id="16"/>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An investment in United’s common stock involves risk. Investors should carefully consider the risks described below and all other information contained in this Form 10-K and the documents incorporated by reference before deciding to purchase common stock. It is possible that risks and uncertainties not listed below may arise or become material in the future and affect United’s business.</w:t>
      </w:r>
    </w:p>
    <w:p>
      <w:pPr>
        <w:spacing w:after="0" w:line="19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As a financial services company, adverse conditions in the general business or economic environment could have a material adverse effect on our financial condition and results of operations.</w:t>
      </w:r>
    </w:p>
    <w:p>
      <w:pPr>
        <w:spacing w:after="0" w:line="18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Adverse changes in business and economic conditions generally or specifically in the markets in which we operate could adversely impact our business, including causing one or more of the following negative developments:</w:t>
      </w:r>
    </w:p>
    <w:p>
      <w:pPr>
        <w:spacing w:after="0" w:line="189"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demand for loans and other products and services offered by us;</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value of our loans secured by residential or commercial real estate;</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permanent impairment of our assets, such as our deferred tax assets; or</w:t>
      </w:r>
    </w:p>
    <w:p>
      <w:pPr>
        <w:spacing w:after="0" w:line="22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number of customers or other counterparties who default on their loans or other obligations to us, which could result in a higher level of nonperforming assets, net charge-offs and provision for loan losses.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example, if we are unable to continue to generate sufficient taxable income in the future, then we may not be able to fully realize the benefits of our deferred tax assets. Such a development or one or more other negative developments resulting from adverse conditions in the general business or economic environment, some of which are described above, could have a material adverse effect on our financial condition and results of operations.</w:t>
      </w:r>
    </w:p>
    <w:p>
      <w:pPr>
        <w:spacing w:after="0" w:line="19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The results of our most recent internal credit stress test may not accurately predict the impact on our financial condition if the economy were to deteriorate.</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regularly perform an internal analysis of our capital position. Our analysis is based on the tests that were administered to the nation’s nineteen largest banks by Treasury in connection with its Supervisory Capital Assessment Program (“SCAP”). Under the stress test, we apply many of the same methodologies, but less severe loss assumptions than Treasury applies in its program, to estimate our loan losses (loan charge-offs), resources available to absorb those losses and any necessary additions to capital that would be required under the “more adverse” stress test scenario. As a result, our estimates for loan losses are lower than those suggested by the SCAP assumptions.</w:t>
      </w:r>
    </w:p>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also calculated our loss estimates based on the SCAP test, and while we believe we have appropriately applied Treasury’s assumptions in performing this internal stress test, results of this test may not be comparable to the results of stress tests performed and publicly released by Treasury, and the results of this test may not be the same as if the test had been performed by Treasury.</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results of these stress tests involve many assumptions about the economy and future loan losses and default rates, and may not accurately reflect the impact on our financial condition if the economy were to deteriorate. Any deterioration of the economy could result in credit losses significantly higher, with a corresponding impact on our financial condition and capital, than those predicted by our internal stress test.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 and business may be adversely affected by conditions in the financial markets and economic conditions generally.</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recent years, we have faced a challenging and uncertain economic environment, including a major recession in the U.S. economy from which it is slowly recovering. A return of recessionary conditions and/or further deterioration of national economic conditions could adversely affect the financial condition and operating performance of financial institutions. Specifically, declines in real estate values and sales volumes and increased unemployment levels may result in higher than expected loan delinquencies, increases in levels of non-performing and classified assets and a decline in demand for products and services offered by financial institutions. While economic conditions in the markets in which we operate, the U.S. and worldwide have improved since the recession, there can be no assurance that this improvement will continue. Uncertainty regarding continuing economic improvement may result in changes in consumer and business spending, borrowing and savings habits, which could cause us to incur losses and may adversely affect our results of operations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raise additional capital may be limited, which could affect our liquidity and be dilutive to existing shareholders.</w:t>
      </w:r>
    </w:p>
    <w:p>
      <w:pPr>
        <w:spacing w:after="0" w:line="25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may be required or choose to raise additional capital, including for strategic, regulatory or other reasons. Depending on the capital markets, traditional sources of capital may not be available to us on reasonable terms if we needed to raise additional capital. In such case, there is no guarantee that we will be able to successfully raise additional capital at all or on terms that are favorable or otherwise not dilutive to existing shareholders.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7" w:right="259" w:bottom="1440" w:gutter="0" w:footer="0" w:header="0"/>
        </w:sectPr>
      </w:pPr>
    </w:p>
    <w:bookmarkStart w:id="17" w:name="page18"/>
    <w:bookmarkEnd w:id="17"/>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Capital resources and liquidity are essential to our businesses and could be negatively impacted by disruptions in our ability to access other sources of funding.</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Capital resources and liquidity are essential to the Bank. We depend on access to a variety of sources of funding to provide us with sufficient capital resources and liquidity to meet our commitments and business needs, and to accommodate the transaction and cash management needs of our customers. Sources of funding available to us, and upon which we rely as regular components of our liquidity and funding management strategy, include traditional and brokered deposits, inter-bank borrowings, Federal Funds purchased, repurchase agreements and Federal Home Loan Bank advances. We also raise funds from time to time in the form of either short-or long-term borrowings or equity issuances.</w:t>
      </w:r>
    </w:p>
    <w:p>
      <w:pPr>
        <w:spacing w:after="0" w:line="21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capital resources and liquidity could be negatively impacted by disruptions in our ability to access these sources of funding. The cost of brokered and other out-of-market deposits and potential future regulatory limits on the interest rate we pay for brokered deposits could make them unattractive sources of funding. Further, factors that we cannot control, such as disruption of the financial markets or negative views about the financial services industry generally, could impair our ability to access sources of funds. Other financial institutions may be unwilling to extend credit to banks because of concerns about the banking industry and the economy generally and there may not be a viable market for raising short or long-term debt or equity capital. In addition, our ability to raise funding could be impaired if lenders develop a negative perception of our long-term or short-term financial prospects. Such negative perceptions could be developed if we are downgraded or put on (or remain on) negative watch by the rating agencies, we suffer a decline in the level of our business activity or regulatory authorities take significant action against us, among other reasons.</w:t>
      </w:r>
    </w:p>
    <w:p>
      <w:pPr>
        <w:spacing w:after="0" w:line="21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Among other things, if we fail to remain “well-capitalized” for bank regulatory purposes, because we do not qualify under the minimum capital standards or the FDIC otherwise downgrades our capital category, it could affect customer confidence, our ability to grow, our costs of funds and FDIC insurance costs, our ability to pay dividends on common and preferred stock and trust preferred securities, and our ability to make acquisitions, and we would not be able to accept brokered deposits without prior FDIC approval. To be “well-capitalized,” a bank must generally maintain a leverage capital ratio of at least 5%, a Tier 1 risk-based capital ratio of at least 6%, and a total risk-based capital ratio of at least 10%. In addition, our regulators may require us to maintain higher capital levels. Once implemented, the Basel III Capital Rules will require even higher ratios. Our failure to remain “well-capitalized” or to maintain any higher capital requirements imposed on us could negatively affect our business, results of operations and financial condition.</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we are unable to raise funds using the methods described above, we would likely need to finance or liquidate unencumbered assets to meet maturing liabilities. We may be unable to sell some of our assets, or we may have to sell assets at a discount from market value, either of which could adversely affect our results of operations and financial condition.</w:t>
      </w:r>
    </w:p>
    <w:p>
      <w:pPr>
        <w:spacing w:after="0" w:line="20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United is a legal entity separate and distinct from the Bank and depends on subsidiary service fees and dividends from the Bank to fund its payment of dividends to its common and preferred shareholders and of interest and principal on its outstanding debt and trust preferred securities. The Bank is also subject to other laws that authorize regulatory authorities to prohibit or reduce the flow of funds from the Bank to United and the Bank’s negative retained earnings position requires written consent of the Bank’s regulators before it can pay a dividend. Any inability of United to pay its obligations, or need to defer the payment of any such obligations, could have a material adverse effect on our business, operations, financial condition, and the value of our common stock.</w:t>
      </w:r>
    </w:p>
    <w:p>
      <w:pPr>
        <w:spacing w:after="0" w:line="21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cost and availability of funding due to changes in the deposit market and credit market, or the way in which we are perceived in such markets, may adversely affect financial condition or results of operations.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general, the amount, type and cost of our funding, including from other financial institutions, the capital markets and deposits, directly impacts our operating costs and our assets growth and therefore, can positively or negatively affect our financial condition or results of operations. A number of factors could make funding more difficult, more expensive or unavailable on any terms, including, but not limited to, our operating losses, our ability to remain “well capitalized,” events that adversely impact our reputation, enforcement actions, disruptions in the capital markets, events that adversely impact the financial services industry, changes affecting our assets, interest rate fluctuations, general economic conditions and the legal, regulatory, accounting and tax environments. Also, we compete for funding with other financial institutions, many of which are substantially larger, and have more capital and other resources than we do. In addition, as some of these competitors consolidate with other financial institutions, their competitive advantages may increase. Competition from these institutions may also increase the cost of funds.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subject to the success of the local economies and real estate markets in which we operate.</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success significantly depends on the growth in population, income levels, loans and deposits and on stability in real estate values in our markets. If the communities in which we operate do not grow or if prevailing economic conditions locally or nationally do not improve significantly, our business may be adversely affected. If market and economic conditions deteriorate, this may lead to valuation adjustments on our loan portfolio and losses on defaulted loans and on the sale of other real estate owned. Additionally, such adverse economic conditions in our market areas, specifically decreases in real estate property values due to the nature of our loan portfolio, more than 80% of which is secured by real estate, could reduce our growth rate, affect the ability of our customers to repay their loans and generally affect our financial condition and results of operations. We are less able than a larger institution to spread the risks of unfavorable local economic conditions across a large number of more diverse economies.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4" w:right="259" w:bottom="1440" w:gutter="0" w:footer="0" w:header="0"/>
        </w:sectPr>
      </w:pPr>
    </w:p>
    <w:bookmarkStart w:id="18" w:name="page19"/>
    <w:bookmarkEnd w:id="18"/>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concentration of residential construction and development loans is subject to unique risks that could adversely affect our results of operations and financial condition.</w:t>
      </w:r>
    </w:p>
    <w:p>
      <w:pPr>
        <w:spacing w:after="0" w:line="18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Our residential construction and development loan portfolio was $329 million at December 31, 2013, comprising 8% of total loans. Residential construction and development loans are often riskier than home equity loans or residential mortgage loans to individuals. Poor economic conditions could result in decreased demand for residential housing, which, in turn, would adversely affect the development and construction efforts of residential real estate developer borrowers. Consequently, economic downturns adversely affect the ability of residential real estate developer borrowers to repay these loans and the value of property used as collateral for such loans. A sustained weak economy could also result in higher levels of nonperforming loans in other categories, such as commercial and industrial loans, which may result in additional losses. As a result, these loans could represent higher risk due to slower sales and reduced cash flow that affect the borrowers’ ability to repay on a timely basis which could result in a sharp increase in our total net charge-offs and require us to significantly increase our allowance for loan losses, any of which could have a material adverse effect on our financial condition or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concentration of commercial real estate loans is subject to risks that could adversely affect our results of operations and financial condition.</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commercial real estate loan portfolio was $1.76 billion at December 31, 2013, comprising 41% of total loans. Commercial real estate loans typically involve larger loan balances than compared to residential mortgage loans. The repayment of loans secured by commercial real estate is dependent upon both the successful operation of the commercial project and the business operated out of that commercial real estate site, as over half of the commercial real estate loans are for owner-occupied properties. If the cash flows from the project are reduced or if the borrower’s business is not successful, a borrower’s ability to repay the loan may be impaired. This cash flow shortage may result in the failure to make loan payments. In such cases, we may be compelled to modify the terms of the loan. In addition, the nature of these loans is such that they are generally less predictable and more difficult to evaluate and monitor. As a result, repayment of these loans may be subject to adverse conditions in the real estate market or economy. In addition, many economists believe that deterioration in income producing commercial real estate is likely to worsen as vacancy rates continue to rise and absorption rates of existing square footage and/or units continue to decline. As a result, these loans could represent higher risk due to slower sales and reduced cash flow that affect the borrowers’ ability to repay on a timely basis, could result in a sharp increase in our total net charge-offs and could require us to significantly increase our allowance for loan losses, any of which could have a material adverse effect on our financial condition or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prevailing interest rates may negatively affect net income and the value of our assets.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Changes in prevailing interest rates may negatively affect the level of our net interest revenue, the primary component of our net income. Federal Reserve policies, including interest rate policies, determine in large part our cost of funds for lending and investing and the return we earn on those loans and investments, both of which affect our net interest revenue. In a period of changing interest rates, interest expense may increase at different rates than the interest earned on assets. Accordingly, changes in interest rates could decrease net interest revenue. Changes in the interest rates may also negatively affect the value of our assets and our ability to realize gains or avoid losses from the sale of those assets, all of which also ultimately affect earnings. In addition, an increase in interest rates may decrease the demand for loans.</w:t>
      </w:r>
    </w:p>
    <w:p>
      <w:pPr>
        <w:spacing w:after="0" w:line="211"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color w:val="auto"/>
        </w:rPr>
        <w:t>United’s reported financial results depend on the accounting and reporting policies of United, the application of which requires significant assumptions, estimates and judgments.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United’s accounting and reporting policies are fundamental to the methods by which we record and report our financial condition and results of operations. United’s management must make significant assumptions and estimates and exercise significant judgment in selecting and applying many of these accounting and reporting policies so they comply with accounting principles generally accepted in the United States of America (“GAAP”) and reflect management’s judgment of the most appropriate manner to report United’s financial condition and results. In some cases, management must select a policy from two or more alternatives, any of which may be reasonable under the circumstances, which may result in United reporting materially different results than would have been reported under a different alternative.</w:t>
      </w:r>
    </w:p>
    <w:p>
      <w:pPr>
        <w:spacing w:after="0" w:line="21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Certain accounting policies are critical to presenting United’s financial condition and results. They require management to make difficult, subjective and complex assumptions, estimates and judgments about matters that are uncertain. Materially different amounts could be reported under different conditions or using different assumptions and estimates. These critical accounting policies relate to the allowance for loan losses, fair value measurement, and income taxes. Because of the uncertainty of assumptions and estimates involved in these matters, United may be required to do one or more of the</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following: significantly increase the allowance for loan losses and/or sustain credit losses that are significantly higher than the reserve provided; significantly decrease the carrying value of loans, foreclosed property or other assets or liabilities to reflect a reduction in their fair value; or, significantly increase or decrease accrued taxes and the value of our deferred tax assets.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If our allowance for credit losses is not sufficient to cover actual loan losses, earnings would decrease.</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loan customers may not repay their loans according to their terms and the collateral securing the payment of these loans may be insufficient to assure repayment. We may experience significant loan losses which would have a material adverse effect on our operating results. Our management makes various assumptions and judgments about the collectability of the loan portfolio, including the creditworthiness of borrowers and the value of the real estate and other assets serving as collateral for the repayment of loans. We maintain an allowance for credit losses in an attempt to cover any probable incurred loan losses in the loan portfolio. In determining the size of the allowance, our management relies on an analysis of the loan portfolio based on historical loss experience, volume and types of loans, trends in classification, volume and real estate values, trends in delinquencies and non-accruals, national and local economic conditions and other pertinent information. As a result of these considerations, we have from time to time increased our allowance for credit losses. For the year ended December 31, 2013, we recorded a provision for credit losses of $65.5 million compared to $62.5 million and $251 million for the years ended December 31, 2012 and 2011, respectively. If those assumptions are incorrect, the allowance may not be sufficient to cover future loan losses and adjustments may be necessary to allow for different economic conditions or adverse developments in the loan portfolio.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losses due to fraudulent and negligent conduct of our loan customers, third party service providers and employees.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we make loans to individuals or entities, we rely upon information supplied by borrowers and other third parties, including information contained in the applicant’s loan application, property appraisal reports, title information and the borrower’s net worth, liquidity and cash flow information. While we attempt to verify information provided through available sources, we cannot be certain all such information is correct or complete. Our reliance on incorrect or incomplete information could have a material adverse effect on our financial condition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from financial institutions and other financial service providers may adversely affect our profitability.</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banking business is highly competitive and we experience competition in each of our markets from many other financial institutions. We compete with banks, credit unions, savings and loan associations, mortgage banking firms, securities brokerage firms, insurance companies, money market funds and other mutual funds, as well as community, super-regional, national and international financial institutions that operate offices in our market areas and elsewhere. We compete with these institutions both in attracting deposits and in making loans. Many of our competitors are well-established, larger financial institutions that are able to operate profitably with a narrower net interest margin and have a more diverse revenue base. We may face a competitive disadvantage as a result of our smaller size, more limited geographic diversification and inability to spread costs across broader markets. Although we compete by concentrating marketing efforts in our primary markets with local advertisements, personal contacts and greater flexibility and responsiveness in working with local customers, customer loyalty can be easily influenced by a competitor’s new products and our strategy may or may not continue to be successful.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risks with respect to future expansion and acquisitions.</w:t>
      </w:r>
    </w:p>
    <w:p>
      <w:pPr>
        <w:spacing w:after="0" w:line="25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may engage in de novo branch expansion and, if the appropriate business opportunity becomes available, we may seek to acquire other financial institutions or parts of those institutions, including in FDIC-assisted transactions. These involve a number of risks, including:</w:t>
      </w:r>
    </w:p>
    <w:p>
      <w:pPr>
        <w:spacing w:after="0" w:line="189" w:lineRule="exact"/>
        <w:rPr>
          <w:sz w:val="20"/>
          <w:szCs w:val="20"/>
          <w:color w:val="auto"/>
        </w:rPr>
      </w:pPr>
    </w:p>
    <w:p>
      <w:pPr>
        <w:ind w:left="340" w:right="36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inaccuracy of the estimates and judgments used to evaluate credit, operations, management and market risks with respect to an acquired branch or institution, a new branch office or a new market;</w:t>
      </w:r>
    </w:p>
    <w:p>
      <w:pPr>
        <w:spacing w:after="0" w:line="16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of evaluating new markets, hiring or retaining experienced local management and opening new offices and the time lags between these activities and the generation of sufficient assets and deposits to support the costs of the expansion;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and possible impairment of goodwill associated with an acquisition and possible adverse effects on results of operations;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and customers of an acquired branch or institution;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or failure to successfully integrate the acquired financial institution or portion of the institution;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temporary disruption of our business or the business of the acquired institution.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20" w:name="page21"/>
    <w:bookmarkEnd w:id="20"/>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Changes in laws and regulations or failures to comply with such laws and regulations may adversely affect our financial condition and results of operations.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and our subsidiary bank are heavily regulated by federal and state authorities. This regulation is designed primarily to protect depositors, federal deposit insurance funds and the banking system as a whole, but not shareholders. Congress and state legislatures and federal and state regulatory authorities continually review banking laws, regulations and policies for possible changes. Changes to statutes, regulations or regulatory policies, including interpretation and implementation of statutes, regulations or policies could affect us in substantial and unpredictable ways, including limiting the types of financial services and products we may offer or increasing the ability of non-banks to offer competing financial services and products. Any regulatory changes or scrutiny could increase or decrease the cost of doing business, limit or expand our permissible activities, or affect the competitive balance among banks, credit unions, savings and loan associations and other institutions. We cannot predict whether new legislation will be enacted and, if enacted, the effect that it, or any regulations, would have on our business, financial condition, or results of operations.</w:t>
      </w:r>
    </w:p>
    <w:p>
      <w:pPr>
        <w:spacing w:after="0" w:line="21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Federal and state regulators have the ability to impose or request that we consent to substantial sanctions, restrictions and requirements on our banking and nonbanking subsidiaries if they determine, upon examination or otherwise, violations of laws, rules or regulations with which we or our subsidiaries must comply, or weaknesses or failures with respect to general standards of safety and soundness. Such enforcement may be formal or informal and can include directors’ resolutions, memoranda of understanding, cease and desist or consent orders, civil money penalties and termination of deposit insurance and bank closures. Enforcement actions may be taken regardless of the capital level of the institution. In particular, institutions that are not sufficiently capitalized in accordance with regulatory standards may also face capital directives or prompt corrective action. Enforcement actions may require certain corrective steps (including staff additions or changes), impose limits on activities (such as lending, deposit taking, acquisitions or branching), prescribe lending parameters (such as loan types, volumes and terms) and require additional capital to be raised, any of which could adversely affect our financial condition and results of operations. Enforcement actions, including the imposition of monetary penalties, may have a material impact on our financial condition or results of operations, and damage to our reputation, and loss of our holding company status. In addition, compliance with any such action could distract management’s attention from our operations, cause us to incur significant expenses, restrict us from engaging in potentially profitable activities, and limit our ability to raise capital. Closure of the Bank would result in a total loss of your investment.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short-term and long-term impact of the changing regulatory capital requirements is uncertain.</w:t>
      </w:r>
    </w:p>
    <w:p>
      <w:pPr>
        <w:spacing w:after="0" w:line="2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July 2013, the Federal Reserve published the Basel III Capital Rules, which substantially changed the regulatory risk-based capital rules applicable to United and the Bank. The Basel III Capital Rules include new minimum risk-based capital and leverage ratios, which will be phased in beginning January 1, 2015, and modify the capital and asset definitions for purposes of calculating those ratios. Among other things, as of January 1, 2015, the Basel III Capital Rules establish a new common equity Tier 1 minimum capital requirement of 4.5%, a higher minimum Tier 1capital to risk-weighted assets requirement of 6.0% and a higher total capital to risk-weighted assets of 8.0%. In addition, the Basel III Capital Rules provide, to be considered “well-capitalized”, a new common equity Tier 1 capital requirement of 6.5% and a higher Tier 1capital to risk-weighted assets requirement of 8.0% that will be phased in and fully effective as of January 1, 2015. Moreover, the Basel III Capital Rules limit a banking organization’s capital distributions and certain discretionary bonus payments if the banking organization does not hold a “capital conservation buffer” consisting of an additional 2.5% of common equity Tier 1 capital in addition to the 4.5% minimum common equity Tier 1 requirement and the other amounts necessary to the minimum risk-based capital requirements that will be phased in and fully effective in 2019.</w:t>
      </w:r>
    </w:p>
    <w:p>
      <w:pPr>
        <w:spacing w:after="0" w:line="21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application of the more stringent capital requirements described above could, among other things, result in lower returns on invested capital, require the raising of additional capital, and result in additional regulatory actions if we were to be unable to comply with such requirements. Furthermore, the imposition of liquidity requirements under the Basel III Capital Rules could result in our having to lengthen the term of our funding, restructure our business models, and/or increase our holdings of liquid assets. Implementation of changes to asset risk weightings for risk based capital calculations, items included or deducted in calculating regulatory capital and/or additional capital conservation buffers could result in us modifying our business strategy and could limit our ability to pay dividends.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fully utilize deferred tax assets could be impaired.</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reported a net deferred tax asset of $259 million as of December 31, 2013, which includes approximately $220 million of deferred tax benefits related to federal and state operating loss carry-forwards. Our ability to use such assets, including the reversal or partial release of the valuation allowance, is dependent on our ability to generate future earnings within the operating loss carry-forward periods, which are generally 20 years. If we do not realize taxable earnings within the carry-forward periods, our deferred tax asset would be permanently impaired. Additionally, our ability to use such assets to offset future tax liabilities could be permanently impaired if cumulative common stock transactions over a rolling three-year period resulted in an ownership change under Section 382 of the Internal Revenue Code. There is no guarantee that our tax benefits preservation plan will prevent us from experiencing an ownership change under Section 382. Our inability to utilize these deferred tax assets (benefits) would have a material adverse effect on our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subject to changes in tax laws, regulations and interpretations or challenges to our income tax provision.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compute our income tax provision based on enacted tax rates in the jurisdictions in which we operate. Any change in enacted tax laws, rules or regulatory or judicial interpretations, any adverse outcome in connection with tax audits in any jurisdiction or any change in the pronouncements relating to accounting for income taxes could adversely affect our effective tax rate, tax payments and results of operations. In addition, changes in enacted tax laws, such as adoption of a lower income tax rate in any of the jurisdictions in which we operate, could impact our ability to obtain the future tax benefits represented by our deferred tax assets.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833" w:gutter="0" w:footer="0" w:header="0"/>
        </w:sectPr>
      </w:pPr>
    </w:p>
    <w:bookmarkStart w:id="21" w:name="page22"/>
    <w:bookmarkEnd w:id="21"/>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System failure or cybersecurity breaches of our network security could subject us to increased operating costs as well as litigation and other potential losses.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heavily on communications and information systems to conduct our business. The computer systems and network infrastructure we use could be vulnerable to unforeseen hardware and cybersecurity issues.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financial condition and results of operations. In addition, our operations are dependent upon our ability to protect the computer systems and network infrastructure we use, including our Internet banking activities, against damage from physical break-ins, cybersecurity breaches and other disruptive problems caused by the Internet or users. Such problems could jeopardize the security of our customers personal information and other information stored in and transmitted through our computer systems and network infrastructure, which may result in significant liability to us, subject us to additional regulatory scrutiny, damage our reputation, result in a loss of customers, or inhibit current and potential customers from our Internet banking services, any of all of which could have a material adverse effect on our results of operations and financial condition. Although we have security measures designed to mitigate the possibility of break-ins, breaches and other disruptive problems, including firewalls and penetration testing, there can be no assurance that such security measures will be effective in preventing such problems.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lack of geographic diversification increases our risk profile.</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operations are located principally in Georgia, western North Carolina and east Tennessee. As a result of this geographic concentration, our results depend largely upon economic and business conditions in this area. Deterioration in economic and business conditions in our service area could have a material adverse impact on the quality of our loan portfolio and the demand for our products and services, which in turn may have a material adverse effect on our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interest-only home equity lines of credit expose us to increased lending risk.</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December 31, 2013, we had $441 million of home equity line of credit loans, which represented 10% of our loan portfolio as of that date. Historically, United’s home equity lines of credit generally had a 35 month or 10 year draw period with interest-only payment requirements for the term of the loan, a balloon payment requirement at the end of the draw period. Since June 2012 new home equity lines of credit generally have a 10 year interest only draw period followed by a 15 year amortized repayment period for any outstanding balance at the 10 year conversion date. United continues to offer a home equity line of credit with a 35 month draw period with interest-only payment requirements for the term of the loan with a balloon payment requirement at the end of the draw period. All home equity line of credit products, historically and currently available, have a maximum 80% combined loan to value ratio. Loan to value ratios are established on a case by case basis considering the borrower’s credit profile and the collateral type – primary or secondary residence. These loans are also secured by a first or second lien on the underlying home.</w:t>
      </w:r>
    </w:p>
    <w:p>
      <w:pPr>
        <w:spacing w:after="0" w:line="21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case of interest-only loans, a borrower’s monthly payment is subject to change when the loan converts to fully-amortizing status. Since the borrower’s monthly payment may increase by a substantial amount even without an increase in prevailing market interest rates, the borrower might not be able to afford the increased monthly payment. In addition, interest-only loans have a large, balloon payment at the end of the loan term, which the borrower may be unable to pay. Also, real estate values may decline, dramatically reducing or even eliminating the borrower’s equity, and credit standards may tighten in concert with the higher payment requirement, making it difficult for borrowers to sell their homes or refinance their loans to pay off their mortgage obligations. The risks can be magnified by United’s limited ability to monitor the delinquency status of the first lien on the collateral. For these reasons, home equity lines of credit are considered to have an increased risk of delinquency, default and foreclosure than conforming loans and may result in higher levels of losses. The Bank mitigates these risks in its underwriting by calculating the fully amortizing principal and interest payment assuming 100% utilization and using that amount to determine the borrower’s ability to pay.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third parties to provide key components of our business infrastructure.</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Third parties provide key components of our business operations such as data processing, recording and monitoring transactions, online banking interfaces and services, Internet connections and network access. While we have selected these third party vendors carefully, we do not control their actions. Any problems caused by these third parties, including those resulting from disruptions in communication services provided by a vendor, failure of a vendor to handle current or higher volumes, cyber-attacks and security breaches at a vendor, failure of a vendor to provide services for any reason or poor performance of services, could adversely affect our ability to deliver products and services to our customers and otherwise conduct our business. Financial or operational difficulties of a third party vendor could also hurt our operations if those difficulties interfere with the vendor’s ability to serve us. Furthermore, our vendors could also be sources of operational and information security risk to us, including from breakdowns or failures of their own systems or capacity constraints. Replacing these third party vendors could also create significant delay and expense. Accordingly, use of such third parties creates an unavoidable inherent risk to our business operations.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22" w:name="page23"/>
    <w:bookmarkEnd w:id="22"/>
    <w:p>
      <w:pPr>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unresolved comments from the SEC staff regarding United’s periodic or current reports under the Exchange Act.</w:t>
      </w:r>
    </w:p>
    <w:p>
      <w:pPr>
        <w:spacing w:after="0" w:line="248"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executive offices of United are located at 125 Highway 515 East, Blairsville, Georgia. United owns this property. The Bank conducts business from facilities primarily owned by the Bank or its subsidiaries, all of which are in a good state of repair and appropriately designed for use as banking facilities. The Bank provides services or performs operational functions at 117 locations, of which 99 are owned and 18 are leased under operating leases. Note 9 to United’s consolidated financial statements includes additional information regarding amounts invested in premises and equipment.</w:t>
      </w:r>
    </w:p>
    <w:p>
      <w:pPr>
        <w:spacing w:after="0" w:line="203"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knowledge and advice of counsel, in the opinion of management, there is no such pending or threatened legal matter in which an adverse decision will result in a material adverse change in the consolidated financial condition or results of operations of United. No material proceedings terminated in the fourth quarter of 2013.</w:t>
      </w:r>
    </w:p>
    <w:p>
      <w:pPr>
        <w:spacing w:after="0" w:line="203"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4" w:right="2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1460" w:right="260" w:hanging="1458"/>
        <w:spacing w:after="0" w:line="286"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UNITED’S COMMON EQUITY, RELATED STOCKHOLDER MATTERS AND ISSUER PURCHASES OF EQUITY SECURITIES.</w:t>
      </w:r>
    </w:p>
    <w:p>
      <w:pPr>
        <w:spacing w:after="0" w:line="1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18"/>
          <w:szCs w:val="18"/>
          <w:color w:val="auto"/>
        </w:rPr>
        <w:t>United’s common stock trades on the Nasdaq Global Select Market under the symbol “UCBI”. The closing price for the period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 was 17.75. Below is a schedule of high, low and closing stock prices and average daily volume for all quarters in 2013 and 2012.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2012</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Close</w:t>
            </w:r>
          </w:p>
        </w:tc>
        <w:tc>
          <w:tcPr>
            <w:tcW w:w="260" w:type="dxa"/>
            <w:vAlign w:val="bottom"/>
            <w:vMerge w:val="restart"/>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Avg Daily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Close</w:t>
            </w:r>
          </w:p>
        </w:tc>
        <w:tc>
          <w:tcPr>
            <w:tcW w:w="200" w:type="dxa"/>
            <w:vAlign w:val="bottom"/>
            <w:vMerge w:val="restart"/>
          </w:tcPr>
          <w:p>
            <w:pPr>
              <w:spacing w:after="0"/>
              <w:rPr>
                <w:sz w:val="10"/>
                <w:szCs w:val="10"/>
                <w:color w:val="auto"/>
              </w:rPr>
            </w:pPr>
          </w:p>
        </w:tc>
        <w:tc>
          <w:tcPr>
            <w:tcW w:w="800" w:type="dxa"/>
            <w:vAlign w:val="bottom"/>
          </w:tcPr>
          <w:p>
            <w:pPr>
              <w:jc w:val="right"/>
              <w:ind w:right="16"/>
              <w:spacing w:after="0" w:line="124" w:lineRule="exact"/>
              <w:rPr>
                <w:sz w:val="20"/>
                <w:szCs w:val="20"/>
                <w:color w:val="auto"/>
              </w:rPr>
            </w:pPr>
            <w:r>
              <w:rPr>
                <w:rFonts w:ascii="Times New Roman" w:cs="Times New Roman" w:eastAsia="Times New Roman" w:hAnsi="Times New Roman"/>
                <w:sz w:val="14"/>
                <w:szCs w:val="14"/>
                <w:b w:val="1"/>
                <w:bCs w:val="1"/>
                <w:color w:val="auto"/>
              </w:rPr>
              <w:t>Avg Daily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195,803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12.94</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184,922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8.57</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341,270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329,475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18.56</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14.82</w:t>
            </w: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421,948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202,871</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January 31, 2014, there were approximately 6,700 record shareholders and 16,650 beneficial shareholders of United’s common stock.</w:t>
      </w:r>
    </w:p>
    <w:p>
      <w:pPr>
        <w:spacing w:after="0" w:line="24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No cash or stock dividends were declared on United’s common stock during 2013 or 2012. Federal and state laws and regulations impose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on the ability of United and the Bank to pay dividends.</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dividends is included in Note 21 to the consolidated financial statements, under the heading of “Supervision and Regulation” in Part I of this report and in “Management’s Discussion and Analysis of Financial Condition and Results of Operations – Capital Resources and Dividends.”</w:t>
      </w:r>
    </w:p>
    <w:p>
      <w:pPr>
        <w:spacing w:after="0" w:line="19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Share Repurchases. </w:t>
      </w:r>
      <w:r>
        <w:rPr>
          <w:rFonts w:ascii="Times New Roman" w:cs="Times New Roman" w:eastAsia="Times New Roman" w:hAnsi="Times New Roman"/>
          <w:sz w:val="18"/>
          <w:szCs w:val="18"/>
          <w:color w:val="auto"/>
        </w:rPr>
        <w:t>United’s Amended and Restated 2000 Key Employee Stock Option Plan allows option holders to exercise stock options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acquired shares having a fair market value equal to the exercise price provided that the shares delivered must have been held by the option holder for at least six months. In addition, United may withhold a sufficient number of restricted stock shares at the time of vesting to cover payroll tax withholdings at the election of the restricted stock recipient. In 2013 and 2012, 24,374 and 19,806 shares, respectively, were withheld to cover payroll taxes owed at the time of restricted stock vesting. No shares were delivered to exercise stock options in 2013 or 2012.</w:t>
      </w:r>
    </w:p>
    <w:p>
      <w:pPr>
        <w:spacing w:after="0" w:line="2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December 31, 2013, United redeemed all of its outstanding Series A Preferred Stock in the principal amount of $217,000. The redemption price for shares of the Series A Preferred Stock was the stated value of $10 per share, plus any accrued and unpaid dividends that had been earned thereon through the redemption date. Following the redemption, there are no shares of United’s Series A Preferred Stock outstanding.</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December 27, 2013, United redeemed $75 million of its $180 million in outstanding Series B Preferred Stock. The redemption price for shares of the Series B Preferred Stock called for redemption was the stated liquidation value of $1,000 per share, plus any accrued and unpaid dividends that had been earned thereon to, but not including, the redemption date. As of December 31, 2013, $105 million of United’s Series B Preferred Stock was outstanding. The remaining $105 million of United’s Series B Preferred Stock was redeemed on January 10, 2014 on comparable terms.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24" w:name="page25"/>
    <w:bookmarkEnd w:id="24"/>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Performance Graph. </w:t>
      </w:r>
      <w:r>
        <w:rPr>
          <w:rFonts w:ascii="Times New Roman" w:cs="Times New Roman" w:eastAsia="Times New Roman" w:hAnsi="Times New Roman"/>
          <w:sz w:val="18"/>
          <w:szCs w:val="18"/>
          <w:color w:val="auto"/>
        </w:rPr>
        <w:t>Set forth below is a line graph comparing the yearly percentage change in the cumulative total shareholder return on United’s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against the cumulative total return on the Nasdaq Stock Market (U.S. Companies) Index and the Nasdaq Bank Stocks Index for the five-year period commencing December 31, 2008 and ending on December 31, 2013.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FIVE YEAR CUMULATIVE TOTAL RETURNS*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COMPARISON OF UNITED COMMUNITY BANKS, INC.,</w:t>
      </w:r>
    </w:p>
    <w:p>
      <w:pPr>
        <w:jc w:val="center"/>
        <w:spacing w:after="0" w:line="230" w:lineRule="auto"/>
        <w:rPr>
          <w:sz w:val="20"/>
          <w:szCs w:val="20"/>
          <w:color w:val="auto"/>
        </w:rPr>
      </w:pPr>
      <w:r>
        <w:rPr>
          <w:rFonts w:ascii="Times New Roman" w:cs="Times New Roman" w:eastAsia="Times New Roman" w:hAnsi="Times New Roman"/>
          <w:sz w:val="22"/>
          <w:szCs w:val="22"/>
          <w:color w:val="auto"/>
        </w:rPr>
        <w:t>NASDAQ STOCK MARKET (U.S.) INDEX</w:t>
      </w:r>
    </w:p>
    <w:p>
      <w:pPr>
        <w:jc w:val="center"/>
        <w:spacing w:after="0" w:line="231" w:lineRule="auto"/>
        <w:rPr>
          <w:sz w:val="20"/>
          <w:szCs w:val="20"/>
          <w:color w:val="auto"/>
        </w:rPr>
      </w:pPr>
      <w:r>
        <w:rPr>
          <w:rFonts w:ascii="Times New Roman" w:cs="Times New Roman" w:eastAsia="Times New Roman" w:hAnsi="Times New Roman"/>
          <w:sz w:val="22"/>
          <w:szCs w:val="22"/>
          <w:color w:val="auto"/>
        </w:rPr>
        <w:t>AND NASDAQ BANK INDEX</w:t>
      </w:r>
    </w:p>
    <w:p>
      <w:pPr>
        <w:jc w:val="center"/>
        <w:spacing w:after="0"/>
        <w:rPr>
          <w:sz w:val="20"/>
          <w:szCs w:val="20"/>
          <w:color w:val="auto"/>
        </w:rPr>
      </w:pPr>
      <w:r>
        <w:rPr>
          <w:rFonts w:ascii="Times New Roman" w:cs="Times New Roman" w:eastAsia="Times New Roman" w:hAnsi="Times New Roman"/>
          <w:sz w:val="22"/>
          <w:szCs w:val="22"/>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150495</wp:posOffset>
            </wp:positionV>
            <wp:extent cx="5145405" cy="4090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409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Cumulative Total Return *</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Community Banks, Inc.</w:t>
            </w:r>
          </w:p>
        </w:tc>
        <w:tc>
          <w:tcPr>
            <w:tcW w:w="174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Nasdaq Stock Market (U.S.) Index</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168</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Bank Index</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bl>
    <w:p>
      <w:pPr>
        <w:spacing w:after="0" w:line="225" w:lineRule="exact"/>
        <w:rPr>
          <w:sz w:val="20"/>
          <w:szCs w:val="20"/>
          <w:color w:val="auto"/>
        </w:rPr>
      </w:pPr>
    </w:p>
    <w:p>
      <w:pPr>
        <w:ind w:left="140" w:right="160" w:hanging="132"/>
        <w:spacing w:after="0" w:line="282" w:lineRule="auto"/>
        <w:tabs>
          <w:tab w:leader="none" w:pos="1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invested on December 31, 2008 in United’s common stock and above noted indexes. Total return includes reinvestment of dividends at the closing stock price of the common stock on the dividend payment date and the closing values of stock and indexes as of December 31 of each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auto"/>
            </w:tcBorders>
            <w:gridSpan w:val="2"/>
          </w:tcPr>
          <w:p>
            <w:pPr>
              <w:spacing w:after="0"/>
              <w:rPr>
                <w:sz w:val="19"/>
                <w:szCs w:val="19"/>
                <w:color w:val="auto"/>
              </w:rPr>
            </w:pPr>
          </w:p>
        </w:tc>
        <w:tc>
          <w:tcPr>
            <w:tcW w:w="4000" w:type="dxa"/>
            <w:vAlign w:val="bottom"/>
            <w:tcBorders>
              <w:bottom w:val="single" w:sz="8" w:color="auto"/>
            </w:tcBorders>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4"/>
                <w:szCs w:val="14"/>
                <w:i w:val="1"/>
                <w:iCs w:val="1"/>
                <w:color w:val="auto"/>
              </w:rPr>
              <w:t>in thousands, except per share data;</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taxable equivalent)</w:t>
            </w:r>
          </w:p>
        </w:tc>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2011</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2009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SUMMARY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w w:val="98"/>
              </w:rPr>
              <w:t>Net interest revenue</w:t>
            </w:r>
            <w:r>
              <w:rPr>
                <w:rFonts w:ascii="Times New Roman" w:cs="Times New Roman" w:eastAsia="Times New Roman" w:hAnsi="Times New Roman"/>
                <w:sz w:val="25"/>
                <w:szCs w:val="25"/>
                <w:color w:val="auto"/>
                <w:w w:val="98"/>
                <w:vertAlign w:val="superscript"/>
              </w:rPr>
              <w:t>(1)</w:t>
            </w:r>
          </w:p>
        </w:tc>
        <w:tc>
          <w:tcPr>
            <w:tcW w:w="34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219,641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229,758</w:t>
            </w:r>
          </w:p>
        </w:tc>
        <w:tc>
          <w:tcPr>
            <w:tcW w:w="26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238,670</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244,637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provision for credit losses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65,500</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62,500</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251,000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234,750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fee revenue </w:t>
            </w:r>
            <w:r>
              <w:rPr>
                <w:rFonts w:ascii="Times New Roman" w:cs="Times New Roman" w:eastAsia="Times New Roman" w:hAnsi="Times New Roman"/>
                <w:sz w:val="25"/>
                <w:szCs w:val="25"/>
                <w:color w:val="auto"/>
                <w:vertAlign w:val="superscript"/>
              </w:rPr>
              <w:t>(1)(3)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44,907</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46,963</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51,357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Total operating revenue </w:t>
            </w:r>
            <w:r>
              <w:rPr>
                <w:rFonts w:ascii="Times New Roman" w:cs="Times New Roman" w:eastAsia="Times New Roman" w:hAnsi="Times New Roman"/>
                <w:sz w:val="25"/>
                <w:szCs w:val="25"/>
                <w:color w:val="auto"/>
                <w:vertAlign w:val="superscript"/>
              </w:rPr>
              <w:t>(2)(3)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223,370</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32,577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56,850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w w:val="97"/>
              </w:rPr>
              <w:t xml:space="preserve">Operating expenses </w:t>
            </w:r>
            <w:r>
              <w:rPr>
                <w:rFonts w:ascii="Times New Roman" w:cs="Times New Roman" w:eastAsia="Times New Roman" w:hAnsi="Times New Roman"/>
                <w:sz w:val="25"/>
                <w:szCs w:val="25"/>
                <w:color w:val="auto"/>
                <w:w w:val="97"/>
                <w:vertAlign w:val="superscript"/>
              </w:rPr>
              <w:t>(4)</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174,304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261,599</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242,952</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nonperforming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45,349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Operating income (loss) from continuing operations before taxes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(229,022)</w:t>
            </w: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(231,451)</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taxes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(236,705)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(2,276)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73,218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(91,754)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Net operating income (loss) from continuing operations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(226,746)</w:t>
            </w: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(304,669)</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acquisition, net of tax</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Noncash goodwill impairment charges</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(210,590)</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 net of tax benefit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Fraud loss provision and subsequent recovery, net of tax benefit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from sale of subsidiary, net of income taxes and selling costs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(226,746)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(502,344)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(228,327)</w:t>
            </w:r>
          </w:p>
        </w:tc>
        <w:tc>
          <w:tcPr>
            <w:tcW w:w="0" w:type="dxa"/>
            <w:vAlign w:val="bottom"/>
          </w:tcPr>
          <w:p>
            <w:pPr>
              <w:spacing w:after="0"/>
              <w:rPr>
                <w:sz w:val="1"/>
                <w:szCs w:val="1"/>
                <w:color w:val="auto"/>
              </w:rPr>
            </w:pPr>
          </w:p>
        </w:tc>
      </w:tr>
      <w:tr>
        <w:trPr>
          <w:trHeight w:val="216"/>
        </w:trPr>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Preferred dividends and discount accretion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11,838</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10,316</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 available to common shareholders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261,062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21,708</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(238,584)</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(512,660)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(238,569)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 MEASURES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 common share:</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w w:val="98"/>
              </w:rPr>
              <w:t xml:space="preserve">Diluted operating earnings (loss) from continuing operations </w:t>
            </w:r>
            <w:r>
              <w:rPr>
                <w:rFonts w:ascii="Times New Roman" w:cs="Times New Roman" w:eastAsia="Times New Roman" w:hAnsi="Times New Roman"/>
                <w:sz w:val="25"/>
                <w:szCs w:val="25"/>
                <w:color w:val="auto"/>
                <w:w w:val="98"/>
                <w:vertAlign w:val="superscript"/>
              </w:rPr>
              <w:t>(2)(3)(4)</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Diluted earnings (loss) from continuing operations</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(27.15)</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earnings (loss)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(27.09)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Book value</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15.40</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Tangible book value </w:t>
            </w:r>
            <w:r>
              <w:rPr>
                <w:rFonts w:ascii="Times New Roman" w:cs="Times New Roman" w:eastAsia="Times New Roman" w:hAnsi="Times New Roman"/>
                <w:sz w:val="25"/>
                <w:szCs w:val="25"/>
                <w:color w:val="auto"/>
                <w:vertAlign w:val="superscript"/>
              </w:rPr>
              <w:t>(6)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11.26</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14.80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Key performance ratios: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Return on common equity </w:t>
            </w:r>
            <w:r>
              <w:rPr>
                <w:rFonts w:ascii="Times New Roman" w:cs="Times New Roman" w:eastAsia="Times New Roman" w:hAnsi="Times New Roman"/>
                <w:sz w:val="25"/>
                <w:szCs w:val="25"/>
                <w:color w:val="auto"/>
                <w:vertAlign w:val="superscript"/>
              </w:rPr>
              <w:t>(5)</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46.72</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(93.57) %</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(85.08) %</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Return on assets</w:t>
            </w:r>
          </w:p>
        </w:tc>
        <w:tc>
          <w:tcPr>
            <w:tcW w:w="3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interest margin</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Operating efficiency ratio from continuing operations </w:t>
            </w:r>
            <w:r>
              <w:rPr>
                <w:rFonts w:ascii="Times New Roman" w:cs="Times New Roman" w:eastAsia="Times New Roman" w:hAnsi="Times New Roman"/>
                <w:sz w:val="25"/>
                <w:szCs w:val="25"/>
                <w:color w:val="auto"/>
                <w:vertAlign w:val="superscript"/>
              </w:rPr>
              <w:t>(3)(4)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63.14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92.27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98.98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Equity to assets</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10.77</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Tangible equity to assets </w:t>
            </w:r>
            <w:r>
              <w:rPr>
                <w:rFonts w:ascii="Times New Roman" w:cs="Times New Roman" w:eastAsia="Times New Roman" w:hAnsi="Times New Roman"/>
                <w:sz w:val="25"/>
                <w:szCs w:val="25"/>
                <w:color w:val="auto"/>
                <w:vertAlign w:val="superscript"/>
              </w:rPr>
              <w:t>(6)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8.38</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Tangible common equity to assets </w:t>
            </w:r>
            <w:r>
              <w:rPr>
                <w:rFonts w:ascii="Times New Roman" w:cs="Times New Roman" w:eastAsia="Times New Roman" w:hAnsi="Times New Roman"/>
                <w:sz w:val="25"/>
                <w:szCs w:val="25"/>
                <w:color w:val="auto"/>
                <w:vertAlign w:val="superscript"/>
              </w:rPr>
              <w:t>(6)</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Tangible common equity to risk-weighted assets </w:t>
            </w:r>
            <w:r>
              <w:rPr>
                <w:rFonts w:ascii="Times New Roman" w:cs="Times New Roman" w:eastAsia="Times New Roman" w:hAnsi="Times New Roman"/>
                <w:sz w:val="25"/>
                <w:szCs w:val="25"/>
                <w:color w:val="auto"/>
                <w:vertAlign w:val="superscript"/>
              </w:rPr>
              <w:t>(6)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13.17</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QUALITY *</w:t>
            </w:r>
          </w:p>
        </w:tc>
        <w:tc>
          <w:tcPr>
            <w:tcW w:w="3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Non-performing loans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26,819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109,894</w:t>
            </w:r>
          </w:p>
        </w:tc>
        <w:tc>
          <w:tcPr>
            <w:tcW w:w="26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127,479</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179,094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Foreclosed properties</w:t>
            </w:r>
          </w:p>
        </w:tc>
        <w:tc>
          <w:tcPr>
            <w:tcW w:w="3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32,859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142,208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120,770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non-performing assets (NPAs)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160,338</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321,302</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76,762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114,468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174,695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Operating net charge-offs </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93,710</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69,831</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311,227</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215,657</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loan losses to loans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Operating net charge-offs to average loans </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NPAs to loans and foreclosed properties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NPAs to total assets</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0" w:type="dxa"/>
            <w:vAlign w:val="bottom"/>
            <w:tcBorders>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AVERAGE BALANCES </w:t>
            </w:r>
            <w:r>
              <w:rPr>
                <w:rFonts w:ascii="Times New Roman" w:cs="Times New Roman" w:eastAsia="Times New Roman" w:hAnsi="Times New Roman"/>
                <w:sz w:val="18"/>
                <w:szCs w:val="18"/>
                <w:i w:val="1"/>
                <w:iCs w:val="1"/>
                <w:color w:val="auto"/>
              </w:rPr>
              <w:t>($ in millions)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3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4,307</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4,961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1,999</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1,453</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Earning assets</w:t>
            </w:r>
          </w:p>
        </w:tc>
        <w:tc>
          <w:tcPr>
            <w:tcW w:w="3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6,649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6,785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6,822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7,074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7,189</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7,605</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3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6,027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6,275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6,373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557</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819</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Common shares - Basic </w:t>
            </w:r>
            <w:r>
              <w:rPr>
                <w:rFonts w:ascii="Times New Roman" w:cs="Times New Roman" w:eastAsia="Times New Roman" w:hAnsi="Times New Roman"/>
                <w:sz w:val="18"/>
                <w:szCs w:val="18"/>
                <w:i w:val="1"/>
                <w:iCs w:val="1"/>
                <w:color w:val="auto"/>
              </w:rPr>
              <w:t>(thousands)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58,787</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57,857</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39,943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18,925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Common shares - Diluted </w:t>
            </w:r>
            <w:r>
              <w:rPr>
                <w:rFonts w:ascii="Times New Roman" w:cs="Times New Roman" w:eastAsia="Times New Roman" w:hAnsi="Times New Roman"/>
                <w:sz w:val="18"/>
                <w:szCs w:val="18"/>
                <w:i w:val="1"/>
                <w:iCs w:val="1"/>
                <w:color w:val="auto"/>
              </w:rPr>
              <w:t>(thousands)</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58,845</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57,857</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39,943</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18,925</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0" w:type="dxa"/>
            <w:vAlign w:val="bottom"/>
            <w:tcBorders>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AT YEAR END </w:t>
            </w:r>
            <w:r>
              <w:rPr>
                <w:rFonts w:ascii="Times New Roman" w:cs="Times New Roman" w:eastAsia="Times New Roman" w:hAnsi="Times New Roman"/>
                <w:sz w:val="18"/>
                <w:szCs w:val="18"/>
                <w:i w:val="1"/>
                <w:iCs w:val="1"/>
                <w:color w:val="auto"/>
              </w:rPr>
              <w:t>($ in millions)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w:t>
            </w:r>
          </w:p>
        </w:tc>
        <w:tc>
          <w:tcPr>
            <w:tcW w:w="3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4,329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4,110</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4,604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2,120</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1,490</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3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7,425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6,983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7,276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6,202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6,098</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6,469</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3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Common shares outstanding </w:t>
            </w:r>
            <w:r>
              <w:rPr>
                <w:rFonts w:ascii="Times New Roman" w:cs="Times New Roman" w:eastAsia="Times New Roman" w:hAnsi="Times New Roman"/>
                <w:sz w:val="18"/>
                <w:szCs w:val="18"/>
                <w:i w:val="1"/>
                <w:iCs w:val="1"/>
                <w:color w:val="auto"/>
              </w:rPr>
              <w:t>(thousands)</w:t>
            </w: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59,432</w:t>
            </w:r>
          </w:p>
        </w:tc>
        <w:tc>
          <w:tcPr>
            <w:tcW w:w="2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57,741</w:t>
            </w:r>
          </w:p>
        </w:tc>
        <w:tc>
          <w:tcPr>
            <w:tcW w:w="2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57,561</w:t>
            </w:r>
          </w:p>
        </w:tc>
        <w:tc>
          <w:tcPr>
            <w:tcW w:w="2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18,937</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18,809</w:t>
            </w: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0" w:gutter="0" w:footer="0" w:header="0"/>
        </w:sectPr>
      </w:pPr>
    </w:p>
    <w:bookmarkStart w:id="26" w:name="page27"/>
    <w:bookmarkEnd w:id="26"/>
    <w:p>
      <w:pPr>
        <w:ind w:left="172" w:right="80" w:hanging="172"/>
        <w:spacing w:after="0" w:line="190" w:lineRule="auto"/>
        <w:tabs>
          <w:tab w:leader="none" w:pos="188"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Hedge ineffectiveness gains and losses were reclassified from operating fee revenue to net interest revenue in 2013 to correspond with the location where interest accruals on the hedged items are reported. All prior periods have been adjusted to reflect a consistent presentation.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Excludes the subsequent recovery of $11.8 million in previously recognized fraud related loan losses in 2010.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Excludes the gain from acquisition of $11.4 million, net of income tax expense of $4.3 million in 2009. </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Excludes goodwill impairment charges of $211 million and $95 million in 2010 and 2009, respectively, and</w:t>
      </w:r>
    </w:p>
    <w:p>
      <w:pPr>
        <w:spacing w:after="0" w:line="5" w:lineRule="exact"/>
        <w:rPr>
          <w:sz w:val="20"/>
          <w:szCs w:val="20"/>
          <w:color w:val="auto"/>
        </w:rPr>
      </w:pPr>
    </w:p>
    <w:p>
      <w:pPr>
        <w:ind w:left="172"/>
        <w:spacing w:after="0" w:line="200" w:lineRule="auto"/>
        <w:rPr>
          <w:sz w:val="20"/>
          <w:szCs w:val="20"/>
          <w:color w:val="auto"/>
        </w:rPr>
      </w:pPr>
      <w:r>
        <w:rPr>
          <w:rFonts w:ascii="Times New Roman" w:cs="Times New Roman" w:eastAsia="Times New Roman" w:hAnsi="Times New Roman"/>
          <w:sz w:val="18"/>
          <w:szCs w:val="18"/>
          <w:color w:val="auto"/>
        </w:rPr>
        <w:t xml:space="preserve">severance costs of $2.9 million, net of income tax benefit of $1.1 million in 2009. </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8"/>
          <w:szCs w:val="18"/>
          <w:color w:val="auto"/>
        </w:rPr>
        <w:t xml:space="preserve"> Net income (loss) available to common shareholders, which is net of preferred stock dividends, divided by average realized common equity, which excludes accumulated other comprehensive income (loss). </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8"/>
          <w:szCs w:val="18"/>
          <w:color w:val="auto"/>
        </w:rPr>
        <w:t xml:space="preserve"> Excludes effect of acquisition related intangibles and associated amortization.</w:t>
      </w:r>
    </w:p>
    <w:p>
      <w:pPr>
        <w:spacing w:after="0" w:line="1" w:lineRule="exact"/>
        <w:rPr>
          <w:sz w:val="20"/>
          <w:szCs w:val="20"/>
          <w:color w:val="auto"/>
        </w:rPr>
      </w:pPr>
    </w:p>
    <w:p>
      <w:pPr>
        <w:ind w:left="5612" w:right="4540" w:hanging="5612"/>
        <w:spacing w:after="0" w:line="793" w:lineRule="auto"/>
        <w:tabs>
          <w:tab w:leader="none" w:pos="1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loans and foreclosed properties covered by loss sharing agreements with the FDIC.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-301625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364"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Selected Financial Data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37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120" w:type="dxa"/>
            <w:vAlign w:val="bottom"/>
          </w:tcPr>
          <w:p>
            <w:pPr>
              <w:spacing w:after="0"/>
              <w:rPr>
                <w:sz w:val="16"/>
                <w:szCs w:val="16"/>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1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data; taxable equivalent)</w:t>
            </w:r>
          </w:p>
        </w:tc>
        <w:tc>
          <w:tcPr>
            <w:tcW w:w="100" w:type="dxa"/>
            <w:vAlign w:val="bottom"/>
          </w:tcPr>
          <w:p>
            <w:pPr>
              <w:spacing w:after="0"/>
              <w:rPr>
                <w:sz w:val="15"/>
                <w:szCs w:val="15"/>
                <w:color w:val="auto"/>
              </w:rPr>
            </w:pPr>
          </w:p>
        </w:tc>
        <w:tc>
          <w:tcPr>
            <w:tcW w:w="84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Quarter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Quarter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5"/>
                <w:szCs w:val="15"/>
                <w:color w:val="auto"/>
              </w:rPr>
            </w:pPr>
          </w:p>
        </w:tc>
        <w:tc>
          <w:tcPr>
            <w:tcW w:w="96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5"/>
                <w:szCs w:val="15"/>
                <w:color w:val="auto"/>
              </w:rPr>
            </w:pPr>
          </w:p>
        </w:tc>
        <w:tc>
          <w:tcPr>
            <w:tcW w:w="9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Quarter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Quarter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Quarter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SUMMARY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Interest revenue</w:t>
            </w:r>
            <w:r>
              <w:rPr>
                <w:rFonts w:ascii="Times New Roman" w:cs="Times New Roman" w:eastAsia="Times New Roman" w:hAnsi="Times New Roman"/>
                <w:sz w:val="25"/>
                <w:szCs w:val="25"/>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61,695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61,426</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62,088</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62,114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64,450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66,092</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66,823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5"/>
                <w:szCs w:val="25"/>
                <w:color w:val="auto"/>
                <w:vertAlign w:val="superscript"/>
              </w:rPr>
              <w:t>(1)</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interest revenue</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55,879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54,574</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56,144</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57,979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56,656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Fee revenue</w:t>
            </w:r>
            <w:r>
              <w:rPr>
                <w:rFonts w:ascii="Times New Roman" w:cs="Times New Roman" w:eastAsia="Times New Roman" w:hAnsi="Times New Roman"/>
                <w:sz w:val="25"/>
                <w:szCs w:val="25"/>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65,482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56,485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56,789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55,635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51,703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50,726</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25,385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(26,449)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6,063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119"/>
              <w:spacing w:after="0"/>
              <w:rPr>
                <w:sz w:val="20"/>
                <w:szCs w:val="20"/>
                <w:color w:val="auto"/>
              </w:rPr>
            </w:pPr>
            <w:r>
              <w:rPr>
                <w:rFonts w:ascii="Times New Roman" w:cs="Times New Roman" w:eastAsia="Times New Roman" w:hAnsi="Times New Roman"/>
                <w:sz w:val="18"/>
                <w:szCs w:val="18"/>
                <w:color w:val="auto"/>
              </w:rPr>
              <w:t>(256,413)</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dividends and discount accretion</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available to common</w:t>
            </w: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12,999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12,441</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226,909</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24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20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 MEASURES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 common share: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Book value</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Tangible book value </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Key performance ratios: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Return on common equity </w:t>
            </w:r>
            <w:r>
              <w:rPr>
                <w:rFonts w:ascii="Times New Roman" w:cs="Times New Roman" w:eastAsia="Times New Roman" w:hAnsi="Times New Roman"/>
                <w:sz w:val="25"/>
                <w:szCs w:val="25"/>
                <w:color w:val="auto"/>
                <w:vertAlign w:val="superscript"/>
              </w:rPr>
              <w:t>(3)(4)</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197.22%</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Return on assets </w:t>
            </w:r>
            <w:r>
              <w:rPr>
                <w:rFonts w:ascii="Times New Roman" w:cs="Times New Roman" w:eastAsia="Times New Roman" w:hAnsi="Times New Roman"/>
                <w:sz w:val="25"/>
                <w:szCs w:val="25"/>
                <w:color w:val="auto"/>
                <w:vertAlign w:val="superscript"/>
              </w:rPr>
              <w:t>(4)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5"/>
                <w:szCs w:val="25"/>
                <w:color w:val="auto"/>
                <w:vertAlign w:val="superscript"/>
              </w:rPr>
              <w:t>(4)</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Efficiency ratio</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64.97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71.69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Equity to assets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(5)</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Tangible equity to assets </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Tangible common equity to assets </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(5)</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Tangible common equity to risk-</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gridSpan w:val="2"/>
            <w:shd w:val="clear" w:color="auto" w:fill="CCEEFF"/>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weighted assets </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QUALITY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Non-performing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26,819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26,088</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27,864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96,006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109,894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115,001</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115,340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129,704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Foreclosed properties</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26,958</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30,421</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non-performing assets (NPAs)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112,740</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128,158</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145,761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161,591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76,762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80,372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105,753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107,137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112,705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113,601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charge-offs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72,408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12,384</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14,505</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Allowance for loan losses to loans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Net charge-offs to average loans </w:t>
            </w:r>
            <w:r>
              <w:rPr>
                <w:rFonts w:ascii="Times New Roman" w:cs="Times New Roman" w:eastAsia="Times New Roman" w:hAnsi="Times New Roman"/>
                <w:sz w:val="25"/>
                <w:szCs w:val="25"/>
                <w:color w:val="auto"/>
                <w:vertAlign w:val="superscript"/>
              </w:rPr>
              <w:t>(4)</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NPAs to loans and foreclosed properties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NPAs to total assets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AVERAGE BALANCES </w:t>
            </w:r>
            <w:r>
              <w:rPr>
                <w:rFonts w:ascii="Times New Roman" w:cs="Times New Roman" w:eastAsia="Times New Roman" w:hAnsi="Times New Roman"/>
                <w:sz w:val="18"/>
                <w:szCs w:val="18"/>
                <w:i w:val="1"/>
                <w:iCs w:val="1"/>
                <w:color w:val="auto"/>
              </w:rPr>
              <w:t>($ in millions)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4,315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4,250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4,253</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Investment securities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Earning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6,547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6,482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6,834</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6,778</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5,946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5,873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Common shares - basic </w:t>
            </w:r>
            <w:r>
              <w:rPr>
                <w:rFonts w:ascii="Times New Roman" w:cs="Times New Roman" w:eastAsia="Times New Roman" w:hAnsi="Times New Roman"/>
                <w:sz w:val="18"/>
                <w:szCs w:val="18"/>
                <w:i w:val="1"/>
                <w:iCs w:val="1"/>
                <w:color w:val="auto"/>
              </w:rPr>
              <w:t>(thousands)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59,923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59,100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58,081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57,971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57,880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57,840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Common shares - diluted </w:t>
            </w:r>
            <w:r>
              <w:rPr>
                <w:rFonts w:ascii="Times New Roman" w:cs="Times New Roman" w:eastAsia="Times New Roman" w:hAnsi="Times New Roman"/>
                <w:sz w:val="18"/>
                <w:szCs w:val="18"/>
                <w:i w:val="1"/>
                <w:iCs w:val="1"/>
                <w:color w:val="auto"/>
              </w:rPr>
              <w:t>(thousands)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59,925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59,202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58,141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58,081</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57,971</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57,880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57,840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AT PERIOD END </w:t>
            </w:r>
            <w:r>
              <w:rPr>
                <w:rFonts w:ascii="Times New Roman" w:cs="Times New Roman" w:eastAsia="Times New Roman" w:hAnsi="Times New Roman"/>
                <w:sz w:val="18"/>
                <w:szCs w:val="18"/>
                <w:i w:val="1"/>
                <w:iCs w:val="1"/>
                <w:color w:val="auto"/>
              </w:rPr>
              <w:t>($ in millions)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Loans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4,267</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4,189</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4,119</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Investment securities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6,849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6,802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6,113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6,026</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5,952</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Common shares outstanding </w:t>
            </w:r>
            <w:r>
              <w:rPr>
                <w:rFonts w:ascii="Times New Roman" w:cs="Times New Roman" w:eastAsia="Times New Roman" w:hAnsi="Times New Roman"/>
                <w:sz w:val="18"/>
                <w:szCs w:val="18"/>
                <w:i w:val="1"/>
                <w:iCs w:val="1"/>
                <w:color w:val="auto"/>
              </w:rPr>
              <w:t>(thousands)</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59,432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59,412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57,831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57,767</w:t>
            </w: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57,741</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57,710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57,641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57,603</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80" w:right="220" w:hanging="172"/>
        <w:spacing w:after="0" w:line="214" w:lineRule="auto"/>
        <w:tabs>
          <w:tab w:leader="none" w:pos="21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 xml:space="preserve">Hedge ineffectiveness gains and losses were reclassified from fee revenue to interest revenue and interest expense in the fourth quarter of 2013 to correspond with the location where interest accruals on the hedged items are reported. All prior periods have been adjusted to reflect a consistent presentation.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 xml:space="preserve"> Excludes effect of acquisition related intangibles and associated amortization.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 xml:space="preserve"> Net income available to common shareholders, which is net of preferred stock dividends, divided by average realized common equity, which excludes accumulated other comprehensive income</w:t>
      </w:r>
    </w:p>
    <w:p>
      <w:pPr>
        <w:ind w:left="180"/>
        <w:spacing w:after="0" w:line="181"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 xml:space="preserve">(loss). </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8"/>
          <w:szCs w:val="18"/>
          <w:color w:val="auto"/>
        </w:rPr>
        <w:t xml:space="preserve"> Annualized. </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8"/>
          <w:szCs w:val="18"/>
          <w:color w:val="auto"/>
        </w:rPr>
        <w:t xml:space="preserve"> Calculated as of period-end.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Excludes loans and foreclosed properties covered by loss sharing agreements with the FDIC.</w:t>
      </w:r>
    </w:p>
    <w:p>
      <w:pPr>
        <w:sectPr>
          <w:pgSz w:w="11900" w:h="16838" w:orient="portrait"/>
          <w:cols w:equalWidth="0" w:num="1">
            <w:col w:w="11420"/>
          </w:cols>
          <w:pgMar w:left="240" w:top="887" w:right="239" w:bottom="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9" w:name="page30"/>
    <w:bookmarkEnd w:id="29"/>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discussion is intended to provide insight into the financial condition and results of operations of United and its subsidiaries and should be read in conjunction with the consolidated financial statements and accompanying notes.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Operating earnings (loss) and operating earnings (loss) per diluted share are non-GAAP performance measures. United’s management believes that operating performance measures are useful in analyzing the Company’s financial performance trends since they exclude items that are non-recurring in nature and therefore most of the discussion in this section will refer to operating performance measures. A reconciliation of these operating performance measures to GAAP performance measures is included in the table on pages 31 through 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United’s financial condition improved considerably in 2013, as several of its strategic goals were achieved. We reduced nonperforming assets to pre-crisis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levels, restored our deferred tax asset, and redeemed $75 million of our Series B Preferred Stock which was followed by the redemption of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 million in early January 2014. Loans grew despite the fragile economic conditions in United’s markets and intense competition for quality loans.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net income of $273 million in 2013 compared to net income of $33.9 million in 2012. Diluted earnings per common share was $4.44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2013, compared with diluted earnings per common share of $.38 for 2012. Net income and earnings per share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were elevated by the recognition of substantial tax benefits with the reversal of United’s deferred tax valuation allowance in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2013. The effect of the tax benefit on net income was partially offset by higher net charge-offs resulting from the accelerated disposition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assets in the second quarter of 2013.</w:t>
      </w:r>
    </w:p>
    <w:p>
      <w:pPr>
        <w:spacing w:after="0" w:line="2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United’s approach to managing through the challenging economic cycle has been to aggressively deal with credit problems and dispose of troubled assets quickly, taking losses as necessary. United’s provision for credit losses was $65.5 million in 2013 compared with $62.5 million in 2012. Net charge-offs for 2013 were $93.7 million compared with $69.8 million in 2012. During the second quarter of 2013, in conjunction with a large bulk sale transaction, classified loans totaling approximately $131 million were sold for approximately $77.5 million, increasing net charge-offs by $53.5 million.</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Since disposing of a significant amount of problem assets in the first quarter of 2011, United’s allowance for loan losses analysis has indicated a lower allowance requirement each quarter than the previous quarter, resulting in provisions for loan losses being at or below the amount of net charge-offs. The only exception was the third quarter of 2011 due to the classification of United’s then largest lending relationship. As United’s historical loss experience and other credit measures have improved, the amount of estimated probable incurred losses in the loan portfolio, as measured by United’s quarterly analysis of the allowance for credit losses, has decreased accordingly.</w:t>
      </w:r>
    </w:p>
    <w:p>
      <w:pPr>
        <w:spacing w:after="0" w:line="21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2013, United’s allowance for loan losses was $76.8 million, or 1.77% of loans compared to $107 million, or 2.57% of loans at the end of 2012. Nonperforming assets of $31.0 million, which excludes $3.00 million of assets that are covered by loss sharing agreements with the FDIC, were .42% of total assets at December 31, 2013, compared to 1.88% as of December 31, 2012.</w:t>
      </w:r>
    </w:p>
    <w:p>
      <w:pPr>
        <w:spacing w:after="0" w:line="20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Taxable equivalent net interest revenue was $220 million for 2013, compared to $230 million in 2012. The $10.1 million, or 4%, decrease in net interest revenue, was primarily the result of lower yields on the loan and securities portfolios, which were due to loan pricing competition and the reinvestment of maturing and called securities proceeds at lower interest rates. The decrease in interest revenue was partially offset by lower deposit interest expense.</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interest margin decreased 21 basis points from 3.51% in 2012 to 3.30% in 2013 due primarily to lower yields on loans and securities. The 50 basis point decrease in the average loan yield and 25 basis point decrease in the average securities yield were partially offset by the 19 basis point reduction in the average rate paid on interest bearing deposits.</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Fee revenue of $56.6 million was up $486,000, or 1%, from 2012. Overdraft fees declined $877,000, or 7%, which is consistent with the decline from 2011 to 2012. Overdraft fees have been on a declining trend. This decline was more than offset by a $1.40 million increase in ATM and debit card fee revenue. Mortgage loan and related fees decreased $558,000 compared to the prior year, due to lower origination volumes that were driven by interest rates. For 2013, brokerage fees increased $1.38 million, or 45%, compared to 2012, as United intensified its focus on growing this line of business.</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2013, operating expenses of $174 million were down $12.5 million, or 7%, from 2012. United’s focus on reducing costs and improving operating efficiency resulted in reductions of several expense categories in 2013. Foreclosed property costs of $7.87 million were $6.12 million lower in 2013, driven by decreased volumes partially due to the classified asset sales in the second quarter of 2013. Other expense of $15.2 million for 2013 was down $4.78 million compared to 2012 due to a $4.00 million litigation reserve established in 2012. Salaries and employee benefit costs of $96.2 million remained relatively flat year over year, as a lower headcount was offset by incentives paid for meeting financial targets and completing strategic initiatives.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30" w:name="page31"/>
    <w:bookmarkEnd w:id="30"/>
    <w:p>
      <w:pPr>
        <w:ind w:right="100"/>
        <w:spacing w:after="0" w:line="255" w:lineRule="auto"/>
        <w:rPr>
          <w:sz w:val="20"/>
          <w:szCs w:val="20"/>
          <w:color w:val="auto"/>
        </w:rPr>
      </w:pPr>
      <w:r>
        <w:rPr>
          <w:rFonts w:ascii="Times New Roman" w:cs="Times New Roman" w:eastAsia="Times New Roman" w:hAnsi="Times New Roman"/>
          <w:sz w:val="18"/>
          <w:szCs w:val="18"/>
          <w:color w:val="auto"/>
        </w:rPr>
        <w:t>Loans at December 31, 2013 were $4.33 billion, up $154 million from the end of 2012. A significant portion of the loan growth resulted from United’s entrance into the Greenville, South Carolina and Nashville, Tennessee markets. These new markets added $88 million in loan growth in 2013. United’s successful home equity line of credit promotion added another $56 million in new loans during the year. In addition, United purchased $202 million of indirect auto loans during 2013, which drove the increase in the consumer category. These increases more than offset the $131 million of classified loans sold in the second quarter bulk sale transaction. Deposits were up $249 million to $6.20 billion, as United focused on increasing low cost core transaction deposits which grew $224 million in 2013, excluding public funds deposits. At the end of 2013, total equity capital was $796 million, up $214 million from December 31, 2012, reflecting the earnings for the year and United’s reversal of the deferred tax valuation allowance offset by the redemption of $75 million in preferred stock. At December 31, 2013, all of United’s regulatory capital ratios were above well capitalized levels.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accounting and reporting policies of United and its subsidiaries are in accordance with accounting principles generally accepted in the United States of America and conform to general practices within the banking industry. The more critical accounting and reporting policies include United’s accounting for the allowance for loan losses, fair value measurements and income taxes. Application of these principles requires management to make estimates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 Certain policies inherently have a greater reliance on the use of estimates, and as such have a greater possibility of producing results that could be materially different than originally reported.</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Estimates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2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most significant accounting policies for United are presented in Note 1 to the consolidated financial statements. These policies, along with the disclosures presented in the other financial statement notes and in this financial review, provide information on how significant assets and liabilities are valued in the financial statements and how those values are determined. Management views critical accounting policies to be those that are highly dependent on subjective or complex judgments, estimates and assumptions, and where changes in those estimates and assumptions could have a significant effect on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considers the following accounting policies to be critical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an estimate and represents management’s estimate of probable incurred credit losses in the loan portfolio and unfunded loan commitments. It consists of two components: the allowance for loan losses and the allowance for unfunded commitments. Estimating the amount of the allowance for credit losses requires significant judgment and the use of estimates related to the amount and timing of expected future cash flows on impaired loans, estimated losses on non-impaired loans based on historical loss experience, management’s evaluation of the current loan portfolio, and consideration of current economic trends, events and conditions. The loan portfolio also represents the largest asset type on the consolidated balance sheet. Loan losses are charged against the allowance, while recoveries of amounts previously charged off are credited to the allowance. A provision for credit losses is charged to operations based on management’s periodic evaluation of the factors previously mentioned, as well as other pertinent factors.</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allowance for loan losses is an estimate and consists of an allocated component and an unallocated component. The allocated component of the allowance for loan losses reflects probable incurred losses in the loan portfolio and is based on analyses developed through specific credit allocations for individual loans and historical loss experience for each loan category. The specific credit allocations are based on impairment analyses of all nonaccrual loans over $500,000, accruing substandard loans in relationships over $2 million and troubled debt restructurings (“TDRs”), which are all considered impaired loans including certain primary home mortgages in the process of restructure. These analyses involve judgment in estimating the amount of loss associated with specific loans, including estimating the amount and timing of future cash flows and collateral values. The historical loss element is determined using the weighted average of actual losses incurred over the prior eight quarters for each type of loan, updated quarterly. The weighted average is weighted toward the most recent quarters’ loss experience. The historical loss experience is adjusted for known changes in economic trends, events and conditions and credit quality trends such as changes in the amount of past due and nonperforming loans. The resulting loss allocation factors are applied to the balance of each type of loan after removing the balance of impaired loans and other specifically allocated loans from each category. The loss allocation factors are updated quarterly. The allocated component of the allowance for loan losses also includes consideration of concentrations of credit and changes in portfolio mix.</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1" w:name="page32"/>
    <w:bookmarkEnd w:id="31"/>
    <w:p>
      <w:pPr>
        <w:spacing w:after="0" w:line="255" w:lineRule="auto"/>
        <w:rPr>
          <w:sz w:val="20"/>
          <w:szCs w:val="20"/>
          <w:color w:val="auto"/>
        </w:rPr>
      </w:pPr>
      <w:r>
        <w:rPr>
          <w:rFonts w:ascii="Times New Roman" w:cs="Times New Roman" w:eastAsia="Times New Roman" w:hAnsi="Times New Roman"/>
          <w:sz w:val="18"/>
          <w:szCs w:val="18"/>
          <w:color w:val="auto"/>
        </w:rPr>
        <w:t>The unallocated portion of the allowance reflects management’s estimate of probable incurred but unconfirmed losses within the portfolio due to uncertainties in economic conditions, delays in obtaining information, including unfavorable information about a borrower’s financial condition, the difficulty in identifying triggering events that correlate to subsequent loss rates, and risk factors that have not yet manifested themselves in loss allocation factors. In addition, the unallocated allowance includes a component that accounts for the inherent imprecision in loan loss estimation based on historical loss experience as a result of United’s growth through acquisitions, which have expanded the geographic footprint in which it operates, and changed its portfolio mix. Also, loss data representing a complete economic cycle is not available for all sectors. Uncertainty surrounding the strength and timing of economic cycles also affects estimates of loss. The historical losses used in developing loss allocation factors may not be representative of actual losses incurred in the portfolio.</w:t>
      </w:r>
    </w:p>
    <w:p>
      <w:pPr>
        <w:spacing w:after="0" w:line="21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There are many factors affecting the allowance for credit losses; some are quantitative while others require qualitative judgment. Although management believes its processes for determining the allowance adequately considers all the potential factors that could potentially result in credit losses, the process includes subjective elements and may be susceptible to significant change. To the extent actual outcomes differ from management estimates, additional provision for loan losses could be required that could adversely affect earnings or financial position in future periods.</w:t>
      </w:r>
    </w:p>
    <w:p>
      <w:pPr>
        <w:spacing w:after="0" w:line="20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Additional information on United’s loan portfolio and allowance for credit losses can be found in the sections of Management’s Discussion and Analysis titled “Asset Quality and Risk Elements” and “Nonperforming Assets” and in the sections of Part I, Item 1 titled “Lending Policy” and “Loan Review and Nonperforming Assets”. Note 1 to the consolidated financial statements includes additional information on United’s accounting policies related to the allowance for loan losses.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United’s impaired loans and foreclosed assets may be measured and carried at fair value, the determination of which requires management to make assumptions, estimates and judgments. At December 31, 2013, the percentage of total assets measured at fair value was 25%. See Note 24 “Fair Value” in the consolidated financial statements herein for additional disclosures regarding the fair value of our assets and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 loan is considered individually impaired, a specific valuation allowance is allocated, if necessary, so that the loan is reported net, at the present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estimated future cash flows using the loan’s existing rate or at the fair value of collateral if repayment is expected solely from the collateral. In addition,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foreclosed assets are carried at the lower of cost, fair value, less cost to sell, or listed selling price less cost to sell, following foreclosure. Fair value is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GAAP “as the price that would be received to sell an asset in an orderly transaction between market participants at the measurement date.” GAAP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defines an “orderly transaction” as “a transaction that assumes exposure to the market for a period prior to the measurement date to allow for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that are usual and customary for transactions involving such assets. It is not a forced transaction (for example, a forced liquidation or distress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Although management believes its processes for determining the value of impaired loans and foreclosed properties are appropriate and allow United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arrive at a fair value, the processes require management judgment and assumptions and the value of such assets at the time they are revalued or divested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significantly different from management’s determination of fair value. In addition, because of subjectivity in fair value determinations, there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grounds for differences in opinions, which may result in disagreements between management and the Bank’s regulators, disagreements which could cause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to change its judgments about fair value.</w:t>
      </w:r>
    </w:p>
    <w:p>
      <w:pPr>
        <w:spacing w:after="0" w:line="2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fair values for available-for-sale and held-to-maturity securities are generally based upon quoted market prices or observable market prices for similar instruments. United utilizes a third-party pricing service to assist with determining the fair value of its securities portfolio. The pricing service uses observable inputs when available including benchmark yields, reported trades, broker-dealer quotes, issuer spreads, benchmark securities, bids and offers. These values take into account recent market activity as well as other market observable data such as interest rate, spread and prepayment information. When market observable data is not available, which generally occurs due to the lack of liquidity for certain securities, the valuation of the security is subjective and may involve substantial judgment by management. As of December 31, 2013, United had $350,000 of available-for-sale securities valued using unobservable inputs. This amount represents less than .01% of total assets. United periodically reviews available-for-sale securities that are in an unrealized loss position to determine whether other-than-temporary impairment exists. An unrealized loss exists when the current fair value of an individual security is less than its amortized cost-basis. The primary factors United considers in determining whether impairment is other-than-temporary are long term expectations and recent experience regarding principal and interest payments, and United’s ability and intent to hold the security until the amortized cost basis is recovered.</w:t>
      </w:r>
    </w:p>
    <w:p>
      <w:pPr>
        <w:spacing w:after="0" w:line="200" w:lineRule="exact"/>
        <w:rPr>
          <w:sz w:val="20"/>
          <w:szCs w:val="20"/>
          <w:color w:val="auto"/>
        </w:rPr>
      </w:pPr>
    </w:p>
    <w:p>
      <w:pPr>
        <w:spacing w:after="0" w:line="23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United uses derivatives primarily to manage interest rate risk. The fair values of derivative financial instruments are determined based on quoted market prices, dealer quotes and internal pricing models that are primarily sensitive to market observable data. United mitigates the credit risk by subjecting counterparties to credit reviews and approvals similar to those used in making loans and other extensions of credit. In addition, certain counterparties are required to provide collateral to United when their unsecured loss positions exceed certain negotiated limits.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Income Tax Accounting</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Income tax liabilities or assets are established for the amount of taxes payable or refundable for the current or prior years. Deferred tax liabilities and assets are also established for the future tax consequences of events that have been recognized in the financial statements or tax returns. A deferred tax liability or asset is recognized for the estimated future tax effects attributable to temporary differences and deductions that can be carried forward (used) in future years. The valuation of current and deferred tax liabilities and assets is considered critical as it requires management to make estimates based on provisions of the enacted tax laws. The assessment of tax assets and liabilities involves the use of estimates, assumptions, interpretations, and judgments concerning certain accounting pronouncements and federal and state tax codes. There can be no assurance that future events, such as court decisions or positions of regulatory agencies and federal and state taxing authorities, will not differ from management’s current assessment, the impact of which could be significant to the consolidated results of operations and reported earnings.</w:t>
      </w:r>
    </w:p>
    <w:p>
      <w:pPr>
        <w:spacing w:after="0" w:line="21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At December 31, 2013, United reported a net deferred tax asset totaling $259 million, and a valuation allowance of $4.77 million. Accounting Standards Codification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In making such judgments, significant weight is given to evidence that can be objectively verified.</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Regulatory risk-based capital rules limit the amount of deferred tax assets that a bank or bank holding company can include in Tier 1 capital. Generally, deferred tax assets that are dependent upon future taxable income are limited to the lesser of: (i) the amount of such deferred tax assets that the bank expects to realize within one year of the calendar quarter-end date, based on its projected future taxable income for that year or (ii) 10% of the amount of the bank’s Tier 1 capital.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and Acquisitions</w:t>
      </w:r>
    </w:p>
    <w:p>
      <w:pPr>
        <w:spacing w:after="0" w:line="25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United selectively engages in the evaluation of strategic partnerships. Mergers and acquisitions present opportunities to enter new markets with an established presence and a capable management team already in place. United employs certain criteria to ensure that any merger or acquisition candidate meets strategic growth and earnings objectives that will build future franchise value for shareholders. Additionally, the criteria include ensuring that management of a potential partner shares United’s community banking philosophy of premium service quality and operates in attractive markets with excellent opportunities for further organic growth.</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will continue to evaluate potential transactions as they are presented, including acquisitions of failed banks.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Reconciliation and Explanation</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Form 10-K contains non-GAAP financial measures determined by methods other than in accordance with GAAP. Such non-GAAP financial measures include, among others, the following: taxable equivalent interest revenue, taxable equivalent net interest revenue, operating provision for loan losses, operating fee revenue, total operating revenue, operating expense, operating income (loss), operating earnings (loss) per share and operating earnings (loss) per diluted share.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on the tables on pages 31 through 33.</w:t>
      </w:r>
    </w:p>
    <w:p>
      <w:pPr>
        <w:spacing w:after="0" w:line="21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In 2010, United recorded a non-cash goodwill impairment charge of $211 million in the third quarter. Also in 2010, United received a partial recovery of $11.8 million, net of recovery costs, in the fourth quarter resulting from fraud losses incurred in 2007 relating to two failed real estate developments near Spruce Pine, North Carolina. In 2009, United recorded non-cash goodwill impairment charges of $25 million and $70 million during the third and first quarters, respectively. In addition, United recorded severance costs of $2.9 million during the first quarter of 2009 and a bargain purchase gain on the acquisition of Southern Community Bank in the amount of $11.4 million during the second quarter of 2009.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6" w:right="239" w:bottom="1440" w:gutter="0" w:footer="0" w:header="0"/>
        </w:sectPr>
      </w:pPr>
    </w:p>
    <w:bookmarkStart w:id="33" w:name="page34"/>
    <w:bookmarkEnd w:id="33"/>
    <w:p>
      <w:pPr>
        <w:ind w:right="160"/>
        <w:spacing w:after="0" w:line="258" w:lineRule="auto"/>
        <w:rPr>
          <w:sz w:val="20"/>
          <w:szCs w:val="20"/>
          <w:color w:val="auto"/>
        </w:rPr>
      </w:pPr>
      <w:r>
        <w:rPr>
          <w:rFonts w:ascii="Times New Roman" w:cs="Times New Roman" w:eastAsia="Times New Roman" w:hAnsi="Times New Roman"/>
          <w:sz w:val="18"/>
          <w:szCs w:val="18"/>
          <w:color w:val="auto"/>
        </w:rPr>
        <w:t>Net operating income (loss) excludes the effect of the goodwill impairment charge of $211 million and the $11.8 million fraud loss partial recovery in 2010; the goodwill impairment charges of $95 million, the $11.4 million bargain purchase gain on acquisition, and the $2.9 million in severance costs in 2009, because management believes that the circumstances leading to those items were isolated, non-recurring events and do not reflect overall trends in United’s earnings and financial performance. Management believes this non-GAAP net operating loss provides users of United’s financial information with a meaningful measure for assessing United’s financial results and credit trends, as well as comparison to financial results for prior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a reconciliation of net operating income to GAAP net income.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i w:val="1"/>
                <w:iCs w:val="1"/>
                <w:color w:val="auto"/>
              </w:rPr>
              <w:t>(in thousands, except per share</w:t>
            </w:r>
          </w:p>
        </w:tc>
        <w:tc>
          <w:tcPr>
            <w:tcW w:w="1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60"/>
              <w:spacing w:after="0" w:line="153"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data; taxable equivalent)</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revenue reconciliation</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revenue - taxable equivalent</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247,323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267,667</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304,308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344,493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equivalent adjustment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revenue (GAAP)</w:t>
            </w:r>
          </w:p>
        </w:tc>
        <w:tc>
          <w:tcPr>
            <w:tcW w:w="1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245,840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265,977</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302,601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342,492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402,829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revenue reconciliation</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revenue - taxable equivalent</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219,641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229,758</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238,670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244,637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Taxable equivalent adjustment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(1,707)</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revenue (GAAP)</w:t>
            </w:r>
          </w:p>
        </w:tc>
        <w:tc>
          <w:tcPr>
            <w:tcW w:w="12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218,158</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228,068</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236,963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242,636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242,702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 reconciliation</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provision for credit losses</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234,750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Partial recovery of special fraud-related loan loss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 (GAAP)</w:t>
            </w:r>
          </w:p>
        </w:tc>
        <w:tc>
          <w:tcPr>
            <w:tcW w:w="1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223,000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 revenue reconciliation</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fee revenue</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56,598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56,112</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44,907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46,963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Gain from acquisition</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revenue (GAAP)</w:t>
            </w:r>
          </w:p>
        </w:tc>
        <w:tc>
          <w:tcPr>
            <w:tcW w:w="12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56,598</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56,112</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44,907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46,963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reconciliation</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revenue</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210,739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223,370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56,850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equivalent adjustment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Gain from acquisition</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Partial recovery of special fraud-related loan loss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 (GAAP)</w:t>
            </w:r>
          </w:p>
        </w:tc>
        <w:tc>
          <w:tcPr>
            <w:tcW w:w="1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209,256</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221,680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66,599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 reconciliation</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174,304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186,774</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261,599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288,301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Noncash goodwill impairment charge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210,590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 (GAAP)</w:t>
            </w:r>
          </w:p>
        </w:tc>
        <w:tc>
          <w:tcPr>
            <w:tcW w:w="1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174,304</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186,774</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261,599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498,891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314,948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reconciliation</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36,435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36,596</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(231,451)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Taxable equivalent adjustment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(1,707)</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acquisition</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Noncash goodwill impairment charge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(210,590)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Partial recovery of special fraud-related loan loss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 before taxes (GAAP)</w:t>
            </w:r>
          </w:p>
        </w:tc>
        <w:tc>
          <w:tcPr>
            <w:tcW w:w="12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34,906</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(230,729)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(432,292)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(319,499)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 reconciliation</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(236,705)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73,218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equivalent adjustment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Gain from acquisition, tax expense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costs, tax benefit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 (benefit) (GAAP)</w:t>
            </w:r>
          </w:p>
        </w:tc>
        <w:tc>
          <w:tcPr>
            <w:tcW w:w="1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(238,188)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71,217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456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vMerge w:val="continue"/>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022"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Performance Measures Reconciliation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4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i w:val="1"/>
                <w:iCs w:val="1"/>
                <w:color w:val="auto"/>
              </w:rPr>
              <w:t>(in thousands, except per share</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data; taxable equivalent)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Diluted earnings (loss) from continuing operations per common share</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operating earnings (loss) from continuing operations per common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(16.64)</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acquisition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Noncash goodwill impairment charge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Partial recovery of special fraud-related loan loss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Diluted earnings (loss) from continuing operations per common share</w:t>
            </w:r>
          </w:p>
        </w:tc>
        <w:tc>
          <w:tcPr>
            <w:tcW w:w="1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(GAAP)</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Book value per common share reconciliation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Tangible book value per common share</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14.80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goodwill and other intangibles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Book value per common share (GAAP)</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Efficiency ratio from continuing operations reconciliation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efficiency ratio from continuing operations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65.43%</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92.27%</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Gain from acquisition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goodwill impairment charge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72.29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Severance costs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Efficiency ratio from continuing operations (GAAP)</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63.14%</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65.43%</w:t>
            </w:r>
          </w:p>
        </w:tc>
        <w:tc>
          <w:tcPr>
            <w:tcW w:w="22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92.27%</w:t>
            </w:r>
          </w:p>
        </w:tc>
        <w:tc>
          <w:tcPr>
            <w:tcW w:w="20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171.27%</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equity to assets reconciliation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Tangible common equity to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tcPr>
          <w:p>
            <w:pPr>
              <w:spacing w:after="0"/>
              <w:rPr>
                <w:sz w:val="18"/>
                <w:szCs w:val="18"/>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preferred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3.88</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Tangible equity to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7.62</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goodwill and other intangibles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to assets (GAAP)</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10.35%</w:t>
            </w:r>
          </w:p>
        </w:tc>
        <w:tc>
          <w:tcPr>
            <w:tcW w:w="240" w:type="dxa"/>
            <w:vAlign w:val="bottom"/>
          </w:tcPr>
          <w:p>
            <w:pPr>
              <w:spacing w:after="0"/>
              <w:rPr>
                <w:sz w:val="18"/>
                <w:szCs w:val="18"/>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10.77%</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Tangible common equity to risk-weighted assets reconciliation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common equity to risk-weighted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Effect of other comprehensive income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deferred tax limitation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Effect of trust preferred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preferred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Tier I capital ratio (Regulatory)</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tcPr>
          <w:p>
            <w:pPr>
              <w:spacing w:after="0"/>
              <w:rPr>
                <w:sz w:val="18"/>
                <w:szCs w:val="18"/>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14.16%</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13.69%</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charge-offs reconciliation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net charge-offs</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93,710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69,831</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311,227</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215,657</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Subsequent partial recovery of fraud-related charge-off</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(11,750)</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charge-offs (GAAP)</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93,710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69,831</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311,227</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203,907</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276,669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charge-offs to average loans reconciliation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net charge-offs to average loans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8"/>
                <w:szCs w:val="18"/>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partial recovery of fraud-related charge-off</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charge-offs to average loans (GAAP)</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8"/>
                <w:szCs w:val="18"/>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46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6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5" w:name="page36"/>
    <w:bookmarkEnd w:id="35"/>
    <w:p>
      <w:pPr>
        <w:ind w:right="4640"/>
        <w:spacing w:after="0" w:line="286" w:lineRule="auto"/>
        <w:rPr>
          <w:sz w:val="20"/>
          <w:szCs w:val="20"/>
          <w:color w:val="auto"/>
        </w:rPr>
      </w:pPr>
      <w:r>
        <w:rPr>
          <w:rFonts w:ascii="Times New Roman" w:cs="Times New Roman" w:eastAsia="Times New Roman" w:hAnsi="Times New Roman"/>
          <w:sz w:val="18"/>
          <w:szCs w:val="18"/>
          <w:b w:val="1"/>
          <w:bCs w:val="1"/>
          <w:color w:val="auto"/>
        </w:rPr>
        <w:t>Table 1 (Continued) - Operating Earnings to GAAP Earnings Reconciliation - Quarterly 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3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Fourth</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80"/>
              <w:spacing w:after="0" w:line="151" w:lineRule="exact"/>
              <w:rPr>
                <w:sz w:val="20"/>
                <w:szCs w:val="20"/>
                <w:color w:val="auto"/>
              </w:rPr>
            </w:pPr>
            <w:r>
              <w:rPr>
                <w:rFonts w:ascii="Times New Roman" w:cs="Times New Roman" w:eastAsia="Times New Roman" w:hAnsi="Times New Roman"/>
                <w:sz w:val="14"/>
                <w:szCs w:val="14"/>
                <w:b w:val="1"/>
                <w:bCs w:val="1"/>
                <w:color w:val="auto"/>
              </w:rPr>
              <w:t>Third</w:t>
            </w:r>
          </w:p>
        </w:tc>
        <w:tc>
          <w:tcPr>
            <w:tcW w:w="100" w:type="dxa"/>
            <w:vAlign w:val="bottom"/>
          </w:tcPr>
          <w:p>
            <w:pPr>
              <w:spacing w:after="0"/>
              <w:rPr>
                <w:sz w:val="13"/>
                <w:szCs w:val="13"/>
                <w:color w:val="auto"/>
              </w:rPr>
            </w:pPr>
          </w:p>
        </w:tc>
        <w:tc>
          <w:tcPr>
            <w:tcW w:w="90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Second</w:t>
            </w:r>
          </w:p>
        </w:tc>
        <w:tc>
          <w:tcPr>
            <w:tcW w:w="100" w:type="dxa"/>
            <w:vAlign w:val="bottom"/>
          </w:tcPr>
          <w:p>
            <w:pPr>
              <w:spacing w:after="0"/>
              <w:rPr>
                <w:sz w:val="13"/>
                <w:szCs w:val="13"/>
                <w:color w:val="auto"/>
              </w:rPr>
            </w:pPr>
          </w:p>
        </w:tc>
        <w:tc>
          <w:tcPr>
            <w:tcW w:w="680" w:type="dxa"/>
            <w:vAlign w:val="bottom"/>
          </w:tcPr>
          <w:p>
            <w:pPr>
              <w:jc w:val="right"/>
              <w:ind w:right="168"/>
              <w:spacing w:after="0" w:line="151" w:lineRule="exact"/>
              <w:rPr>
                <w:sz w:val="20"/>
                <w:szCs w:val="20"/>
                <w:color w:val="auto"/>
              </w:rPr>
            </w:pPr>
            <w:r>
              <w:rPr>
                <w:rFonts w:ascii="Times New Roman" w:cs="Times New Roman" w:eastAsia="Times New Roman" w:hAnsi="Times New Roman"/>
                <w:sz w:val="14"/>
                <w:szCs w:val="14"/>
                <w:b w:val="1"/>
                <w:bCs w:val="1"/>
                <w:color w:val="auto"/>
              </w:rPr>
              <w:t>First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Fourth</w:t>
            </w:r>
          </w:p>
        </w:tc>
        <w:tc>
          <w:tcPr>
            <w:tcW w:w="120" w:type="dxa"/>
            <w:vAlign w:val="bottom"/>
          </w:tcPr>
          <w:p>
            <w:pPr>
              <w:spacing w:after="0"/>
              <w:rPr>
                <w:sz w:val="13"/>
                <w:szCs w:val="13"/>
                <w:color w:val="auto"/>
              </w:rPr>
            </w:pPr>
          </w:p>
        </w:tc>
        <w:tc>
          <w:tcPr>
            <w:tcW w:w="900" w:type="dxa"/>
            <w:vAlign w:val="bottom"/>
            <w:gridSpan w:val="2"/>
          </w:tcPr>
          <w:p>
            <w:pPr>
              <w:jc w:val="right"/>
              <w:ind w:right="440"/>
              <w:spacing w:after="0" w:line="151" w:lineRule="exact"/>
              <w:rPr>
                <w:sz w:val="20"/>
                <w:szCs w:val="20"/>
                <w:color w:val="auto"/>
              </w:rPr>
            </w:pPr>
            <w:r>
              <w:rPr>
                <w:rFonts w:ascii="Times New Roman" w:cs="Times New Roman" w:eastAsia="Times New Roman" w:hAnsi="Times New Roman"/>
                <w:sz w:val="14"/>
                <w:szCs w:val="14"/>
                <w:b w:val="1"/>
                <w:bCs w:val="1"/>
                <w:color w:val="auto"/>
              </w:rPr>
              <w:t>Third</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Second</w:t>
            </w:r>
          </w:p>
        </w:tc>
        <w:tc>
          <w:tcPr>
            <w:tcW w:w="100" w:type="dxa"/>
            <w:vAlign w:val="bottom"/>
          </w:tcPr>
          <w:p>
            <w:pPr>
              <w:spacing w:after="0"/>
              <w:rPr>
                <w:sz w:val="13"/>
                <w:szCs w:val="13"/>
                <w:color w:val="auto"/>
              </w:rPr>
            </w:pPr>
          </w:p>
        </w:tc>
        <w:tc>
          <w:tcPr>
            <w:tcW w:w="680" w:type="dxa"/>
            <w:vAlign w:val="bottom"/>
          </w:tcPr>
          <w:p>
            <w:pPr>
              <w:jc w:val="right"/>
              <w:ind w:right="168"/>
              <w:spacing w:after="0" w:line="151" w:lineRule="exact"/>
              <w:rPr>
                <w:sz w:val="20"/>
                <w:szCs w:val="20"/>
                <w:color w:val="auto"/>
              </w:rPr>
            </w:pPr>
            <w:r>
              <w:rPr>
                <w:rFonts w:ascii="Times New Roman" w:cs="Times New Roman" w:eastAsia="Times New Roman" w:hAnsi="Times New Roman"/>
                <w:sz w:val="14"/>
                <w:szCs w:val="14"/>
                <w:b w:val="1"/>
                <w:bCs w:val="1"/>
                <w:color w:val="auto"/>
              </w:rPr>
              <w:t>First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data; taxable equivalent)</w:t>
            </w:r>
          </w:p>
        </w:tc>
        <w:tc>
          <w:tcPr>
            <w:tcW w:w="1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 revenue reconciliation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revenue - taxable equivalent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61,695</w:t>
            </w:r>
          </w:p>
        </w:tc>
        <w:tc>
          <w:tcPr>
            <w:tcW w:w="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61,426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62,088</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62,114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64,450</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66,092</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66,823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Taxable equivalent adjustment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12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revenue (GAAP)</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61,315</w:t>
            </w:r>
          </w:p>
        </w:tc>
        <w:tc>
          <w:tcPr>
            <w:tcW w:w="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61,056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61,720</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61,749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64,069</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65,673</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66,379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69,856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interest revenue reconciliation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interest revenue - taxable equivalent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55,879</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54,257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54,931</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54,574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56,144</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57,979</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56,656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Taxable equivalent adjustment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interest revenue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55,499</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53,887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54,563</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54,209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55,763</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57,560</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56,212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58,533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revenue reconciliation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operating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66,398</w:t>
            </w:r>
          </w:p>
        </w:tc>
        <w:tc>
          <w:tcPr>
            <w:tcW w:w="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65,482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22,374</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56,485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56,789</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55,635</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51,703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59,243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Taxable equivalent adjustment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12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Total revenue (GAAP)</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66,018</w:t>
            </w:r>
          </w:p>
        </w:tc>
        <w:tc>
          <w:tcPr>
            <w:tcW w:w="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65,112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22,006</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56,120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56,408</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55,216</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51,259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58,797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(loss) before taxes reconciliation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24,784</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25,385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(26,449)</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12,715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6,063</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10,852</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7,393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Taxable equivalent adjustment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(loss) before taxes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24,404</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(26,817)</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5,682</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10,433</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6,949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tax expense (benefit) reconciliation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8,873</w:t>
            </w:r>
          </w:p>
        </w:tc>
        <w:tc>
          <w:tcPr>
            <w:tcW w:w="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9,885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(256,413)</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894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Taxable equivalent adjustment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12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 expense (benefit) (GAAP)</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8,493</w:t>
            </w:r>
          </w:p>
        </w:tc>
        <w:tc>
          <w:tcPr>
            <w:tcW w:w="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9,515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(256,781)</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585</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Book value per common share reconciliation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Tangible book value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11.26</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goodwill and other intangibles</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Book value per common share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11.30</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10.90</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6.67</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equity to assets reconciliation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Tangible common equity to assets</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preferred equity</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12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Tangible equity to assets</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8.66</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goodwill and other intangibles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to assets (GAAP)</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11.57%</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8.60%</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3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Tangible common equity to risk-weighted assets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Tangible common equity to risk-weighted assets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13.16%</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8.26%</w:t>
            </w:r>
          </w:p>
        </w:tc>
        <w:tc>
          <w:tcPr>
            <w:tcW w:w="12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8.44%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other comprehensive income</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deferred tax limitation</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trust preferred</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preferred equity</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12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Tier I capital ratio (Regulatory)</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14.21%</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14.31%</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14.16%</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14.26%</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United reported net income of $273 million for the year ended December 31, 2013. This compared to net income of $33.9 million in 2012. Diluted earnings per common share for 2013 was $4.44. This compared to diluted earnings per common share for 2012 of $.38.</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United’s results for 2013 and 2011 included a few large items in operating earnings that are generally nonrecurring in nature that affect comparability between periods. Earnings for 2013 were significantly impacted by a large bulk sale of classified assets in the second quarter that resulted in a pre-tax loss of $26.8 million, which was more than offset by a $257 million credit to income tax expense resulting from the reversal of most of the valuation allowance on United’s deferred tax assets. Additionally, in 2011, United’s elevated provision for credit losses reflected the execution of a plan to dispose of a significant amount of problem assets following a recapitalization transaction completed in the first quarter. That plan included a bulk loan sale transaction which removed United’s most challenging problem loans that resulted in a significant decrease in the level of problem assets. The disposition of problem assets in 2011 accelerated United’s return to profitability.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Revenue (Taxable Equivalent)</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interest revenue (the difference between the interest earned on assets and the interest paid on deposits and other liabilities) is the single largest component of United’s revenue. United actively manages this revenue source to provide optimal levels of revenue while balancing interest rate, credit, and liquidity risks. Taxable equivalent net interest revenue totaled $220 million in 2013, a decrease of $10.1 million, or 4%, from 2012. Taxable equivalent net interest revenue for 2012 decreased $8.91 million, or 4%, from 2011. The decrease in net interest revenue over the past two years was primarily due to lower yields on the securities and loan portfolios. Lower levels of average earning asset balances also contributed to the decrease in net interest revenue from 2011 to 2012. United continued its focus on loan and deposit pricing, in an effort to maintain a steady level of net interest revenue.</w:t>
      </w:r>
    </w:p>
    <w:p>
      <w:pPr>
        <w:spacing w:after="0" w:line="21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While average loans increased $88.6 million, or 2% from the prior year, the yield on loans for 2013 decreased 50 basis points from 2012, reflecting the continuing effect of the low interest rate environment and competition for a limited number of quality lending opportunities. Although residential real estate loans increased primarily as the result of the promotion of a new home equity line product that began in mid-2012 and the introduction of a new low-cost mortgage product in early 2013, the low introductory rate on these products also contributed to the lower yield on average loans.</w:t>
      </w:r>
    </w:p>
    <w:p>
      <w:pPr>
        <w:spacing w:after="0" w:line="20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Average interest-earning assets for the year increased $101 million, or 2%, from 2012 due primarily to the increase in average loans and securities. Average investment securities for 2013 increased $101 million from a year ago, however the average yield decreased 25 basis points as management was unable to reinvest the cash proceeds of maturing securities at yields comparable to those of the securities they replaced. To alleviate market and duration risk, United has focused on purchasing floating rate securities. The combined effect of lower loan and investment securities yields drove the average yield on interest-earning assets for 2013 to 3.72%, down 37 basis points from 4.09% in 2012. Partially offsetting the lower loan and securities yields was a higher average yield on other interest-earning assets, due primarily to the use of reverse repurchase agreements including collateral swap transactions where United enters into a repurchase agreement and reverse repurchase agreement simultaneously with the same counterparty subject to a master netting agreement. In these transactions, the offsetting balances are netted on the balance sheet.</w:t>
      </w:r>
    </w:p>
    <w:p>
      <w:pPr>
        <w:spacing w:after="0" w:line="21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Average interest bearing liabilities in 2013 decreased $152 million, or 3%, from the prior year as United was able to fund more of its balance sheet from noninterest bearing sources. Average noninterest bearing deposits increased $191 million from 2012 to 2013 allowing United to decrease interest bearing sources of funds. The average cost of interest bearing liabilities for 2013 was .56% compared to .75% for 2012, reflecting United’s concerted efforts to reduce deposit pricing. Also contributing to the overall lower rate on interest bearing liabilities was a shift in the mix of deposits away from more expensive time deposits toward lower-rate transaction deposits. United was able to reduce the effective rate on brokered deposits in 2013 to a negative .23% by swapping the fixed rate on longer-term brokered time deposits to LIBOR minus a spread.</w:t>
      </w:r>
    </w:p>
    <w:p>
      <w:pPr>
        <w:spacing w:after="0" w:line="21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banking industry uses two key ratios to measure relative profitability of net interest revenue - the net interest spread and the net interest margin. The net interest spread measures the difference between the average yield on interest earning assets and the average rate paid on interest bearing liabilities. The interest rate spread eliminates the effect of non-interest-bearing deposits and other non-interest bearing funding sources and gives a direct perspective on the effect of market interest rate movements. The net interest margin is an indication of the profitability of a company’s overall balance sheet management activities and is defined as net interest revenue as a percentage of total average interest earning assets, which includes the positive effect of funding a portion of interest earning assets with customers’ non-interest bearing deposits and with stockholders’ equity.</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2013, United reclassified hedge ineffectiveness gains and losses from other fee revenue to the line within net interest revenue where interest on the related hedged item is reported. The reclassification of hedge ineffectiveness gains and losses added approximately 1 basis point to the margin for the year ended December 31, 2013. All prior amounts have been adjusted for a consistent presentation.</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2013, 2012 and 2011, United’s net interest spread was 3.16%, 3.34%, and 3.33%, respectively, while the net interest margin was 3.30%, 3.51%, and 3.52%, respectively. The decline in both ratios from 2012 to 2013 was due to lower yields on securities and loans, which were not completely offset by the decrease in rates paid for deposits and other interest bearing liabilities.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14" w:right="279" w:bottom="1440" w:gutter="0" w:footer="0" w:header="0"/>
        </w:sectPr>
      </w:pPr>
    </w:p>
    <w:bookmarkStart w:id="37" w:name="page38"/>
    <w:bookmarkEnd w:id="37"/>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shows the relationship between interest revenue and interest expense and the average balances of interest-earning assets and interest-bearing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 and Net Interest Margin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taxable equivalent)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2011</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80" w:type="dxa"/>
            <w:vAlign w:val="bottom"/>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Avg.</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600" w:type="dxa"/>
            <w:vAlign w:val="bottom"/>
          </w:tcPr>
          <w:p>
            <w:pPr>
              <w:jc w:val="right"/>
              <w:ind w:right="88"/>
              <w:spacing w:after="0" w:line="124" w:lineRule="exact"/>
              <w:rPr>
                <w:sz w:val="20"/>
                <w:szCs w:val="20"/>
                <w:color w:val="auto"/>
              </w:rPr>
            </w:pPr>
            <w:r>
              <w:rPr>
                <w:rFonts w:ascii="Times New Roman" w:cs="Times New Roman" w:eastAsia="Times New Roman" w:hAnsi="Times New Roman"/>
                <w:sz w:val="14"/>
                <w:szCs w:val="14"/>
                <w:b w:val="1"/>
                <w:bCs w:val="1"/>
                <w:color w:val="auto"/>
              </w:rPr>
              <w:t>Avg.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380"/>
              <w:spacing w:after="0" w:line="12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620" w:type="dxa"/>
            <w:vAlign w:val="bottom"/>
          </w:tcPr>
          <w:p>
            <w:pPr>
              <w:jc w:val="right"/>
              <w:ind w:right="88"/>
              <w:spacing w:after="0" w:line="124" w:lineRule="exact"/>
              <w:rPr>
                <w:sz w:val="20"/>
                <w:szCs w:val="20"/>
                <w:color w:val="auto"/>
              </w:rPr>
            </w:pPr>
            <w:r>
              <w:rPr>
                <w:rFonts w:ascii="Times New Roman" w:cs="Times New Roman" w:eastAsia="Times New Roman" w:hAnsi="Times New Roman"/>
                <w:sz w:val="14"/>
                <w:szCs w:val="14"/>
                <w:b w:val="1"/>
                <w:bCs w:val="1"/>
                <w:color w:val="auto"/>
              </w:rPr>
              <w:t>Avg.</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20" w:type="dxa"/>
            <w:vAlign w:val="bottom"/>
            <w:gridSpan w:val="3"/>
            <w:vMerge w:val="continue"/>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Interest-earning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Loans </w:t>
            </w:r>
            <w:r>
              <w:rPr>
                <w:rFonts w:ascii="Times New Roman" w:cs="Times New Roman" w:eastAsia="Times New Roman" w:hAnsi="Times New Roman"/>
                <w:sz w:val="10"/>
                <w:szCs w:val="10"/>
                <w:color w:val="auto"/>
              </w:rPr>
              <w:t>(1)(2)</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4,254,159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201,278</w:t>
            </w:r>
          </w:p>
        </w:tc>
        <w:tc>
          <w:tcPr>
            <w:tcW w:w="8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4,165,520</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217,705</w:t>
            </w:r>
          </w:p>
        </w:tc>
        <w:tc>
          <w:tcPr>
            <w:tcW w:w="82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4,307,111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244,159</w:t>
            </w:r>
          </w:p>
        </w:tc>
        <w:tc>
          <w:tcPr>
            <w:tcW w:w="7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 xml:space="preserve">Taxable securities </w:t>
            </w:r>
            <w:r>
              <w:rPr>
                <w:rFonts w:ascii="Times New Roman" w:cs="Times New Roman" w:eastAsia="Times New Roman" w:hAnsi="Times New Roman"/>
                <w:sz w:val="10"/>
                <w:szCs w:val="10"/>
                <w:color w:val="auto"/>
              </w:rPr>
              <w:t>(3)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2,169,024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40,331</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2,065,162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43,657</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1,973,678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55,251</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xml:space="preserve">Tax-exempt securities </w:t>
            </w:r>
            <w:r>
              <w:rPr>
                <w:rFonts w:ascii="Times New Roman" w:cs="Times New Roman" w:eastAsia="Times New Roman" w:hAnsi="Times New Roman"/>
                <w:sz w:val="10"/>
                <w:szCs w:val="10"/>
                <w:color w:val="auto"/>
              </w:rPr>
              <w:t>(1)(3)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21,228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1,354</w:t>
            </w: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23,759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1,565</w:t>
            </w: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25,693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1,651</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Federal funds sold and other interest-earning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204,303</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4,360</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292,857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4,740</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478,403</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3,247</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6,648,714</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247,323</w:t>
            </w: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6,547,298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267,667</w:t>
            </w: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6,784,885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304,308</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Borders>
              <w:top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Non-interest-earning assets:</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loan losses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(95,411)</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(114,647)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(145,656)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due from banks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63,174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53,247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90,212</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Premises and equipment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167,424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172,544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178,061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Other assets </w:t>
            </w:r>
            <w:r>
              <w:rPr>
                <w:rFonts w:ascii="Times New Roman" w:cs="Times New Roman" w:eastAsia="Times New Roman" w:hAnsi="Times New Roman"/>
                <w:sz w:val="10"/>
                <w:szCs w:val="10"/>
                <w:color w:val="auto"/>
              </w:rPr>
              <w:t>(3)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290,098</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206,609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281,233</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7,073,999</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6,865,051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7,188,735</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NOW</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1,285,842</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1,759</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1,293,510</w:t>
            </w: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2,049</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1,348,493</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3,998</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1,315,385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2,210</w:t>
            </w: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1,140,354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2,518</w:t>
            </w: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993,871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5,456</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Savings deposits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244,725</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2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216,880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195,468</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Time deposits less than $100,000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974,470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5,850</w:t>
            </w: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1,170,202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9,788</w:t>
            </w: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1,471,596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18,648</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Time deposits greater than $100,000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654,102</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5,115</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766,411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8,027</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948,659</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14,347</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Brokered deposits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219,215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155,902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1,282</w:t>
            </w: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401,393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6,119</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4,693,739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14,566</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4,743,259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23,814</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5,359,480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48,802</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44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Federal funds purchased, repurchase agreeements, and</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66,561</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2,071</w:t>
            </w:r>
          </w:p>
        </w:tc>
        <w:tc>
          <w:tcPr>
            <w:tcW w:w="82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80,593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2,987</w:t>
            </w:r>
          </w:p>
        </w:tc>
        <w:tc>
          <w:tcPr>
            <w:tcW w:w="82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102,727</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4,250</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short-term borrowings</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Federal Home Loan Bank advances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32,604</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124,771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907</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47,220</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2,042</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131,081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10,977</w:t>
            </w: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127,623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10,201</w:t>
            </w: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139,666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10,544</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borrowed funds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230,246</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13,116</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332,987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14,095</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289,613</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16,836</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4,923,985</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27,682</w:t>
            </w: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5,076,246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37,909</w:t>
            </w: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5,649,093</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65,638</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Borders>
              <w:top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Non-interest-bearing liabilities:</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1,333,199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1,142,236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915,649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84,506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64,986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66,809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6,341,690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6,283,468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6,631,551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732,309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581,583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557,184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and shareholders’ equity</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7,073,999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6,865,051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7,188,735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4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Net interest revenue</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219,641</w:t>
            </w: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229,758</w:t>
            </w:r>
          </w:p>
        </w:tc>
        <w:tc>
          <w:tcPr>
            <w:tcW w:w="6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238,670</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top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Net interest-rate spread</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3.16%</w:t>
            </w:r>
          </w:p>
        </w:tc>
        <w:tc>
          <w:tcPr>
            <w:tcW w:w="8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 xml:space="preserve">Net interest margin </w:t>
            </w:r>
            <w:r>
              <w:rPr>
                <w:rFonts w:ascii="Times New Roman" w:cs="Times New Roman" w:eastAsia="Times New Roman" w:hAnsi="Times New Roman"/>
                <w:sz w:val="10"/>
                <w:szCs w:val="10"/>
                <w:color w:val="auto"/>
              </w:rPr>
              <w:t>(4)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180" w:hanging="332"/>
        <w:spacing w:after="0" w:line="218" w:lineRule="auto"/>
        <w:tabs>
          <w:tab w:leader="none" w:pos="347"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Interest revenue on tax-exempt securities and loans has been increased to reflect comparable interest on taxable securities and loans. The rate used was 39%, reflecting the statutory federal rate and the federal tax adjusted state tax rate.</w:t>
      </w:r>
    </w:p>
    <w:p>
      <w:pPr>
        <w:spacing w:after="0" w:line="1" w:lineRule="exact"/>
        <w:rPr>
          <w:rFonts w:ascii="Times New Roman" w:cs="Times New Roman" w:eastAsia="Times New Roman" w:hAnsi="Times New Roman"/>
          <w:sz w:val="25"/>
          <w:szCs w:val="25"/>
          <w:color w:val="auto"/>
          <w:vertAlign w:val="superscript"/>
        </w:rPr>
      </w:pPr>
    </w:p>
    <w:p>
      <w:pPr>
        <w:ind w:left="340" w:hanging="332"/>
        <w:spacing w:after="0" w:line="225" w:lineRule="auto"/>
        <w:tabs>
          <w:tab w:leader="none" w:pos="34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Included in the average balance of loans outstanding are loans where the accrual of interest has been discontinued.</w:t>
      </w:r>
    </w:p>
    <w:p>
      <w:pPr>
        <w:spacing w:after="0" w:line="56" w:lineRule="exact"/>
        <w:rPr>
          <w:rFonts w:ascii="Times New Roman" w:cs="Times New Roman" w:eastAsia="Times New Roman" w:hAnsi="Times New Roman"/>
          <w:sz w:val="25"/>
          <w:szCs w:val="25"/>
          <w:color w:val="auto"/>
          <w:vertAlign w:val="superscript"/>
        </w:rPr>
      </w:pPr>
    </w:p>
    <w:p>
      <w:pPr>
        <w:ind w:left="340" w:right="380" w:hanging="332"/>
        <w:spacing w:after="0" w:line="208" w:lineRule="auto"/>
        <w:tabs>
          <w:tab w:leader="none" w:pos="345"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Securities available for sale are shown at amortized cost. Average pretax unrealized gains of $4.36 million, $23.6 million and $32.2 million in 2013, 2012 and 2011, respectively are included in other assets for purposes of this presentation.</w:t>
      </w:r>
    </w:p>
    <w:p>
      <w:pPr>
        <w:spacing w:after="0" w:line="1" w:lineRule="exact"/>
        <w:rPr>
          <w:rFonts w:ascii="Times New Roman" w:cs="Times New Roman" w:eastAsia="Times New Roman" w:hAnsi="Times New Roman"/>
          <w:sz w:val="25"/>
          <w:szCs w:val="25"/>
          <w:color w:val="auto"/>
          <w:vertAlign w:val="superscript"/>
        </w:rPr>
      </w:pPr>
    </w:p>
    <w:p>
      <w:pPr>
        <w:ind w:left="340" w:hanging="332"/>
        <w:spacing w:after="0" w:line="225" w:lineRule="auto"/>
        <w:tabs>
          <w:tab w:leader="none" w:pos="34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Net interest margin is taxable equivalent net-interest revenue divided by average interest-earning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8" w:name="page39"/>
    <w:bookmarkEnd w:id="38"/>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of changes in the average outstanding balances (volume) of earning assets and interest bearing liabilities and the rates earned and paid by United on such assets and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 Change in Interest Revenue and Interest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taxable equivalent)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gridSpan w:val="7"/>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rPr>
              <w:t>2013 Compared to 2012</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6"/>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rPr>
              <w:t>2012 Compared to 2011</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due to changes in</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due to changes in</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00" w:type="dxa"/>
            <w:vAlign w:val="bottom"/>
          </w:tcPr>
          <w:p>
            <w:pPr>
              <w:spacing w:after="0"/>
              <w:rPr>
                <w:sz w:val="19"/>
                <w:szCs w:val="19"/>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0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4,552</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(20,979)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(18,758)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securities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(14,055)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Tax-exempt securities</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sold and other interest-earning assets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(25,195)</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(20,344)</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(29,638)</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NOW</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(1,792)</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Savings deposits</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Time deposits less than $100,000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(5,529)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deposits greater than $100,000</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(1,845)</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(3,890)</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Brokered deposits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(7,432)</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(9,248)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(16,774)</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Federal funds purchased, repurchase agreements &amp; other short-</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 borrowings</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(916)</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(2,637)</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borrowed funds</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(2,451)</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(7,788)</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(10,227)</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20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(19,225)</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Decrease in net interest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40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Any variance attributable jointly to volume and rate changes is allocated to the volume and rate variance in proportion to the relationship of the absolute dollar amount of the change in each.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provision for credit losses is based on management’s evaluation of probable incurred losses in the loan portfolio and corresponding analysis of the allowance for credit losses at the end of each reporting period. The provision for credit losses was $65.5 million in 2013, compared with $62.5 million in 2012, and $251 million in 2011. As a percentage of average outstanding loans (excluding loans covered by loss sharing agreements with the FDIC), the provision for credit losses was 1.55%, 1.52% and 5.91%, respectively, in 2013, 2012 and 2011. The amount of provision recorded in each year was the amount required such that the total allowance for credit losses reflected the appropriate balance, in the estimation of management, and was sufficient to cover incurred losses in the loan portfolio. The 2013 provision was higher than the 2012 provision due to the increase level of charge-offs associated with the second quarter 2013 classified asset disposition. The 2012 provision for loan losses was $189 million lower than the 2011 provision, primarily due to the improvement in credit trends during 2012 as well as the elevated level of charge-offs in 2011 resulting from the execution of a plan to dispose of a significant amount of problem assets. In addition, during the third quarter of 2011, United recorded an additional loan loss provision of $25.0 million specifically related to the classification of its then-largest lending relationship. The ratio of net loan charge-offs to average outstanding loans for 2013 was 2.22% compared with 1.69% for 2012 and 7.33% for 2011.</w:t>
      </w:r>
    </w:p>
    <w:p>
      <w:pPr>
        <w:spacing w:after="0" w:line="22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fourth quarter of 2013, United established an allowance for unfunded loan commitments which is included in other liabilities in the consolidated balance sheet. The allowance for unfunded loan commitments represents probable incurred losses on unfunded loan commitments that are expected to result in outstanding loan balances. The allowance for unfunded loan commitments was established through the provision for credit losses.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9" w:name="page40"/>
    <w:bookmarkEnd w:id="39"/>
    <w:p>
      <w:pPr>
        <w:ind w:right="60"/>
        <w:spacing w:after="0" w:line="258" w:lineRule="auto"/>
        <w:rPr>
          <w:sz w:val="20"/>
          <w:szCs w:val="20"/>
          <w:color w:val="auto"/>
        </w:rPr>
      </w:pPr>
      <w:r>
        <w:rPr>
          <w:rFonts w:ascii="Times New Roman" w:cs="Times New Roman" w:eastAsia="Times New Roman" w:hAnsi="Times New Roman"/>
          <w:sz w:val="18"/>
          <w:szCs w:val="18"/>
          <w:color w:val="auto"/>
        </w:rPr>
        <w:t>Over the past two years, United has experienced a significant improvement in credit quality and corresponding credit measures. During the second quarter of 2013, United sold classified assets totaling approximately $172 million, including a bulk sale of $131 million. The classified asset sales and a general improving trend reduced United’s nonperforming assets to $31.0 million as of December 31, 2013. Additional discussion on credit quality and the allowance for loan losses is included in the “Asset Quality and Risk Elements” and “Critical Accounting Polices” sections of this report, as well as Note 1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Revenue</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Fee revenue was $56.6 million in 2013, compared with $56.1 million in 2012 and $44.9 million in 2011. The following table presents the components of fee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4 - Fee 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6"/>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2011</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2013-2012</w:t>
            </w:r>
          </w:p>
        </w:tc>
        <w:tc>
          <w:tcPr>
            <w:tcW w:w="2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fees</w:t>
            </w:r>
          </w:p>
        </w:tc>
        <w:tc>
          <w:tcPr>
            <w:tcW w:w="2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12,425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13,302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ATM and debit card fees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14,509</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2,785</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charges and fees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31,997</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29,110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 and related fees</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5,419</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Brokerage fees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derivatives</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Securities gains, net</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prepayment of borrowings</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7,341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fee revenue</w:t>
            </w:r>
          </w:p>
        </w:tc>
        <w:tc>
          <w:tcPr>
            <w:tcW w:w="2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56,598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56,112</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44,907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Service charges and fees of $32.0 million were up $327,000, or 1%, from 2012. The increase was primarily due to higher ATM and debit card interchange fees. Overdraft fees continue to decline as customer utilization of our courtesy overdraft services decreases. The increase in other service charges from 2011 to 2012 was due to new service fees on low balance demand deposit accounts that were initiated in January 2012.</w:t>
      </w: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Mortgage loan and related fees of $9.93 million were down $558,000, or 5%, from 2012. In 2013, United closed 1,918 mortgage loans totaling $297 million compared with 2,339 loans totaling $370 million in 2012. Mortgage refinancing activity slowed during the 2013 due to rising long-term interest rates. The volume of new purchase financings in 2013 was 48% compared with 33% in 2012. New purchase financings increased as a percentage of total production due to lower refinancing activity, but also due to an increase in volume of new purchase financings. United had $144 million of new purchase financing originations in 2013 compared to $118 million in 2012.</w:t>
      </w:r>
    </w:p>
    <w:p>
      <w:pPr>
        <w:spacing w:after="0" w:line="21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Brokerage fees of $4.47 million increased $1.38, or 45%, from 2012. A portion of United’s brokerage fee revenue is derived from the value of assets under management which increased with the overall improvement in the market, further contributing to the increased revenue. In addition, continued low interest rates resulted in heightened customer demand for income products.</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Fees from customer swap transactions earned under United’s back-to-back customer swap program of $1.60 million were up $1.08 million in 2013 from 2012 due to an increase in transaction volume. United provides interest rate swaps to commercial customers who desire fixed rate loans. United makes a floating rate loan to those customers and enters into an interest rate swap contract with the customer to swap the floating rate to a fixed rate. United then enters into an offsetting swap with a swap dealer with terms that mirror the customer swap. The fixed and variable legs of the customer and dealer swaps offset leaving United with a variable rate loan.</w:t>
      </w:r>
    </w:p>
    <w:p>
      <w:pPr>
        <w:spacing w:after="0" w:line="21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United recognized net securities gains of $186,000 and $7.08 million during 2013 and 2012, respectively. United also recognized losses from the prepayment of FHLB advances and structured repurchase agreements totaling $6.68 million in 2012. The losses were part of the same balance sheet management activities that resulted in the securities gains.</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fee revenue of $8.43 million for 2013 was down $1.53 million, or 15%, from 2012. Other fee revenue for 2012 included $1.10 million in interest on a prior year tax refund that resulted from a net operating loss carry back claim. Other fee revenue for 2013 and 2012 included gains from the sale of low income housing tax credits of $468,000 and $728,000,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operating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 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6"/>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Pr>
          <w:p>
            <w:pPr>
              <w:spacing w:after="0"/>
              <w:rPr>
                <w:sz w:val="17"/>
                <w:szCs w:val="17"/>
                <w:color w:val="auto"/>
              </w:rPr>
            </w:pPr>
          </w:p>
        </w:tc>
        <w:tc>
          <w:tcPr>
            <w:tcW w:w="11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2013-2012</w:t>
            </w:r>
          </w:p>
        </w:tc>
        <w:tc>
          <w:tcPr>
            <w:tcW w:w="1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96,233</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96,026</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100,095</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and equipment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public relations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Postage, printing and supplies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Foreclosed property - foreclosure and carrying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Foreclosed property - writedowns and losses from sales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68,406</w:t>
            </w: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FDIC assessments and other regulatory charges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174,304</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186,774</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261,599</w:t>
            </w: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expenses were $174 million in 2013 as compared to $187 million in 2012 and $262 million in 2011. The decrease mostly reflects lower foreclosed property losses and write downs associated with the declining volume of foreclosed properties following the classified asset sales in the second quarter of 2013.</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Salaries and employee benefits expense for 2013 was $96.2 million, an increase of 207,000, or less than 1%, from 2012. A decrease in regular salaries was offset by higher incentive compensation due to performance targets that were met. Headcount totaled 1,506 at December 31, 2013 compared to 1,590 at December 31, 2012, a decrease of 84 positions.</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Communications and equipment expense of $13.2 million for 2013 was up $293,000, or 2%, from 2012. The increase reflects higher software costs resulting from new technology solutions to improve operating efficiency and customer service as well as higher telecommunications charges.</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Occupancy expense of $13.9 million for 2013 was down $374,000, or 3%, compared to 2012. The decrease was primarily related to lower utilities and maintenance charges partially due to the closing of underperforming branches.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Advertising and public relations expense for 2013 was $3.72 million, a decrease of $137,000, or 4%, from 2012. The decrease was due to continued efforts to reduce discretionary spending.</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Postage, printing and supplies expense for 2013 was $3.28 million, a decrease of $616,000, or 16%, from 2012. The decrease was primarily due to lower expenditures on office supplies and printing, as well as lower outside courier expenses reflecting further use of electronic statements and technology.</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Professional fees were $9.62 million for 2013, increased $825,000, or 9%, from 2012. The increase was primarily due to consulting services related to several efficiency and revenue enhancement projects that were in process in 2013.</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Foreclosed property expenses include foreclosure and carrying costs and realized losses and write-downs of foreclosed properties. Foreclosure and carrying costs for 2013 were $3.16 million, a decrease of $1.96 million from 2012. The foreclosure and carrying costs category includes legal fees, property taxes, marketing costs, utility services, and maintenance and repair charges. Realized losses and write-downs on foreclosed property totaled $4.71 million for the year ended December 31, 2013, compared to $8.88 million for 2012. Foreclosed property costs declined in 2013 as the balance of foreclosed properties has stabilized following the accelerated sales of classified assets in the second quarter of 2013.</w:t>
      </w:r>
    </w:p>
    <w:p>
      <w:pPr>
        <w:spacing w:after="0" w:line="2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FDIC assessments and other regulatory charges expense for 2013 was $9.22 million, a decrease of $878,000, or 9%, from 2012. Amortization of intangibles continues to decrease as core deposit intangibles related to past acquisitions become fully amortized.</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Other expenses totaled $15.2 million for 2013, a decrease of $4.78 million, or 24%, from 2012. The decrease is primarily due to a $4.00 million charge in 2012 to establish litigation reserves for potential losses related to threatened litigation.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4" w:right="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Income tax benefit was $238 million in 2013, compared to income tax expense of $1.05 million in 2012 and income tax benefit of $3.98 million in 2011, respectively. The 2013 tax benefit was primarily due to the second quarter reversal of $272 million of the deferred tax valuation allowance. The 2011 tax benefit included the reversal of previously established reserves for uncertain tax positions of $4.59 million as a result of the tax returns upon which the tax positions were claimed no longer being subject to audit as a result of statute expiration and due to the settlement of a state tax dispute. The effective tax rates (as a percentage of pre-tax earnings) were not meaningful for 2013, 2012 and 2011 due to the valuation allowance on United’s deferred tax asset and the subsequent reversal of the valuation allowance in the second quarter of 2013. The tax rate for 2014 is expected to be approximately 37.5 percent reflecting the mix of taxable and tax-exempt income.</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and their respective tax bases including operating losses and tax credit carryforwards. Net deferred tax assets (deferred tax assets net of deferred tax liabilities and valuation allowance) are reported in the consolidated balance sheet as a component of total assets.</w:t>
      </w:r>
    </w:p>
    <w:p>
      <w:pPr>
        <w:spacing w:after="0" w:line="20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Accounting Standards Codification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that companies assess whether a valuation allowance should be established against their deferred tax assets based on the consideration of all available evidence using a “more likely than not” standard. The determination of whether a valuation allowance for deferred tax assets is appropriate is subject to considerable judgment and requires an evaluation of all positive and negative evidence with more weight given to evidence that can be objectively verified. Each quarter, management considers both positive and negative evidence and analyzes changes in near-term market conditions as well as other factors which may impact future operating results.</w:t>
      </w:r>
    </w:p>
    <w:p>
      <w:pPr>
        <w:spacing w:after="0" w:line="20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At December 31, 2012 and 2011, United reported no net deferred tax assets due to a full valuation allowance of $270 million and $273 million, respectively. United remains in a three-year cumulative loss position that resulted from significant credit losses incurred during the recent financial crisis. A three-year cumulative loss position is considered to be negative evidence that is difficult to overcome. However, during the second quarter of 2013, based on the weight of all the positive and negative evidence, management concluded that it was more likely than not that $272 million of the net deferred tax assets will be realized based upon future taxable income and therefore, reversed $272 million of the valuation allowance. Thus, at December 31, 2013, United reported a net deferred tax asset of $259 million, which reflects a valuation allowance of $4.10 million related to specific state income tax credits that have short carryforward periods and therefore are expected to expire before they can be utilized.</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deferred tax asset valuation allowance was reversed in the second quarter of 2013 following the achievement of six consecutive quarters of positive operating results. These positive earnings results and improving credit measures provided an objective basis for a conclusion that profitability was considered sustainable and improving. In addition, the second quarter of 2013 sale of classified assets improved United’s ability to predict credit costs and forecast profitability going forward by removing the assets that were most likely to drive future credit losses. As a result of this discretionary distressed asset sale, United’s classified asset ratio (classified assets as a percentage of Tier 1 capital and the allowance for loan losses) improved to 27% at December 31, 2013, compared with 50% at December 31, 2012.</w:t>
      </w:r>
    </w:p>
    <w:p>
      <w:pPr>
        <w:spacing w:after="0" w:line="2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Based on all evidence considered, as of December 31, 2013, management concluded it was still more likely than not that our net deferred tax asset would be realized. With continuous improvements in credit quality, quarterly earnings for the past nine quarters have closely followed management’s forecast for these periods, excluding the impact of the discretionary sales of classified assets in the second quarter of 2013. The improvement in management’s ability to produce reliable forecasts, continuous and significant improvements in credit quality, and a sustained period of profitability were given appropriate weighting in our analysis, and such evidence was considered sufficient to overcome the weight of the negative evidence related to the significant operating losses in prior years.</w:t>
      </w:r>
    </w:p>
    <w:p>
      <w:pPr>
        <w:spacing w:after="0" w:line="21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addition to such positive evidence at December 31, 2013, United has also reduced the amount of credit risk inherent in its loan portfolio by reducing its concentration of construction loans and improving its overall loan portfolio diversification. These changes place United in a strong position to manage through the ongoing weakness in the economy. United also has a long record of positive earnings and accurate earnings forecasts prior to the economic downturn and is currently in a strong capital position and conservatively expects to exit the three-year cumulative loss position in the first quarter of 2014.</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Management expects to generate higher levels of future taxable income and believes this will allow for full utilization of United’s net operating loss carryforwards within five to seven years, which is well within the statutory carryforward periods. In determining whether management’s projections of future taxable income are reliable, management considered objective evidence supporting the forecast assumptions as well as recent experience demonstrating management’s ability to reasonably project future results of operations. Further, while the banking environment is expected to remain challenging due to economic and other uncertainties, management believes that it can confidently forecast future taxable income at sufficient levels over the future period of time that United has available to realize its December 31, 2013 deferred tax asset.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42" w:name="page43"/>
    <w:bookmarkEnd w:id="42"/>
    <w:p>
      <w:pPr>
        <w:ind w:right="40"/>
        <w:spacing w:after="0" w:line="255" w:lineRule="auto"/>
        <w:rPr>
          <w:sz w:val="20"/>
          <w:szCs w:val="20"/>
          <w:color w:val="auto"/>
        </w:rPr>
      </w:pPr>
      <w:r>
        <w:rPr>
          <w:rFonts w:ascii="Times New Roman" w:cs="Times New Roman" w:eastAsia="Times New Roman" w:hAnsi="Times New Roman"/>
          <w:sz w:val="18"/>
          <w:szCs w:val="18"/>
          <w:color w:val="auto"/>
        </w:rPr>
        <w:t>As of February 22, 2011, United adopted a tax benefits preservation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 in losses. United’s ability to use its tax benefits would be substantially limited if it were to experience an ownership change as defined under Section 382 of the Internal Revenue Code. In general, an ownership change would occur if United’s “5-percent shareholders,” as defined under Section 382, collectively increase their ownership in United by more than 50% over a rolling three-year period. The tax benefits preservation plan is designed to reduce the likelihood that United will experience an ownership change by discouraging any person or group from becoming a beneficial owner of 4.99% or more of United’s common stock then outstanding.</w:t>
      </w:r>
    </w:p>
    <w:p>
      <w:pPr>
        <w:spacing w:after="0" w:line="2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17 to the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Fourth Quarter 2013 Discussion</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Taxable equivalent net interest revenue for the fourth quarter of 2013 decreased $265,000, or less than 1%, to $55.9 million from the same period a year ago, primarily due to lower yields on our investment securities and loan portfolios. The net interest margin decreased 19 basis points from the fourth quarter of 2012 to 3.26% for the fourth quarter of 2013. The lower yield on the loan portfolio for the fourth quarter of 2013 reflected the ongoing pricing pressure on new and renewed loans.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fourth quarter of 2013 provision for credit losses was $3.00 million, compared to $14.0 million for the fourth quarter of 2012. Nonperforming assets totaled $31.0 million, down $97.1 million from a year ago. Nonperforming assets as a percentage of total assets were .42% at December 31, 2013, compared with 1.88% at December 31, 2012.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fee revenue from continuing operations for the fourth quarters of 2013 and 2012.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6 - Quarterly Fee 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fees</w:t>
            </w:r>
          </w:p>
        </w:tc>
        <w:tc>
          <w:tcPr>
            <w:tcW w:w="1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ATM and debit card fees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4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charges and fees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 and related fees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Brokerage fees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gains, net</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fee revenue</w:t>
            </w: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1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Fee revenue for the fourth quarter of 2013 of $13.5 million decreased $1.13 million, or 8%, from $14.6 million for the fourth quarter of 2012. Service charges and fees on deposit accounts of $8.17 million decreased $209,000, or 2%, to $8.17 million. The decrease was due to continued lower utilization of our courtesy overdraft services. Mortgage fees of $1.71 million decreased $1.55 million, or 47%, to $1.71 million due to a decrease in refinancing activities due to higher interest rates. United closed $55.5 million in mortgage loans in the fourth quarter of 2013, compared to $100 million in the fourth quarter of 2012. Brokerage fees of $1.36 million increased $610,000, or 81%, from the fourth quarter of 2012. Other fee revenue of $2.21 million decreased $17,000, or 1%, from the fourth quarter of 2012. In the fourth quarter of 2013, United recognized a gain of $300,000 on certain mutual fund holdings. In the fourth quarter of 2012, United recognized a gain of $200,000 from the sale of a closed branch facility and a $144,000 gain on an equity investment in a community bank that was sold during the quarter.</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18"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The following table presents operating expenses for the fourth quarters of 2013 and 2012.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7 - Quarterly 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49"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49"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24,817</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and equipment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public relations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Postage, printing and supplies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Foreclosed property - foreclosure and carrying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Foreclosed property - writedowns, (gains) losses from sales,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FDIC assessments and other regulatory charges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120" w:type="dxa"/>
            <w:vAlign w:val="bottom"/>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50,726</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Operating expenses of $41.6 million decreased $9.11 million to $41.6 million, an 18% decrease from the fourth quarter of 2012, primarily due to lower foreclosed property costs and other expenses. Salaries and employee benefit costs of $24.8 million were up $1.23 million from the fourth quarter of 2012, due primarily to incentives paid for achieving strategic goals and financial targets. Communications and equipment expenses of $3.41 million were up $94,000, or 3%, to $3.41 million for the fourth quarter of 2013 compared to 2012 due to higher software and phone data circuits expense. Occupancy expense of $3.74 million was up $280,000 for the fourth quarter of 2013 compared to 2012, primarily due to a $400,000 write-off of leasehold improvements on a branch lease for a branch that was consolidated into another branch. Professional fees of $2.10 million decreased $583,000 to $2.10 million, due to lower legal fees. Foreclosed property - foreclosure and carrying costs of $626,000 decreased $797,000 from $1.42 million for the fourth quarter of 2012, due to a lower number of foreclosed properties held. Write-downs and net gains from sales of foreclosed property totaled a net gain of $435,000 for the fourth quarter of 2013, a decrease of $3.62 million, or 114%, also related to a lower volume of foreclosed property. FDIC assessments and other regulatory charges decreased from $2.51 million during the fourth quarter of 2012 to $1.80 million for the same period in 2013. Other expenses of $3.48 million were down $4.32 million from the fourth quarter of 2012. In the fourth quarter of 2012, United established a litigation reserve of $4.00 million for potential losses related to the Fletcher litigation.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assets at December 31, 2013 were $7.43 billion, an increase of $623 million, or 9%, from December 31, 2012. On a daily average basis, total assets increased $209 million, or 3%, from 2012 to 2013. Average interest earning assets for 2013 and 2012 were $6.65 billion and $6.55 billion,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Substantially all of United’s loans are to customers located in the immediate market areas of its community banks in Georgia, North Carolina, South Carolina and Tennessee, including customers who have a seasonal residence in United’s market areas. More than 80% of the loans are secured by real estate. Total loans averaged $4.25 billion in 2013, compared with $4.17 billion in 2012, an increase of 2%. At December 31, 2013, total loans, excluding loans acquired from SCB that are covered by loss sharing agreements with the FDIC, were $4.33 billion, an increase of $154 million, or 4%, from December 31,</w:t>
      </w:r>
    </w:p>
    <w:p>
      <w:pPr>
        <w:spacing w:after="0" w:line="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2012. Despite the weak economy and lagging loan demand, United has continued to pursue lending opportunities. The rate of decrease in the loan portfolio dropped significantly following the disposition of problem loans in the first quarter of 2011 and has continued to stabilize, resulting in the modest growth in 2012 and 2013. Residential mortgage loans increased primarily due to a successful home equity line promotion that has gained traction in United’s footprint and a new low closing cost mortgage product that began being offered in the first quarter of 2013. Consumer installment loans increases reflect purchases of indirect auto loans.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18"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United’s loan portfolio for the last five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 Loans Outstanding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by Category</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1,756,710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1,813,365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1,821,414</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1,761,424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1,779,398</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471,961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458,246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428,249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441,518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390,520</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148,903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164,155</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296,582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362,566</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commercial</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2,377,574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2,426,380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2,413,818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2,499,524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2,532,484</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1,315,964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1,214,203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1,134,902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1,278,780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1,427,198</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328,579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381,677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448,391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695,166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1,050,065</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112,503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141,729</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loans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4,329,266</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4,175,008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4,109,614</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4,604,126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5,151,476</w:t>
            </w:r>
          </w:p>
        </w:tc>
      </w:tr>
      <w:tr>
        <w:trPr>
          <w:trHeight w:val="365"/>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top w:val="single" w:sz="8" w:color="CCEEFF"/>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by Market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North Georgia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1,240,234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1,363,723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1,425,811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1,688,586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1,883,880</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Atlanta MSA</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1,275,139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1,249,470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1,219,652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1,310,222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1,435,223</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571,971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579,085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597,446</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701,798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771,709</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Coastal Georgia</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423,045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346,189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405,689</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Gainesville MSA</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254,655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264,567</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312,049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389,766</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Tennessee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279,587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282,863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255,949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256,451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265,209</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(Indirect Auto)</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loans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4,329,266</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4,175,008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4,109,614</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4,604,126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5,151,476</w:t>
            </w: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2013, United’s 25 largest credit relationships consisted of loans and loan commitments ranging from $10 million to $50 million, with an aggregate total credit exposure of $438 million, including $155 million in unfunded commitments, and $283 million in balances outstanding, excluding participations sold. United had only eight lending relationships whose total credit exposure exceeded $20 million of which only four relationships were in excess of $25 million.</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maturity distribution of commercial and construction loans, including the interest rate sensitivity for loans maturing after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Loan Portfolio Maturity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Rate Structure for Loans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Maturing Over One Year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One Year</w:t>
            </w:r>
          </w:p>
        </w:tc>
        <w:tc>
          <w:tcPr>
            <w:tcW w:w="120" w:type="dxa"/>
            <w:vAlign w:val="bottom"/>
          </w:tcPr>
          <w:p>
            <w:pPr>
              <w:spacing w:after="0"/>
              <w:rPr>
                <w:sz w:val="10"/>
                <w:szCs w:val="10"/>
                <w:color w:val="auto"/>
              </w:rPr>
            </w:pPr>
          </w:p>
        </w:tc>
        <w:tc>
          <w:tcPr>
            <w:tcW w:w="1040" w:type="dxa"/>
            <w:vAlign w:val="bottom"/>
            <w:gridSpan w:val="3"/>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One through</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Over Five</w:t>
            </w:r>
          </w:p>
        </w:tc>
        <w:tc>
          <w:tcPr>
            <w:tcW w:w="200" w:type="dxa"/>
            <w:vAlign w:val="bottom"/>
          </w:tcPr>
          <w:p>
            <w:pPr>
              <w:spacing w:after="0"/>
              <w:rPr>
                <w:sz w:val="10"/>
                <w:szCs w:val="10"/>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17"/>
              <w:spacing w:after="0" w:line="124" w:lineRule="exact"/>
              <w:rPr>
                <w:sz w:val="20"/>
                <w:szCs w:val="20"/>
                <w:color w:val="auto"/>
              </w:rPr>
            </w:pPr>
            <w:r>
              <w:rPr>
                <w:rFonts w:ascii="Times New Roman" w:cs="Times New Roman" w:eastAsia="Times New Roman" w:hAnsi="Times New Roman"/>
                <w:sz w:val="14"/>
                <w:szCs w:val="14"/>
                <w:b w:val="1"/>
                <w:bCs w:val="1"/>
                <w:color w:val="auto"/>
              </w:rPr>
              <w:t>Floating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(commercial and industrial)</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161,045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220,526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471,961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208,821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(commercial and residential)</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75,688</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477,482</w:t>
            </w:r>
          </w:p>
        </w:tc>
        <w:tc>
          <w:tcPr>
            <w:tcW w:w="16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185,220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368,298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166,078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949,443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394,041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of the community banks. Additional information on United’s credit administration function is included in Item 1 under the heading “Loan Review and Nonperforming Assets.”</w:t>
      </w:r>
    </w:p>
    <w:p>
      <w:pPr>
        <w:spacing w:after="0" w:line="2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United classifies performing loans as “substandard” when there is a well-defined weakness or weaknesses that jeopardizes the repayment by the borrower and there is a distinct possibility that United could sustain some loss if the deficiency is not corrected.</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United’s home equity lines, which are a component of the residential mortgage portfolio, generally require the payment of interest only for a set period after origination. After this initial period, the outstanding balance begins amortizing and requires the payment of both principal and interest. At December 31, 2013 and 2012, the funded portion of home equity loans totaled $441 million and $385 million, respectively. Approximately 3% of the home equity loans at December 31, 2013 were amortizing. Of the $441 million in balances outstanding at December 31, 2013, $280 million, or 63%, were first liens. At December 31, 2013, 60% of the total available home equity lines were drawn upon.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441" w:gutter="0" w:footer="0" w:header="0"/>
        </w:sectPr>
      </w:pPr>
    </w:p>
    <w:bookmarkStart w:id="45" w:name="page46"/>
    <w:bookmarkEnd w:id="45"/>
    <w:p>
      <w:pPr>
        <w:ind w:right="80"/>
        <w:spacing w:after="0" w:line="266" w:lineRule="auto"/>
        <w:rPr>
          <w:sz w:val="20"/>
          <w:szCs w:val="20"/>
          <w:color w:val="auto"/>
        </w:rPr>
      </w:pPr>
      <w:r>
        <w:rPr>
          <w:rFonts w:ascii="Times New Roman" w:cs="Times New Roman" w:eastAsia="Times New Roman" w:hAnsi="Times New Roman"/>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performing substandard loans for the last five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10 - Performing Substandard Loans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Category</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77,725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117,543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143,058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156,765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15,753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18,510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Total commercial</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104,072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177,321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264,277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51,989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76,442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71,955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158,770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172,703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261,941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328,469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512,147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489,612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Market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North Georgia</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69,510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105,851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134,945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212,992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Atlanta MSA</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99,453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40,302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Coastal Georgia</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24,985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Gainesville MSA</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17,338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Tennessee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11,446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loans</w:t>
            </w: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172,703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261,941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328,469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512,147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At December 31, 2013, performing substandard loans totaled $173 million and decreased $89.2 million from December 31, 2012. The decrease from 2012 reflects a general declining trend as well as the second quarter 2013 classified asset sales. Performing substandard loans had been on a downward trend as credit conditions have continued to improve and problem credits are resolved. Most of the decrease from a year ago occurred in United’s Atlanta, north Georgia and western North Carolina markets. Commercial (secured by real estate) and residential construction showed the most significant decreases.</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Reviews of substandard performing and non-performing loans, TDRs, past due loans and larger credits, are conducted on a regular basis and reported to management each quarter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United’s internal loan review, United also uses external loan review to ensure the independence of the loan review process.</w:t>
      </w:r>
    </w:p>
    <w:p>
      <w:pPr>
        <w:spacing w:after="0" w:line="215"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declining level of the allowance for loan losses compared to the previous periods reflects stabilizing trends in substandard loans, leading to an expectation that charge-off levels will continue to decline. Further, the declining balance of the allowance for loan losses over the last several quarters reflects an overall improving trend in the credit quality of the loan portfolio. A general improvement in economic conditions in United’s market also contributed to the lower level of provision and allowance for loan losses.</w:t>
      </w:r>
    </w:p>
    <w:p>
      <w:pPr>
        <w:spacing w:after="0" w:line="1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allocation of the allowance for credit losses is based on historical data, subjective judgment and estimates and, therefore, is not necessarily indicative of the specific amounts or loan categories in which charge-offs may ultimately occur. Due to the imprecise nature of the loss estimation process and the effects of changing conditions, these risk attributes may not be adequately captured in the data related to the formula-based loan loss components used to determine allocations in United’s analysis of the adequacy of the allowance for loan losses. Consequently, management believes that the unallocated allowance is appropriate to reflect probable incurred but unconfirmed losses in the loan portfolio not otherwise captured by the formula-based loan loss components.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The following table summarizes the allocation of the allowance for credit losses for each of the past five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11 - Allocation of Allowance for Credit Losses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2011</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2009</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$ 24,338</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27,847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31,644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31,191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19,208</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2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6,892</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commercial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37,325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38,771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26,100</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16,155</w:t>
            </w:r>
          </w:p>
        </w:tc>
        <w:tc>
          <w:tcPr>
            <w:tcW w:w="2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35,051</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36,476</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99,351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99,446</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20,974</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26,642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29,076</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22,305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17,266</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2,747</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3,030</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2,545</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9,467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76,762</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2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114,468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174,695</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155,602</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Allowance for unfunded commitments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78,927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114,468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174,695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155,602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Loan balance in each category, expressed as a percentage of total loans.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changes in the allowance for credit losses for each of the past five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12 - Allowance for Credit Losses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2010</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107,137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114,468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174,695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155,602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36,470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23,062</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59,468</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33,593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18,914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24,890</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10,837</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6,483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5,411</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55,730</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9,993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12,277</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17,262</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53,707</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28,806</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23,049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24,260</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118,916</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136,666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3,594</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4,828</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loans charged-off</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99,654</w:t>
            </w: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316,305</w:t>
            </w:r>
          </w:p>
        </w:tc>
        <w:tc>
          <w:tcPr>
            <w:tcW w:w="14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224,723</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Recoveries:</w:t>
            </w: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1,762</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1,678</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15,370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1,044</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1,219</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recoveries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5,078</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20,816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311,227</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203,907</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276,669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63,335</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251,000</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223,000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114,468</w:t>
            </w:r>
          </w:p>
        </w:tc>
        <w:tc>
          <w:tcPr>
            <w:tcW w:w="1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174,695</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155,602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unfunded commitments at beginning of period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unfunded commitments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unfunded commitments at end of period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78,927</w:t>
            </w:r>
          </w:p>
        </w:tc>
        <w:tc>
          <w:tcPr>
            <w:tcW w:w="2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114,468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174,695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155,602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Total loans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 year-end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4,329,266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4,175,008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4,109,614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4,604,126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4,228,235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4,123,530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4,244,305</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4,884,330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5,501,165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as a percentage of year-end loans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 percentage of average loans: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charge-offs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as a percentage of nonperforming loans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20" w:right="1260" w:hanging="5612"/>
        <w:spacing w:after="0" w:line="383" w:lineRule="auto"/>
        <w:tabs>
          <w:tab w:leader="none" w:pos="196"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Excludes loans acquired through the FDIC assisted acquisition of Southern Community Bank that are covered by loss sharing agreements.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32" w:gutter="0" w:footer="0" w:header="0"/>
        </w:sectPr>
      </w:pPr>
    </w:p>
    <w:bookmarkStart w:id="47" w:name="page48"/>
    <w:bookmarkEnd w:id="47"/>
    <w:p>
      <w:pPr>
        <w:ind w:right="60"/>
        <w:spacing w:after="0" w:line="261" w:lineRule="auto"/>
        <w:rPr>
          <w:sz w:val="20"/>
          <w:szCs w:val="20"/>
          <w:color w:val="auto"/>
        </w:rPr>
      </w:pPr>
      <w:r>
        <w:rPr>
          <w:rFonts w:ascii="Times New Roman" w:cs="Times New Roman" w:eastAsia="Times New Roman" w:hAnsi="Times New Roman"/>
          <w:sz w:val="18"/>
          <w:szCs w:val="18"/>
          <w:color w:val="auto"/>
        </w:rPr>
        <w:t>The allowance for credit losses, which includes a portion related to unfunded commitments, totaled $78.9 million at December 31, 2013 compared with $107 million at December 31, 2012. At December 31, 2013, the allowance for loan losses was $76.8 million, or 1.77% of total loans, compared with $107 million, or 2.57% of loans at December 31, 2012. The decrease in the allowance for credit losses is consistent with the overall improving trends in credit quality of the loan portfolio.</w:t>
      </w:r>
    </w:p>
    <w:p>
      <w:pPr>
        <w:spacing w:after="0" w:line="20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Management believes that the allowance for credit losses at December 31, 2013 reflects the probable incurred losses in the loan portfolio and unfunded loan commitments. This assessment involves uncertainty and judgment; therefore, the adequacy of the allowance for credit losses cannot be determined with precision and may be subject to change in future periods. The amount of any changes could be significant if management’s assessment of loan quality or collateral values changes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credit losses.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Nonperforming loans totaled $26.8 million at December 31, 2013, compared with $110 million at December 31, 2012. There were no accruing loans more than 90 days past due at December 31, 2013 and 2012. At December 31, 2013 and 2012, the ratio of nonperforming loans to total loans was .62% and 2.63%, respectively. Nonperforming loans have steadily decreased in dollar amount and as a percentage of total loans following the classification of United’s largest lending relationship in the third quarter of 2011. In addition, the second quarter of 2013 sales of classified assets, which included United’s largest lending relationship, further reduced nonperforming assets. Nonperforming assets, which include nonperforming loans and foreclosed properties, totaled $31.0 million at December 31, 2013, compared with $128 million at December 31, 2012. United sold $31.9 million and $40.8 million respectively, of foreclosed properties during 2013 and 2012, which lowered the balance of foreclosed properties by 77% compared to December 31, 2012.</w:t>
      </w:r>
    </w:p>
    <w:p>
      <w:pPr>
        <w:spacing w:after="0" w:line="21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or restructure. When a loan is placed on nonaccrual status, interest previously accrued but not collected is reversed against current interest revenue. Interest payments received on nonaccrual loans are applied to reduce outstanding principal.</w:t>
      </w:r>
    </w:p>
    <w:p>
      <w:pPr>
        <w:spacing w:after="0" w:line="20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There were no commitments to lend additional funds to customers whose loans were on nonaccrual status at December 31, 2013, although in certain isolated cases, United executed forbearance agreements whereby United will continue to fund construction loans to completion as long as the borrower meets the conditions of the forbearance agreement. United may also fund other amounts necessary to protect the Bank’s collateral such as amounts to pay past due property taxes and insurance coverage. The table below summarizes nonperforming assets at year-end for the last five years. It excludes assets acquired through the acquisition of SCB in 2009 that are covered by loss-sharing agreements with the FDIC. These assets have been excluded from the review of nonperforming assets, as the loss-sharing agreements with the FDIC and purchase price adjustments to reflect credit losses, effectively eliminate the likelihood of recognizing losses on the covered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13 - Nonperforming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 (NPLs)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26,819</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109,894</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127,479</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179,094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Foreclosed properties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32,859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120,770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nonperforming assets (NPAs)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128,158</w:t>
            </w: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160,338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321,302</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384,862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NPLs as a percentage of total loans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NPAs as a percentage of loans and foreclosed properties</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NPAs as a percentage of total assets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At December 31, 2013 and 2012 United had $87.0 million and $161 million, respectively, in loans with terms that have been modified in a TDR. Included therein were $8.25 million and $38.0 million, respectively, of TDRs that were not performing in accordance with their modified terms and were included in nonperforming loans. The remaining TDRs with an aggregate balance of $78.7 million and $123 million, respectively, were performing according to their modified terms and are therefore not considered to be nonperforming assets.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8" w:name="page49"/>
    <w:bookmarkEnd w:id="48"/>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At December 31, 2013 and 2012, there were $115 million and $253 million, respectively, of loans classified as impaired under the definition outlined in the Accounting Standards Codification including TDRs which are by definition considered impaired. Included in impaired loans at December 31, 2013 and 2012 were $38.9 million and $157 million, respectively, that did not require specific reserves or had previously been charged down to net realizable value. The balance of impaired loans at December 31, 2013 of $75.7 million had specific reserves that totaled $6.02 million and the balance of impaired loans at December 31, 2012 of $95.8 million had specific reserves that totaled $11.6 million. The average recorded investment in impaired loans for 2013, 2012 and 2011 was $115 million, $276 million and $127 million, respectively. During 2013, 2012 and 2011, United recognized $6.72 million, $9.53 million and $2.66 million in interest revenue on impaired loans. United’s policy is to discontinue the recognition of interest revenue for loans classified as impaired under ASC 310-10-35,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xml:space="preserve"> when a loan meets the criteria for nonaccrual status. Impaired loans decreased 55% from 2012 to 2013, primarily due to the second quarter 2013 classified asset sales.</w:t>
      </w:r>
    </w:p>
    <w:p>
      <w:pPr>
        <w:spacing w:after="0" w:line="21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nonperforming assets by category and market by quarter. Assets covered by the loss-sharing agreement with the FDIC related to the acquisition of SCB are not included in this 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14 - Nonperforming Assets by Quarter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December 31, 2013 </w:t>
            </w:r>
            <w:r>
              <w:rPr>
                <w:rFonts w:ascii="Times New Roman" w:cs="Times New Roman" w:eastAsia="Times New Roman" w:hAnsi="Times New Roman"/>
                <w:sz w:val="8"/>
                <w:szCs w:val="8"/>
                <w:color w:val="auto"/>
              </w:rPr>
              <w:t>(1)</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September 30, 2013 </w:t>
            </w:r>
            <w:r>
              <w:rPr>
                <w:rFonts w:ascii="Times New Roman" w:cs="Times New Roman" w:eastAsia="Times New Roman" w:hAnsi="Times New Roman"/>
                <w:sz w:val="8"/>
                <w:szCs w:val="8"/>
                <w:color w:val="auto"/>
              </w:rPr>
              <w:t>(1)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 xml:space="preserve">June 30, 2013 </w:t>
            </w:r>
            <w:r>
              <w:rPr>
                <w:rFonts w:ascii="Times New Roman" w:cs="Times New Roman" w:eastAsia="Times New Roman" w:hAnsi="Times New Roman"/>
                <w:sz w:val="8"/>
                <w:szCs w:val="8"/>
                <w:color w:val="auto"/>
                <w:w w:val="99"/>
              </w:rPr>
              <w:t>(1)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 xml:space="preserve">March 31, 2013 </w:t>
            </w:r>
            <w:r>
              <w:rPr>
                <w:rFonts w:ascii="Times New Roman" w:cs="Times New Roman" w:eastAsia="Times New Roman" w:hAnsi="Times New Roman"/>
                <w:sz w:val="8"/>
                <w:szCs w:val="8"/>
                <w:color w:val="auto"/>
              </w:rPr>
              <w:t>(1)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4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78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Foreclosed</w:t>
            </w:r>
          </w:p>
        </w:tc>
        <w:tc>
          <w:tcPr>
            <w:tcW w:w="100" w:type="dxa"/>
            <w:vAlign w:val="bottom"/>
          </w:tcPr>
          <w:p>
            <w:pPr>
              <w:spacing w:after="0"/>
              <w:rPr>
                <w:sz w:val="9"/>
                <w:szCs w:val="9"/>
                <w:color w:val="auto"/>
              </w:rPr>
            </w:pPr>
          </w:p>
        </w:tc>
        <w:tc>
          <w:tcPr>
            <w:tcW w:w="46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9"/>
                <w:szCs w:val="9"/>
                <w:color w:val="auto"/>
              </w:rPr>
            </w:pPr>
          </w:p>
        </w:tc>
        <w:tc>
          <w:tcPr>
            <w:tcW w:w="84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78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Foreclosed</w:t>
            </w:r>
          </w:p>
        </w:tc>
        <w:tc>
          <w:tcPr>
            <w:tcW w:w="100" w:type="dxa"/>
            <w:vAlign w:val="bottom"/>
          </w:tcPr>
          <w:p>
            <w:pPr>
              <w:spacing w:after="0"/>
              <w:rPr>
                <w:sz w:val="9"/>
                <w:szCs w:val="9"/>
                <w:color w:val="auto"/>
              </w:rPr>
            </w:pPr>
          </w:p>
        </w:tc>
        <w:tc>
          <w:tcPr>
            <w:tcW w:w="46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9"/>
                <w:szCs w:val="9"/>
                <w:color w:val="auto"/>
              </w:rPr>
            </w:pPr>
          </w:p>
        </w:tc>
        <w:tc>
          <w:tcPr>
            <w:tcW w:w="84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78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Foreclosed</w:t>
            </w:r>
          </w:p>
        </w:tc>
        <w:tc>
          <w:tcPr>
            <w:tcW w:w="100" w:type="dxa"/>
            <w:vAlign w:val="bottom"/>
          </w:tcPr>
          <w:p>
            <w:pPr>
              <w:spacing w:after="0"/>
              <w:rPr>
                <w:sz w:val="9"/>
                <w:szCs w:val="9"/>
                <w:color w:val="auto"/>
              </w:rPr>
            </w:pPr>
          </w:p>
        </w:tc>
        <w:tc>
          <w:tcPr>
            <w:tcW w:w="46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9"/>
                <w:szCs w:val="9"/>
                <w:color w:val="auto"/>
              </w:rPr>
            </w:pPr>
          </w:p>
        </w:tc>
        <w:tc>
          <w:tcPr>
            <w:tcW w:w="84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78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Foreclosed</w:t>
            </w:r>
          </w:p>
        </w:tc>
        <w:tc>
          <w:tcPr>
            <w:tcW w:w="100" w:type="dxa"/>
            <w:vAlign w:val="bottom"/>
          </w:tcPr>
          <w:p>
            <w:pPr>
              <w:spacing w:after="0"/>
              <w:rPr>
                <w:sz w:val="9"/>
                <w:szCs w:val="9"/>
                <w:color w:val="auto"/>
              </w:rPr>
            </w:pPr>
          </w:p>
        </w:tc>
        <w:tc>
          <w:tcPr>
            <w:tcW w:w="46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NPAs</w:t>
            </w:r>
          </w:p>
        </w:tc>
        <w:tc>
          <w:tcPr>
            <w:tcW w:w="1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NPAs</w:t>
            </w:r>
          </w:p>
        </w:tc>
        <w:tc>
          <w:tcPr>
            <w:tcW w:w="120" w:type="dxa"/>
            <w:vAlign w:val="bottom"/>
          </w:tcPr>
          <w:p>
            <w:pPr>
              <w:spacing w:after="0"/>
              <w:rPr>
                <w:sz w:val="14"/>
                <w:szCs w:val="14"/>
                <w:color w:val="auto"/>
              </w:rPr>
            </w:pPr>
          </w:p>
        </w:tc>
        <w:tc>
          <w:tcPr>
            <w:tcW w:w="720" w:type="dxa"/>
            <w:vAlign w:val="bottom"/>
            <w:gridSpan w:val="2"/>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NPAs</w:t>
            </w:r>
          </w:p>
        </w:tc>
        <w:tc>
          <w:tcPr>
            <w:tcW w:w="1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NPAs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BY CATEGORY</w:t>
            </w: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Commercial (sec. by RE)</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8,340</w:t>
            </w:r>
          </w:p>
        </w:tc>
        <w:tc>
          <w:tcPr>
            <w:tcW w:w="22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832</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9,172</w:t>
            </w: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8,015</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730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8,745</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7,237</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547</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7,784</w:t>
            </w: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17,304</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5,584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22,888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Commercial &amp; industrial</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427</w:t>
            </w: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427</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609</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609</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548</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548</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29,545</w:t>
            </w: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29,545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Commercial construction</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343</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376</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719</w:t>
            </w:r>
          </w:p>
        </w:tc>
        <w:tc>
          <w:tcPr>
            <w:tcW w:w="120" w:type="dxa"/>
            <w:vAlign w:val="bottom"/>
          </w:tcPr>
          <w:p>
            <w:pPr>
              <w:spacing w:after="0"/>
              <w:rPr>
                <w:sz w:val="11"/>
                <w:szCs w:val="11"/>
                <w:color w:val="auto"/>
              </w:rPr>
            </w:pP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504</w:t>
            </w: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376</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880</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22,359</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3,027</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25,386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Total commercial</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9,128</w:t>
            </w: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9,960</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8,967</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1,106</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10,073</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8,289</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923</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9,212</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69,208</w:t>
            </w: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8,611</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77,819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Residential mortgage</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3,073</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16,251</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12,504</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2,154</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14,658</w:t>
            </w:r>
          </w:p>
        </w:tc>
        <w:tc>
          <w:tcPr>
            <w:tcW w:w="120" w:type="dxa"/>
            <w:vAlign w:val="bottom"/>
          </w:tcPr>
          <w:p>
            <w:pPr>
              <w:spacing w:after="0"/>
              <w:rPr>
                <w:sz w:val="11"/>
                <w:szCs w:val="11"/>
                <w:color w:val="auto"/>
              </w:rPr>
            </w:pP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14,338</w:t>
            </w: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1,443</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15,781</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11,817</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3,463</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15,280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Residential construction</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4,264</w:t>
            </w: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316</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4,580</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4,097</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1,207</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5,304</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4,838</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1,570</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6,408</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14,592</w:t>
            </w: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4,660</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19,252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Consumer installment</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249</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520</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520</w:t>
            </w:r>
          </w:p>
        </w:tc>
        <w:tc>
          <w:tcPr>
            <w:tcW w:w="120" w:type="dxa"/>
            <w:vAlign w:val="bottom"/>
          </w:tcPr>
          <w:p>
            <w:pPr>
              <w:spacing w:after="0"/>
              <w:rPr>
                <w:sz w:val="11"/>
                <w:szCs w:val="11"/>
                <w:color w:val="auto"/>
              </w:rPr>
            </w:pP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399</w:t>
            </w: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399</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389</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Borders>
              <w:right w:val="single" w:sz="8" w:color="CCEEFF"/>
            </w:tcBorders>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Total NPAs</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26,819</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4,221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31,040</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26,088</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4,467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30,555</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27,864</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3,936</w:t>
            </w:r>
          </w:p>
        </w:tc>
        <w:tc>
          <w:tcPr>
            <w:tcW w:w="1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31,800</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96,006</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16,734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112,740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tcBorders>
              <w:top w:val="single" w:sz="8" w:color="CCEEFF"/>
            </w:tcBorders>
          </w:tcPr>
          <w:p>
            <w:pPr>
              <w:ind w:left="140"/>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 % of Unpaid</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94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44.5%</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61.4%</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61.6%</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57.6%</w:t>
            </w:r>
          </w:p>
        </w:tc>
        <w:tc>
          <w:tcPr>
            <w:tcW w:w="120" w:type="dxa"/>
            <w:vAlign w:val="bottom"/>
          </w:tcPr>
          <w:p>
            <w:pPr>
              <w:spacing w:after="0"/>
              <w:rPr>
                <w:sz w:val="13"/>
                <w:szCs w:val="13"/>
                <w:color w:val="auto"/>
              </w:rPr>
            </w:pPr>
          </w:p>
        </w:tc>
        <w:tc>
          <w:tcPr>
            <w:tcW w:w="72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62.6%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66.3%</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9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BY MARKET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North Georgia</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12,352</w:t>
            </w: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2,494</w:t>
            </w:r>
          </w:p>
        </w:tc>
        <w:tc>
          <w:tcPr>
            <w:tcW w:w="1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14,846</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13,652</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15,378</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12,830</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1,617</w:t>
            </w:r>
          </w:p>
        </w:tc>
        <w:tc>
          <w:tcPr>
            <w:tcW w:w="1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14,447</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63,210</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6,616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69,826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Atlanta MSA</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2,830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684</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3,514</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3,096</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1,026</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4,122</w:t>
            </w:r>
          </w:p>
        </w:tc>
        <w:tc>
          <w:tcPr>
            <w:tcW w:w="120" w:type="dxa"/>
            <w:vAlign w:val="bottom"/>
          </w:tcPr>
          <w:p>
            <w:pPr>
              <w:spacing w:after="0"/>
              <w:rPr>
                <w:sz w:val="11"/>
                <w:szCs w:val="11"/>
                <w:color w:val="auto"/>
              </w:rPr>
            </w:pP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3,803</w:t>
            </w: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1,197</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17,380</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3,524</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20,904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North Carolina</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6,567</w:t>
            </w: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683</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7,250</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5,680</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762</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6,442</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6,512</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295</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6,807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8,519</w:t>
            </w: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2,533</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11,052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Coastal Georgia</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2,342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2,515</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995</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928</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1,923</w:t>
            </w:r>
          </w:p>
        </w:tc>
        <w:tc>
          <w:tcPr>
            <w:tcW w:w="120" w:type="dxa"/>
            <w:vAlign w:val="bottom"/>
          </w:tcPr>
          <w:p>
            <w:pPr>
              <w:spacing w:after="0"/>
              <w:rPr>
                <w:sz w:val="11"/>
                <w:szCs w:val="11"/>
                <w:color w:val="auto"/>
              </w:rPr>
            </w:pP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2,588</w:t>
            </w: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627</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3,215</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3,523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1,449</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4,972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Gainesville MSA</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928</w:t>
            </w: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928</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1,036</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1,036</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1,008</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1,008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911</w:t>
            </w: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370</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East Tennessee</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1,987</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1,629</w:t>
            </w:r>
          </w:p>
        </w:tc>
        <w:tc>
          <w:tcPr>
            <w:tcW w:w="1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1,654</w:t>
            </w:r>
          </w:p>
        </w:tc>
        <w:tc>
          <w:tcPr>
            <w:tcW w:w="120" w:type="dxa"/>
            <w:vAlign w:val="bottom"/>
          </w:tcPr>
          <w:p>
            <w:pPr>
              <w:spacing w:after="0"/>
              <w:rPr>
                <w:sz w:val="11"/>
                <w:szCs w:val="11"/>
                <w:color w:val="auto"/>
              </w:rPr>
            </w:pP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1,123</w:t>
            </w: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1,323</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2,242</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4,705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South Carolina</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Total NPAs</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26,819</w:t>
            </w:r>
          </w:p>
        </w:tc>
        <w:tc>
          <w:tcPr>
            <w:tcW w:w="22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4,221</w:t>
            </w:r>
          </w:p>
        </w:tc>
        <w:tc>
          <w:tcPr>
            <w:tcW w:w="20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31,040</w:t>
            </w: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26,088</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4,467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30,555</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27,864</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3,936</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31,800</w:t>
            </w: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96,006</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16,734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112,740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December 31, 2012 </w:t>
            </w:r>
            <w:r>
              <w:rPr>
                <w:rFonts w:ascii="Times New Roman" w:cs="Times New Roman" w:eastAsia="Times New Roman" w:hAnsi="Times New Roman"/>
                <w:sz w:val="8"/>
                <w:szCs w:val="8"/>
                <w:color w:val="auto"/>
              </w:rPr>
              <w:t>(1)</w:t>
            </w:r>
          </w:p>
        </w:tc>
        <w:tc>
          <w:tcPr>
            <w:tcW w:w="4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September 30, 2012 </w:t>
            </w:r>
            <w:r>
              <w:rPr>
                <w:rFonts w:ascii="Times New Roman" w:cs="Times New Roman" w:eastAsia="Times New Roman" w:hAnsi="Times New Roman"/>
                <w:sz w:val="8"/>
                <w:szCs w:val="8"/>
                <w:color w:val="auto"/>
              </w:rPr>
              <w:t>(1)</w:t>
            </w:r>
          </w:p>
        </w:tc>
        <w:tc>
          <w:tcPr>
            <w:tcW w:w="46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 xml:space="preserve">June 30, 2012 </w:t>
            </w:r>
            <w:r>
              <w:rPr>
                <w:rFonts w:ascii="Times New Roman" w:cs="Times New Roman" w:eastAsia="Times New Roman" w:hAnsi="Times New Roman"/>
                <w:sz w:val="8"/>
                <w:szCs w:val="8"/>
                <w:color w:val="auto"/>
                <w:w w:val="99"/>
              </w:rPr>
              <w:t>(1)</w:t>
            </w: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 xml:space="preserve">March 31, 2012 </w:t>
            </w:r>
            <w:r>
              <w:rPr>
                <w:rFonts w:ascii="Times New Roman" w:cs="Times New Roman" w:eastAsia="Times New Roman" w:hAnsi="Times New Roman"/>
                <w:sz w:val="8"/>
                <w:szCs w:val="8"/>
                <w:color w:val="auto"/>
              </w:rPr>
              <w:t>(1)</w:t>
            </w: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4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78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Foreclosed</w:t>
            </w:r>
          </w:p>
        </w:tc>
        <w:tc>
          <w:tcPr>
            <w:tcW w:w="100" w:type="dxa"/>
            <w:vAlign w:val="bottom"/>
          </w:tcPr>
          <w:p>
            <w:pPr>
              <w:spacing w:after="0"/>
              <w:rPr>
                <w:sz w:val="9"/>
                <w:szCs w:val="9"/>
                <w:color w:val="auto"/>
              </w:rPr>
            </w:pPr>
          </w:p>
        </w:tc>
        <w:tc>
          <w:tcPr>
            <w:tcW w:w="46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9"/>
                <w:szCs w:val="9"/>
                <w:color w:val="auto"/>
              </w:rPr>
            </w:pPr>
          </w:p>
        </w:tc>
        <w:tc>
          <w:tcPr>
            <w:tcW w:w="84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78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Foreclosed</w:t>
            </w:r>
          </w:p>
        </w:tc>
        <w:tc>
          <w:tcPr>
            <w:tcW w:w="100" w:type="dxa"/>
            <w:vAlign w:val="bottom"/>
          </w:tcPr>
          <w:p>
            <w:pPr>
              <w:spacing w:after="0"/>
              <w:rPr>
                <w:sz w:val="9"/>
                <w:szCs w:val="9"/>
                <w:color w:val="auto"/>
              </w:rPr>
            </w:pPr>
          </w:p>
        </w:tc>
        <w:tc>
          <w:tcPr>
            <w:tcW w:w="46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9"/>
                <w:szCs w:val="9"/>
                <w:color w:val="auto"/>
              </w:rPr>
            </w:pPr>
          </w:p>
        </w:tc>
        <w:tc>
          <w:tcPr>
            <w:tcW w:w="84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78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Foreclosed</w:t>
            </w:r>
          </w:p>
        </w:tc>
        <w:tc>
          <w:tcPr>
            <w:tcW w:w="100" w:type="dxa"/>
            <w:vAlign w:val="bottom"/>
          </w:tcPr>
          <w:p>
            <w:pPr>
              <w:spacing w:after="0"/>
              <w:rPr>
                <w:sz w:val="9"/>
                <w:szCs w:val="9"/>
                <w:color w:val="auto"/>
              </w:rPr>
            </w:pPr>
          </w:p>
        </w:tc>
        <w:tc>
          <w:tcPr>
            <w:tcW w:w="46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9"/>
                <w:szCs w:val="9"/>
                <w:color w:val="auto"/>
              </w:rPr>
            </w:pPr>
          </w:p>
        </w:tc>
        <w:tc>
          <w:tcPr>
            <w:tcW w:w="84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78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Foreclosed</w:t>
            </w:r>
          </w:p>
        </w:tc>
        <w:tc>
          <w:tcPr>
            <w:tcW w:w="100" w:type="dxa"/>
            <w:vAlign w:val="bottom"/>
          </w:tcPr>
          <w:p>
            <w:pPr>
              <w:spacing w:after="0"/>
              <w:rPr>
                <w:sz w:val="9"/>
                <w:szCs w:val="9"/>
                <w:color w:val="auto"/>
              </w:rPr>
            </w:pPr>
          </w:p>
        </w:tc>
        <w:tc>
          <w:tcPr>
            <w:tcW w:w="46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NPAs</w:t>
            </w:r>
          </w:p>
        </w:tc>
        <w:tc>
          <w:tcPr>
            <w:tcW w:w="1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NPAs</w:t>
            </w:r>
          </w:p>
        </w:tc>
        <w:tc>
          <w:tcPr>
            <w:tcW w:w="120" w:type="dxa"/>
            <w:vAlign w:val="bottom"/>
          </w:tcPr>
          <w:p>
            <w:pPr>
              <w:spacing w:after="0"/>
              <w:rPr>
                <w:sz w:val="14"/>
                <w:szCs w:val="14"/>
                <w:color w:val="auto"/>
              </w:rPr>
            </w:pPr>
          </w:p>
        </w:tc>
        <w:tc>
          <w:tcPr>
            <w:tcW w:w="720" w:type="dxa"/>
            <w:vAlign w:val="bottom"/>
            <w:gridSpan w:val="2"/>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NPAs</w:t>
            </w:r>
          </w:p>
        </w:tc>
        <w:tc>
          <w:tcPr>
            <w:tcW w:w="1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NPAs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BY CATEGORY</w:t>
            </w: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Commercial (sec. by RE)</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22,148</w:t>
            </w:r>
          </w:p>
        </w:tc>
        <w:tc>
          <w:tcPr>
            <w:tcW w:w="22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5,479</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27,627</w:t>
            </w: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25,896</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8,767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34,663</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19,115</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10,586</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29,701</w:t>
            </w: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26,081</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10,808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36,889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Commercial &amp; industrial</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31,817</w:t>
            </w: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31,817</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32,678</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32,678</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34,982</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34,982</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36,314</w:t>
            </w: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36,314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Commercial construction</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23,843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2,204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26,047</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18,590</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3,121</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21,711</w:t>
            </w:r>
          </w:p>
        </w:tc>
        <w:tc>
          <w:tcPr>
            <w:tcW w:w="120" w:type="dxa"/>
            <w:vAlign w:val="bottom"/>
          </w:tcPr>
          <w:p>
            <w:pPr>
              <w:spacing w:after="0"/>
              <w:rPr>
                <w:sz w:val="11"/>
                <w:szCs w:val="11"/>
                <w:color w:val="auto"/>
              </w:rPr>
            </w:pP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18,175</w:t>
            </w: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2,732</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20,907</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23,319</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3,266</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26,585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Total commercial</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77,808</w:t>
            </w: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7,683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85,491</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77,164</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11,888</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89,052</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72,272</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13,318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85,590</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85,714</w:t>
            </w: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14,074</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99,788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Residential mortgage</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12,589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4,753</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17,342</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13,996</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6,031</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20,027</w:t>
            </w:r>
          </w:p>
        </w:tc>
        <w:tc>
          <w:tcPr>
            <w:tcW w:w="120" w:type="dxa"/>
            <w:vAlign w:val="bottom"/>
          </w:tcPr>
          <w:p>
            <w:pPr>
              <w:spacing w:after="0"/>
              <w:rPr>
                <w:sz w:val="11"/>
                <w:szCs w:val="11"/>
                <w:color w:val="auto"/>
              </w:rPr>
            </w:pP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16,631</w:t>
            </w: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5,591</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22,222</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18,741</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5,882</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24,623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Residential construction</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18,702</w:t>
            </w: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5,828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24,530</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22,935</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9,039</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31,974</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25,530</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11,512</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37,042</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24,341</w:t>
            </w: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11,931</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36,272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Consumer installment</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795</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906</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906</w:t>
            </w:r>
          </w:p>
        </w:tc>
        <w:tc>
          <w:tcPr>
            <w:tcW w:w="120" w:type="dxa"/>
            <w:vAlign w:val="bottom"/>
          </w:tcPr>
          <w:p>
            <w:pPr>
              <w:spacing w:after="0"/>
              <w:rPr>
                <w:sz w:val="11"/>
                <w:szCs w:val="11"/>
                <w:color w:val="auto"/>
              </w:rPr>
            </w:pP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908</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Borders>
              <w:right w:val="single" w:sz="8" w:color="CCEEFF"/>
            </w:tcBorders>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Total NPAs</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109,894</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18,264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128,158</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115,001</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26,958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141,959</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115,340</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30,421</w:t>
            </w:r>
          </w:p>
        </w:tc>
        <w:tc>
          <w:tcPr>
            <w:tcW w:w="1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145,761</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129,704</w:t>
            </w:r>
          </w:p>
        </w:tc>
        <w:tc>
          <w:tcPr>
            <w:tcW w:w="2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31,887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161,591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tcBorders>
              <w:top w:val="single" w:sz="8" w:color="CCEEFF"/>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 percentage of unpaid</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69.5%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62.8%</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68.8%</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58.8%</w:t>
            </w:r>
          </w:p>
        </w:tc>
        <w:tc>
          <w:tcPr>
            <w:tcW w:w="120" w:type="dxa"/>
            <w:vAlign w:val="bottom"/>
          </w:tcPr>
          <w:p>
            <w:pPr>
              <w:spacing w:after="0"/>
              <w:rPr>
                <w:sz w:val="13"/>
                <w:szCs w:val="13"/>
                <w:color w:val="auto"/>
              </w:rPr>
            </w:pPr>
          </w:p>
        </w:tc>
        <w:tc>
          <w:tcPr>
            <w:tcW w:w="72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68.8%</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59.4%</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70.6%</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9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BY MARKET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North Georgia</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69,950</w:t>
            </w: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8,219</w:t>
            </w:r>
          </w:p>
        </w:tc>
        <w:tc>
          <w:tcPr>
            <w:tcW w:w="1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78,169</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72,211</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14,582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86,793</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77,332</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13,546</w:t>
            </w:r>
          </w:p>
        </w:tc>
        <w:tc>
          <w:tcPr>
            <w:tcW w:w="1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90,878</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81,117</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14,559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95,676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Atlanta MSA</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18,556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3,442</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21,998</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21,349</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5,926</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27,275</w:t>
            </w:r>
          </w:p>
        </w:tc>
        <w:tc>
          <w:tcPr>
            <w:tcW w:w="120" w:type="dxa"/>
            <w:vAlign w:val="bottom"/>
          </w:tcPr>
          <w:p>
            <w:pPr>
              <w:spacing w:after="0"/>
              <w:rPr>
                <w:sz w:val="11"/>
                <w:szCs w:val="11"/>
                <w:color w:val="auto"/>
              </w:rPr>
            </w:pP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17,593</w:t>
            </w: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8,651</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26,244</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22,321</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7,647</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29,968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North Carolina</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11,014</w:t>
            </w: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2,579</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13,593</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9,622</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2,771</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12,393</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10,657</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3,287</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13,944</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15,765</w:t>
            </w: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4,650</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20,415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Coastal Georgia</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3,810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1,609</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5,419</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6,822</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864</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7,686</w:t>
            </w:r>
          </w:p>
        </w:tc>
        <w:tc>
          <w:tcPr>
            <w:tcW w:w="120" w:type="dxa"/>
            <w:vAlign w:val="bottom"/>
          </w:tcPr>
          <w:p>
            <w:pPr>
              <w:spacing w:after="0"/>
              <w:rPr>
                <w:sz w:val="11"/>
                <w:szCs w:val="11"/>
                <w:color w:val="auto"/>
              </w:rPr>
            </w:pP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5,822</w:t>
            </w: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785</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6,607</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5,622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1,268</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6,890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Gainesville MSA</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903</w:t>
            </w: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556</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1,459</w:t>
            </w: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840</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1,328</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2,168</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991</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2,998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3,989</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2,210</w:t>
            </w: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3,387</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5,597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East Tennessee</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5,661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7,520</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4,157</w:t>
            </w: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1,487</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5,644</w:t>
            </w:r>
          </w:p>
        </w:tc>
        <w:tc>
          <w:tcPr>
            <w:tcW w:w="120" w:type="dxa"/>
            <w:vAlign w:val="bottom"/>
          </w:tcPr>
          <w:p>
            <w:pPr>
              <w:spacing w:after="0"/>
              <w:rPr>
                <w:sz w:val="11"/>
                <w:szCs w:val="11"/>
                <w:color w:val="auto"/>
              </w:rPr>
            </w:pPr>
          </w:p>
        </w:tc>
        <w:tc>
          <w:tcPr>
            <w:tcW w:w="7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2,945</w:t>
            </w:r>
          </w:p>
        </w:tc>
        <w:tc>
          <w:tcPr>
            <w:tcW w:w="14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1,154</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4,099</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376</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NPAs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109,894</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128,158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115,001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26,958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141,959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115,340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30,421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145,761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129,704</w:t>
            </w: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31,887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161,591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480" w:firstLine="8"/>
        <w:spacing w:after="0" w:line="313" w:lineRule="auto"/>
        <w:tabs>
          <w:tab w:leader="none" w:pos="148"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7"/>
          <w:szCs w:val="17"/>
          <w:color w:val="auto"/>
        </w:rPr>
        <w:t>Excludes non-performing loans and foreclosed properties covered by the loss-sharing agreement with the FDIC, related to the acquisition of Southern Community Bank.</w:t>
      </w:r>
    </w:p>
    <w:p>
      <w:pPr>
        <w:spacing w:after="0" w:line="1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second quarter of 2013, United executed a plan to accelerate the disposition of classified assets including performing classified loans, nonperforming loans and foreclosed properties. The purpose of the accelerated classified asset disposition plan was to clean up legacy credit problems remaining from the recent financial crisis and to accelerate the improvement of United’s credit measures toward pre-crisis levels. The classified asset sales included individual note and foreclosed property sales and a large bulk sale of classified assets to a single investor. The bulk sale included performing and nonperforming classified loans and foreclosed properties. The assets were divided into four separate pools that were bid for separately by potential buyers. A single purchaser was the high bidder for each of the four pools.</w:t>
      </w:r>
    </w:p>
    <w:p>
      <w:pPr>
        <w:spacing w:after="0" w:line="21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Nonperforming assets in the residential construction category were $4.58 million at December 31, 2013, compared to $24.5 million at December 31, 2012, a decrease of $20.0 million, or 81%. Commercial nonperforming assets decreased from $85.5 million at December 31, 2012 to $9.96 million at December 31, 2013. Residential mortgage nonperforming assets of $16.3 million decreased $1.09 million from $17.3 million at December 31, 2012. Decreases in all categories reflect improving credit trends and the classified asset sales in the second quarter.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954"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The following table summarizes activity in nonperforming assets by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15 - Activity in Nonperforming Assets by 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 xml:space="preserve">2013 </w:t>
            </w:r>
            <w:r>
              <w:rPr>
                <w:rFonts w:ascii="Times New Roman" w:cs="Times New Roman" w:eastAsia="Times New Roman" w:hAnsi="Times New Roman"/>
                <w:sz w:val="10"/>
                <w:szCs w:val="10"/>
                <w:color w:val="auto"/>
              </w:rPr>
              <w:t>(1)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 xml:space="preserve">2012 </w:t>
            </w:r>
            <w:r>
              <w:rPr>
                <w:rFonts w:ascii="Times New Roman" w:cs="Times New Roman" w:eastAsia="Times New Roman" w:hAnsi="Times New Roman"/>
                <w:sz w:val="10"/>
                <w:szCs w:val="10"/>
                <w:color w:val="auto"/>
              </w:rPr>
              <w:t>(1)</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 xml:space="preserve">2011 </w:t>
            </w:r>
            <w:r>
              <w:rPr>
                <w:rFonts w:ascii="Times New Roman" w:cs="Times New Roman" w:eastAsia="Times New Roman" w:hAnsi="Times New Roman"/>
                <w:sz w:val="10"/>
                <w:szCs w:val="10"/>
                <w:color w:val="auto"/>
                <w:w w:val="98"/>
              </w:rPr>
              <w:t>(1)(3)</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24"/>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Nonaccrual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Foreclosed</w:t>
            </w:r>
          </w:p>
        </w:tc>
        <w:tc>
          <w:tcPr>
            <w:tcW w:w="140" w:type="dxa"/>
            <w:vAlign w:val="bottom"/>
          </w:tcPr>
          <w:p>
            <w:pPr>
              <w:spacing w:after="0"/>
              <w:rPr>
                <w:sz w:val="10"/>
                <w:szCs w:val="10"/>
                <w:color w:val="auto"/>
              </w:rPr>
            </w:pPr>
          </w:p>
        </w:tc>
        <w:tc>
          <w:tcPr>
            <w:tcW w:w="680" w:type="dxa"/>
            <w:vAlign w:val="bottom"/>
          </w:tcPr>
          <w:p>
            <w:pPr>
              <w:jc w:val="right"/>
              <w:ind w:right="18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Nonaccrual</w:t>
            </w: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Foreclosed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20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4"/>
                <w:szCs w:val="14"/>
                <w:b w:val="1"/>
                <w:bCs w:val="1"/>
                <w:color w:val="auto"/>
                <w:w w:val="98"/>
              </w:rPr>
              <w:t>Nonaccrual</w:t>
            </w:r>
          </w:p>
        </w:tc>
        <w:tc>
          <w:tcPr>
            <w:tcW w:w="100" w:type="dxa"/>
            <w:vAlign w:val="bottom"/>
          </w:tcPr>
          <w:p>
            <w:pPr>
              <w:spacing w:after="0"/>
              <w:rPr>
                <w:sz w:val="10"/>
                <w:szCs w:val="10"/>
                <w:color w:val="auto"/>
              </w:rPr>
            </w:pPr>
          </w:p>
        </w:tc>
        <w:tc>
          <w:tcPr>
            <w:tcW w:w="98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Foreclosed</w:t>
            </w:r>
          </w:p>
        </w:tc>
        <w:tc>
          <w:tcPr>
            <w:tcW w:w="180" w:type="dxa"/>
            <w:vAlign w:val="bottom"/>
          </w:tcPr>
          <w:p>
            <w:pPr>
              <w:spacing w:after="0"/>
              <w:rPr>
                <w:sz w:val="10"/>
                <w:szCs w:val="10"/>
                <w:color w:val="auto"/>
              </w:rPr>
            </w:pPr>
          </w:p>
        </w:tc>
        <w:tc>
          <w:tcPr>
            <w:tcW w:w="700" w:type="dxa"/>
            <w:vAlign w:val="bottom"/>
          </w:tcPr>
          <w:p>
            <w:pPr>
              <w:jc w:val="right"/>
              <w:ind w:right="20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NPAs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NPAs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NPAs</w:t>
            </w:r>
          </w:p>
        </w:tc>
        <w:tc>
          <w:tcPr>
            <w:tcW w:w="10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109,894</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18,264</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128,158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127,479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32,859</w:t>
            </w:r>
          </w:p>
        </w:tc>
        <w:tc>
          <w:tcPr>
            <w:tcW w:w="2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160,338</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179,094</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142,208</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321,302</w:t>
            </w: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Loans placed on non-accrual </w:t>
            </w:r>
            <w:r>
              <w:rPr>
                <w:rFonts w:ascii="Times New Roman" w:cs="Times New Roman" w:eastAsia="Times New Roman" w:hAnsi="Times New Roman"/>
                <w:sz w:val="10"/>
                <w:szCs w:val="10"/>
                <w:color w:val="auto"/>
              </w:rPr>
              <w:t>(2)</w:t>
            </w:r>
          </w:p>
        </w:tc>
        <w:tc>
          <w:tcPr>
            <w:tcW w:w="1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43,867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43,867</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112,547</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112,547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239,681</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239,681</w:t>
            </w: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received</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(60,035)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(60,035)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(31,076)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(31,076)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(17,131)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(17,131)</w:t>
            </w: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 charge-offs</w:t>
            </w: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(44,444)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(44,444)</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(65,064)</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(65,064)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(122,949)</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(122,949)</w:t>
            </w: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Foreclosures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22,463</w:t>
            </w:r>
          </w:p>
        </w:tc>
        <w:tc>
          <w:tcPr>
            <w:tcW w:w="14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(33,992)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33,992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(65,732)</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65,732</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Capitalized costs</w:t>
            </w:r>
          </w:p>
        </w:tc>
        <w:tc>
          <w:tcPr>
            <w:tcW w:w="1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1,249</w:t>
            </w: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sales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(31,916)</w:t>
            </w:r>
          </w:p>
        </w:tc>
        <w:tc>
          <w:tcPr>
            <w:tcW w:w="14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(31,916)</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(40,759)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(40,759)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(11,400)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(107,924)</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(119,324)</w:t>
            </w: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Loans transferred to held for sale</w:t>
            </w:r>
          </w:p>
        </w:tc>
        <w:tc>
          <w:tcPr>
            <w:tcW w:w="1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(74,084)</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(74,084)</w:t>
            </w: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Write downs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(3,065)</w:t>
            </w:r>
          </w:p>
        </w:tc>
        <w:tc>
          <w:tcPr>
            <w:tcW w:w="14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(6,951)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(57,368)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(57,368)</w:t>
            </w: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losses on sales</w:t>
            </w:r>
          </w:p>
        </w:tc>
        <w:tc>
          <w:tcPr>
            <w:tcW w:w="1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(1,641)</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(1,641)</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(11,038)</w:t>
            </w: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(11,038)</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19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26,819</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4,221</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31,040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109,894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18,264</w:t>
            </w:r>
          </w:p>
        </w:tc>
        <w:tc>
          <w:tcPr>
            <w:tcW w:w="2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128,158</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127,479</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32,859</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160,338</w:t>
            </w: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2" w:lineRule="exact"/>
        <w:rPr>
          <w:sz w:val="20"/>
          <w:szCs w:val="20"/>
          <w:color w:val="auto"/>
        </w:rPr>
      </w:pPr>
    </w:p>
    <w:p>
      <w:pPr>
        <w:ind w:left="540" w:hanging="532"/>
        <w:spacing w:after="0"/>
        <w:tabs>
          <w:tab w:leader="none" w:pos="54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Excludes non-performing loans and foreclosed properties covered by the loss-sharing agreement with the FDIC, related to the acquisition of SCB.</w:t>
      </w:r>
    </w:p>
    <w:p>
      <w:pPr>
        <w:spacing w:after="0" w:line="1" w:lineRule="exact"/>
        <w:rPr>
          <w:rFonts w:ascii="Times New Roman" w:cs="Times New Roman" w:eastAsia="Times New Roman" w:hAnsi="Times New Roman"/>
          <w:sz w:val="25"/>
          <w:szCs w:val="25"/>
          <w:color w:val="auto"/>
          <w:vertAlign w:val="superscript"/>
        </w:rPr>
      </w:pPr>
    </w:p>
    <w:p>
      <w:pPr>
        <w:ind w:left="540" w:hanging="532"/>
        <w:spacing w:after="0" w:line="186" w:lineRule="auto"/>
        <w:tabs>
          <w:tab w:leader="none" w:pos="5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$76.6 million from United’s largest loan relationship that was placed on nonaccrual in the third quarter of 2011.</w:t>
      </w:r>
    </w:p>
    <w:p>
      <w:pPr>
        <w:spacing w:after="0" w:line="2" w:lineRule="exact"/>
        <w:rPr>
          <w:rFonts w:ascii="Times New Roman" w:cs="Times New Roman" w:eastAsia="Times New Roman" w:hAnsi="Times New Roman"/>
          <w:sz w:val="24"/>
          <w:szCs w:val="24"/>
          <w:color w:val="auto"/>
          <w:vertAlign w:val="superscript"/>
        </w:rPr>
      </w:pPr>
    </w:p>
    <w:p>
      <w:pPr>
        <w:ind w:right="80" w:firstLine="8"/>
        <w:spacing w:after="0" w:line="227" w:lineRule="auto"/>
        <w:tabs>
          <w:tab w:leader="none" w:pos="525"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NPA activity shown for 2011 is presented with all activity related to loans transferred to the held for sale classification on one line as if those loans were transferred to held for sale at the beginning of the period. During the first quarter of 2011, $27.1 million in loans transferred to held for sale were placed on nonaccrual, $1.1 million in payments were received on nonaccrual loans transferred to held for sale and $66.6 million in charge-offs were recorded on nonaccrual loans transferred to held for sale to write them down to the expected proceeds from the sale.</w:t>
      </w:r>
    </w:p>
    <w:p>
      <w:pPr>
        <w:spacing w:after="0" w:line="2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Times New Roman" w:cs="Times New Roman" w:eastAsia="Times New Roman" w:hAnsi="Times New Roman"/>
          <w:sz w:val="18"/>
          <w:szCs w:val="18"/>
          <w:i w:val="1"/>
          <w:iCs w:val="1"/>
          <w:color w:val="auto"/>
        </w:rPr>
        <w:t>Real Estate Sales.</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2013, 2012 and 2011, United transferred $22.5 million, $34.0 million and $65.7 million, respectively, of loans into foreclosed property. During 2013, 2012 and 2011, proceeds from sales of foreclosed properties were $31.9 million, $40.8 million, and $108 million, respectively, which includes $3.49 million, $9.40 million, and $21.1 million, respectively, of sales that were financed by United.</w:t>
      </w:r>
    </w:p>
    <w:p>
      <w:pPr>
        <w:spacing w:after="0" w:line="20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gross additional interest income that would have been earned if the loans classified as nonaccrual had performed in accordance with the original terms was approximately $2.11 million, $6.81 million and $13.6 million in 2013, 2012 and 2011, respectively. The gross additional interest income that would have been earned in 2013, 2012 and 2011 had performing TDRs performed in accordance with the original terms is immaterial.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 Total investment securities at December 31, 2013 increased $233 million from a year ago.</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At December 31, 2013 and December 31, 2012, United had securities held-to-maturity with a carrying value of $480 million and $244 million, respectively, and securities available-for-sale totaling $1.83 billion and $1.83 billion, respectively. At both December 31, 2013 and 2012, the securities portfolio represented approximately 31% of total assets. At December 31, 2013, the effective duration of the investment portfolio based on expected maturities was 2.96 years compared with 2.46 years at December 31, 2012.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The following table shows the carrying value of United’s securities.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16 - Carrying Value of Investment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Held-to-Maturity</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Total Securities</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23,242</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410,633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securities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1,832,217</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479,742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2,311,959</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Held-to-Maturity</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Total Securities</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1,620,906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210,556</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securities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1,834,593</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244,184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2,078,777</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investment securities portfolio primarily consists of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differ from the contractual maturities because the loans underlying the security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21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December 31, 2013 primarily reflect the effect of changes in interest rates. United did not recognize any other than temporary impairment losses on its investment securities in 2013, 2012 or 2011.</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December 31, 2013, United had 68% of its total investment securities portfolio in mortgage backed securities, compared with 78% at December 31, 2012. Due to a lack of loan demand, United continued to purchase mortgage-backed securities in order to obtain a favorable yield with low risk. United did not have securities of any issuer in excess of 10% of equity at year-end 2013 or 2012, excluding U.S. Government issues. Less than 1% of the securities portfolio is rated below “A” or unrated and 32% of non-government agency securities are rated “Aaa”. See Note 6 to the consolidated financial statements for further discussion of investment portfolio and related fair value and maturity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United’s core deposit intangibles representing the value of United’s acquired deposit base, are amortizing intangible assets that are required to be tested for impairment only when events or circumstances indicate that impairment may exist. There were no events or circumstances that lead management to believe that any impairment exists in United’s other intangible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United has initiated several deposit programs to improve core earnings by growing customer transaction deposit accounts and lowering overall pricing on deposit accounts to improve its net interest margin and increase net interest revenue. The programs were successful in increasing core transaction deposit accounts and allowing for the reduction of more costly time deposit balances, as United’s funding needs decreased due to lower loan demand. United’s high level of service, as evidenced by its strong customer satisfaction scores, has been instrumental in attracting and retaining deposits.</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Total customer deposits, excluding brokered deposits, as of December 31, 2013 were $5.78 billion, an increase of $69.7 million from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 Total core deposits (demand, NOW, money market and savings deposits, excluding public funds deposits) of $3.44 billion increased $224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due to the success of core deposit incentive programs.</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Total time deposits, excluding brokered deposits, as of December 31, 2013 were $1.48 billion, down $279 million from December 31, 2012. Time deposits less than $100,000 totaled $893 million, a decrease of $162 million, or 15%, from a year ago. Time deposits of $100,000 and greater totaled $589 million as of December 31, 2013, a decrease of $117 million, or 17%, from December 31, 2012. United continued to offer low rates on certificates of deposit, allowing balances to decline as United’s funding needs declined due to weak loan demand and a shift to lower cost transaction account deposits.</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Brokered deposits totaled $425 million as of December 31, 2013, an increase of $180 million from a year ago. United has actively added long-term deposits to diversify our funding base. These are typically swapped to LIBOR minus a spread, which achieves low cost funding within our interest rate risk parameters.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scheduled maturities of time deposits of $100,000 and greater and brokered time deposits.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17 - Maturities of Time Deposits of $100,000 and Greater and Brokered Time Deposits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$100,000 and greater: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Three months or less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116,875</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Three to six months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Six to twelve months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195,064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251,620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Over one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176,325</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588,689</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705,558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Brokered time deposits: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Three months or less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Three to six months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Six to twelve months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Over one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273,166</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273,166</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154,889</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Funding</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Bank is a shareholder in the Federal Home Loan Bank of Atlanta (“FHLB”). Through this affiliation, FHLB secured advances totaling $120 million and $40.1 million at December 31, 2013 and 2012, respectively. United anticipates continued use of this short and long-term source of funds. FHLB advances outstanding at December 31, 2013 had fixed interest rates of .20% or less. During 2012, United prepaid $25 million of fixed-rate advances and incurred prepayment charges of $2.20 million. United will prepay advances from time to time as funding needs change. Additional information regarding FHLB advances, including scheduled maturities, is provided in Note 12 to the consolidated financial statements.</w:t>
      </w:r>
    </w:p>
    <w:p>
      <w:pPr>
        <w:spacing w:after="0" w:line="21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At December 31, 2013 and 2012, United had $53.2 million and $52.6 million in other borrowings outstanding. During the second quarter of 2012, United prepaid $50 million in structured repurchase agreements and incurred prepayment charges of $4.48 million. United takes advantage of these additional sources of liquidity when rates are favorable compared to other forms of short-term borrowings, such as FHLB advances and brokered deposits.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the ability to raise additional funds by increasing liabilities. Liquidity management involves maintaining United’s ability to meet the daily cash flow requirements of the Bank’s customers, both depositors and borrowers.</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 United currently has internal capital resources to meet these obligations. Substantially all of United’s liquidity is obtained from subsidiary service fees and dividends from the Bank, which are limited by applicable law. In recent years when the Bank was unable to pay dividends to United, liquidity was obtained from external sources (debt and equity issuances) to meet its needs.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2" w:name="page53"/>
    <w:bookmarkEnd w:id="52"/>
    <w:p>
      <w:pPr>
        <w:ind w:right="260"/>
        <w:spacing w:after="0" w:line="266" w:lineRule="auto"/>
        <w:rPr>
          <w:sz w:val="20"/>
          <w:szCs w:val="20"/>
          <w:color w:val="auto"/>
        </w:rPr>
      </w:pPr>
      <w:r>
        <w:rPr>
          <w:rFonts w:ascii="Times New Roman" w:cs="Times New Roman" w:eastAsia="Times New Roman" w:hAnsi="Times New Roman"/>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interest revenue. Daily monitoring of the sources and uses of funds is necessary to maintain a position that meets both requirements.</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$10.3 million at December 31, 2013, and typically turn over every 45 days as closed loans are sold to investors in the secondary market.</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are used as necessary to fund asset growth and meet other short-term liquidity needs.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summary of United’s short-term borrowings over the last three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18 - Short-Term Borrowings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Period end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Maximum</w:t>
            </w:r>
          </w:p>
        </w:tc>
        <w:tc>
          <w:tcPr>
            <w:tcW w:w="140" w:type="dxa"/>
            <w:vAlign w:val="bottom"/>
          </w:tcPr>
          <w:p>
            <w:pPr>
              <w:spacing w:after="0"/>
              <w:rPr>
                <w:sz w:val="13"/>
                <w:szCs w:val="13"/>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Average</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amounts</w:t>
            </w: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9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Period-end</w:t>
            </w: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weighted-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14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at any</w:t>
            </w:r>
          </w:p>
        </w:tc>
        <w:tc>
          <w:tcPr>
            <w:tcW w:w="14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during the</w:t>
            </w: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average rate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balance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interest rate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month-end</w:t>
            </w:r>
          </w:p>
        </w:tc>
        <w:tc>
          <w:tcPr>
            <w:tcW w:w="1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year</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for the 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2013</w:t>
            </w: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funds purchased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13,327</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53,241</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54,164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53,234</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53,241</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66,561</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December 31, 2012</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purchased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52,574</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103,551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75,593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52,574</w:t>
            </w: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80,593</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7"/>
              </w:rPr>
              <w:t>December 31, 2011</w:t>
            </w:r>
          </w:p>
        </w:tc>
        <w:tc>
          <w:tcPr>
            <w:tcW w:w="3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funds purchased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103,666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102,590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102,577</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102,727</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2013, United had sufficient qualifying collateral to increase FHLB advances by $829 million and Federal Reserve discount window capacity of $614 million. United also has the ability to raise substantial funds through brokered deposits. In addition to these wholesale sources, United has the ability to attract retail deposits at any time by competing more aggressively on pricing.</w:t>
      </w:r>
    </w:p>
    <w:p>
      <w:pPr>
        <w:spacing w:after="0" w:line="20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As disclosed in United’s consolidated statement of cash flows, net cash provided by operating activities was $192 million for the year ended December 31, 2013. Net income of $273 million for the year included the deferred income tax benefit of $242 million, non-cash expenses for provision for credit losses of $65.5 million, non-cash depreciation, amortization and accretion of $26.4 million, and losses and write downs on foreclosed property of $4.71</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million. Accrued expenses and other liabilities increased $42.5 million primarily due to the mark on hedge contracts. Net cash used in investing activities of $483 million consisted primarily of $827 million of purchases of securities, an increase in loans of $359 million, and purchases of premises and equipment of $8.14 million, that were offset by proceeds from sales of securities of $39.7 million, maturities and calls of investment securities of $541 million, proceeds from note sales of $91.9 million, and net proceeds from sales of other real estate of $28.4 million. Funds collected from the FDIC under loss sharing agreements were $5.88 million, providing another source of cash flows from investing activities. The $269 million of net cash provided financing activities consisted primarily of a net increase in deposits of $249 million and an $80.0 million net increase in FHLB advances. United also repaid $35.0 million in long-term debt which was offset by the issuance of $40.0 million in senior notes. Cash from financing activities was also increased by $19.4 million in proceeds from the issuance of common stock through a warrant exercise. This increase was offset by $75.2 million paid to retire preferred stock. In the opinion of management, United’s liquidity position at December 31, 2013 was sufficient to meet its expected cash flow requirements.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The following table shows United’s contractual obligations and other commitments.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19 - Contractual Obligations and Other Commitments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Maturity By Years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 to 3</w:t>
            </w:r>
          </w:p>
        </w:tc>
        <w:tc>
          <w:tcPr>
            <w:tcW w:w="26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3 to 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Over 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Contractual Cash Obligations</w:t>
            </w:r>
          </w:p>
        </w:tc>
        <w:tc>
          <w:tcPr>
            <w:tcW w:w="8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FHLB advances</w:t>
            </w: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120,125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Long-term debt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129,865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1,956</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8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256,300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121,852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75,936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Commitments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Lines of credit</w:t>
            </w: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747,170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239,861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161,924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83,669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Uncertain tax positions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1,074</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other commitments</w:t>
            </w: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771,519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259,096</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164,281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84,030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contractual maturity of investment securities by maturity date and average yields based on amortized cost (for all obligations on a fully taxable basis). The composition and maturity / repricing distribution of the securities portfolio is subject to change depending on rate sensitivity, capital and liquidity needs.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20 - Expected Maturity of Available-for-Sale and Held-to-Maturity Investment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Maturity By Years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 or Less</w:t>
            </w:r>
          </w:p>
        </w:tc>
        <w:tc>
          <w:tcPr>
            <w:tcW w:w="24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1 to 5</w:t>
            </w:r>
          </w:p>
        </w:tc>
        <w:tc>
          <w:tcPr>
            <w:tcW w:w="22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5 to 10</w:t>
            </w:r>
          </w:p>
        </w:tc>
        <w:tc>
          <w:tcPr>
            <w:tcW w:w="20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Over 10</w:t>
            </w:r>
          </w:p>
        </w:tc>
        <w:tc>
          <w:tcPr>
            <w:tcW w:w="260" w:type="dxa"/>
            <w:vAlign w:val="bottom"/>
          </w:tcPr>
          <w:p>
            <w:pPr>
              <w:spacing w:after="0"/>
              <w:rPr>
                <w:sz w:val="19"/>
                <w:szCs w:val="19"/>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2,869</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16,881</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2,607</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38,520</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201,504</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10,272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89,438</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271,418</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49,777</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securities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5,462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662,269</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238,934</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241,381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1,148,046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8,331</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807,108</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714,463</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302,315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1,832,217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Weighted average yield </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12,463</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26,062</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13,208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securities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212,792</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204,302</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10,276</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225,255</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230,364</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23,484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479,742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Weighted average yield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Portfolio</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2,869</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29,344</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28,669</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14,093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38,520</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201,504</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10,272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89,438</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271,418</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49,777</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securities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6,101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875,061</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443,236</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251,657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1,576,055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8,970</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1,032,363</w:t>
            </w:r>
          </w:p>
        </w:tc>
        <w:tc>
          <w:tcPr>
            <w:tcW w:w="26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944,827</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325,799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2,311,959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20" w:type="dxa"/>
            <w:vAlign w:val="bottom"/>
            <w:vMerge w:val="continue"/>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Weighted average yield </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mortgage-backed securities</w:t>
      </w:r>
    </w:p>
    <w:p>
      <w:pPr>
        <w:spacing w:after="0" w:line="1" w:lineRule="exact"/>
        <w:rPr>
          <w:rFonts w:ascii="Times New Roman" w:cs="Times New Roman" w:eastAsia="Times New Roman" w:hAnsi="Times New Roman"/>
          <w:sz w:val="25"/>
          <w:szCs w:val="25"/>
          <w:color w:val="auto"/>
          <w:vertAlign w:val="superscript"/>
        </w:rPr>
      </w:pPr>
    </w:p>
    <w:p>
      <w:pPr>
        <w:ind w:left="240" w:hanging="232"/>
        <w:spacing w:after="0" w:line="186" w:lineRule="auto"/>
        <w:tabs>
          <w:tab w:leader="none" w:pos="24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Based on amortized cost, taxable equivalent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21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w:t>
      </w:r>
    </w:p>
    <w:p>
      <w:pPr>
        <w:ind w:right="20"/>
        <w:spacing w:after="0" w:line="255" w:lineRule="auto"/>
        <w:rPr>
          <w:sz w:val="20"/>
          <w:szCs w:val="20"/>
          <w:color w:val="auto"/>
        </w:rPr>
      </w:pPr>
      <w:r>
        <w:rPr>
          <w:rFonts w:ascii="Times New Roman" w:cs="Times New Roman" w:eastAsia="Times New Roman" w:hAnsi="Times New Roman"/>
          <w:sz w:val="18"/>
          <w:szCs w:val="18"/>
          <w:color w:val="auto"/>
        </w:rPr>
        <w:t>used. United is not involved in off-balance sheet contractual relationships, other than those disclosed in this report, that could result in liquidity needs or other commitments, or that could significantly affect earnings. See Note 20 to the consolidated financial statements for additional information on off-balance sheet arrangements.</w:t>
      </w:r>
    </w:p>
    <w:p>
      <w:pPr>
        <w:spacing w:after="0" w:line="21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At December 31, 2013 and 2012, United had $350 million and $265 million, respectively, in offsetting repurchase agreements / reverse repurchase agreements that were netted in the consolidated balance sheet. In addition, at December 31, 2012, United had $50 million in offsetting securities lending agreements that were netted in the consolidated balance sheet. United enters into these collateral swap arrangements from time to time as a source of additional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Shareholders’ equity at December 31, 2013 was $796 million, an increase of $214 million from December 31, 2012. Accumulated other comprehensive income,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ratios. Excluding the change in the accumulated other comprehensive income, shareholders’ equity increased $218 million, or 39%, from December 31, 2012. Most of the increase results from the reversal of the valuation allowance on United’s net deferred tax asset which resulted in the recognition of United’s substantial tax benefits.</w:t>
      </w:r>
    </w:p>
    <w:p>
      <w:pPr>
        <w:spacing w:after="0" w:line="21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United accrued $12.1 million in dividends, including discount accretion, on its Series A Preferred Stock, Series B Preferred Stock, and Series D Preferred Stock, for the years ended December 31, 2013 and 2012.</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31, 2013, United redeemed all of its outstanding Series A Preferred Stock in the principal amount of $217,000. The redemption price for shares of the Series A Preferred Stock was the stated value of $10 per share, plus any accrued and unpaid dividends that had been earned thereon through the redemption date. Following the redemption, there are no shares of United’s Series A Preferred Stock outstanding.</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27, 2013, United redeemed $75 million of its $180 million in outstanding Series B Preferred Stock. The redemption price for shares of the Series B Preferred Stock called for redemption was the stated liquidation value of $1,000 per share, plus any accrued and unpaid dividends that had been earned thereon to, but not including, the redemption date. As of December 31, 2013, $105 million of United’s Series B Preferred Stock was outstanding. The remaining $105 million of United’s Series B Preferred Stock was redeemed on January 10, 2014 on comparable terms. United funded both redemptions by utilizing cash on hand, cash dividends from the Bank and short-term debt.</w:t>
      </w:r>
    </w:p>
    <w:p>
      <w:pPr>
        <w:spacing w:after="0" w:line="21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2010, United granted warrants to Fletcher International Ltd. (“Fletcher”) to purchase common stock equivalent junior preferred stock that would be convertible into 1,411,765 common shares, exercisable at a price equivalent to $21.25 per share. United has received purported partial warrant exercise notices from Fletcher with respect to its warrants that include incorrect calculations of the number of settlement shares Fletcher would receive upon exercise. On June 17, 2011, United completed a reclassification of its common stock in the form of 1-for-5 reverse stock split, or recombination. United believes that any current exercise of Fletcher’s warrants would not result in the issuance of any settlement shares because the warrants may only be exercised for net shares via a cashless exercise formula, and the reverse stock split-adjusted market price component of that formula does not exceed the exercise price to yield any net shares. Fletcher has also claimed that it is entitled to penalties under its contracts with United for a “registration failure” it claims occurred in 2012. United also believes that no registration failure penalty is due. As a result, United has responded to Fletcher with United’s calculations related to its warrants and denied any liability for any such penalty. United may consider repurchasing the warrants based on their fair value in connection with the resolution of any purported claims that Fletcher maintains. United has established litigation reserves associated with claims that may be made against United by Fletcher.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14" w:right="279" w:bottom="1440" w:gutter="0" w:footer="0" w:header="0"/>
        </w:sectPr>
      </w:pPr>
    </w:p>
    <w:bookmarkStart w:id="55" w:name="page56"/>
    <w:bookmarkEnd w:id="55"/>
    <w:p>
      <w:pPr>
        <w:ind w:right="100"/>
        <w:spacing w:after="0" w:line="282" w:lineRule="auto"/>
        <w:rPr>
          <w:sz w:val="20"/>
          <w:szCs w:val="20"/>
          <w:color w:val="auto"/>
        </w:rPr>
      </w:pPr>
      <w:r>
        <w:rPr>
          <w:rFonts w:ascii="Times New Roman" w:cs="Times New Roman" w:eastAsia="Times New Roman" w:hAnsi="Times New Roman"/>
          <w:sz w:val="18"/>
          <w:szCs w:val="18"/>
          <w:color w:val="auto"/>
        </w:rPr>
        <w:t>On August 12, 2013, certain holders elected to exercise warrants to purchase an aggregate 1,551,126 shares of United’s common stock at a price of 12.50 per share. United recognized net proceeds of approximately $19.4 million as a result of the exercises.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 balance sheet. Under the guidelines, capital strength is measured in two tiers which are used in conjunction with risk-weighted assets to determine the risk-based capital ratios. The guidelines require an 8% Total risk-based capital ratio, of which 4% must be Tier 1 capital. However, to be considered well-capitalized under the guidelines, a 10% Total risk-based capital ratio is required, of which 6% must be Tier 1 capital.</w:t>
      </w:r>
    </w:p>
    <w:p>
      <w:pPr>
        <w:spacing w:after="0" w:line="21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Tier 1 capital consists of shareholders’ equity, excluding accumulated other comprehensive income, intangible assets (goodwill and deposit-based intangibles), and disallowed deferred tax assets, plus qualifying capital securities. United’s Tier 1 capital totaled $649 million at December 31, 2013. Tier 2 capital components include supplemental capital such as the qualifying portion of the allowance for loan losses and qualifying subordinated debt. Tier 1 capital plus Tier 2 capital is referred to as Total risk-based capital and was $713 million at December 31, 2013. The ratios, as calculated under the guidelines, were 12.74% and 13.99% for Tier 1 and Total risk-based capital, respectively, at December 31, 2013.</w:t>
      </w:r>
    </w:p>
    <w:p>
      <w:pPr>
        <w:spacing w:after="0" w:line="21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 minimum leverage ratio is required in addition to the risk-based capital standards and is defined as Tier 1 capital divided by average assets adjusted for goodwill and deposit-based intangibles. Although a minimum leverage ratio of 3% is required, the Federal Reserve requires a bank holding company to maintain a leverage ratio of greater than 3% if it is experiencing or anticipating significant growth or is operating with less than well-diversified risks in the opinion of the Federal Reserve. The Federal Reserve uses the leverage and risk-based capital ratios to assess capital adequacy of banks and bank holding companies.</w:t>
      </w:r>
    </w:p>
    <w:p>
      <w:pPr>
        <w:spacing w:after="0" w:line="21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United has outstanding junior subordinated debentures related to trust preferred securities totaling $54.9 million at December 31, 2013. The related trust preferred securities of $53.2 million (excluding common securities) qualify as Tier 1 capital under risk-based capital guidelines provided that total trust preferred securities do not exceed certain quantitative limits. At December 31, 2013, all of United’s trust preferred securities qualified as Tier 1 capital. Further information on United’s trust preferred securities is provided in Note 14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United’s capital ratios, as calculated under regulatory guidelines, at December 31, 2013 and 2012: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21 - Capital Ratios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tc>
        <w:tc>
          <w:tcPr>
            <w:tcW w:w="300" w:type="dxa"/>
            <w:vAlign w:val="bottom"/>
          </w:tcPr>
          <w:p>
            <w:pPr>
              <w:spacing w:after="0"/>
              <w:rPr>
                <w:sz w:val="13"/>
                <w:szCs w:val="13"/>
                <w:color w:val="auto"/>
              </w:rPr>
            </w:pPr>
          </w:p>
        </w:tc>
        <w:tc>
          <w:tcPr>
            <w:tcW w:w="238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United Community Bank</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Guidelines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Well</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20" w:type="dxa"/>
            <w:vAlign w:val="bottom"/>
            <w:tcBorders>
              <w:top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Risk-based ratios: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Tier 1 capital</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capital</w:t>
            </w:r>
          </w:p>
        </w:tc>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Leverage ratio</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capital</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649,162</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686,687</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666,585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capital</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713,063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750,216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724,738</w:t>
            </w:r>
          </w:p>
        </w:tc>
        <w:tc>
          <w:tcPr>
            <w:tcW w:w="0" w:type="dxa"/>
            <w:vAlign w:val="bottom"/>
          </w:tcPr>
          <w:p>
            <w:pPr>
              <w:spacing w:after="0"/>
              <w:rPr>
                <w:sz w:val="1"/>
                <w:szCs w:val="1"/>
                <w:color w:val="auto"/>
              </w:rPr>
            </w:pPr>
          </w:p>
        </w:tc>
      </w:tr>
      <w:tr>
        <w:trPr>
          <w:trHeight w:val="900"/>
        </w:trPr>
        <w:tc>
          <w:tcPr>
            <w:tcW w:w="20" w:type="dxa"/>
            <w:vAlign w:val="bottom"/>
          </w:tcPr>
          <w:p>
            <w:pPr>
              <w:spacing w:after="0"/>
              <w:rPr>
                <w:sz w:val="24"/>
                <w:szCs w:val="24"/>
                <w:color w:val="auto"/>
              </w:rPr>
            </w:pPr>
          </w:p>
        </w:tc>
        <w:tc>
          <w:tcPr>
            <w:tcW w:w="316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monitor and manage United’s interest rate sensitivity position. In addition, periodic reviews of banking services and products are conducted to adjust pricing in view of current and expected costs.</w:t>
      </w:r>
    </w:p>
    <w:p>
      <w:pPr>
        <w:spacing w:after="0" w:line="199"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United’s net interest revenue, and the fair value of its financial instruments, are influenced by changes in the level of interest rates. United limits its exposure to fluctuations in interest rates through policies established by its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immediate rate shock scenarios, as well as gradually rising and falling rate scenarios, which are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 All policy scenarios assume a static balance sheet.</w:t>
      </w:r>
    </w:p>
    <w:p>
      <w:pPr>
        <w:spacing w:after="0" w:line="21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United’s policy is based on the 12-month impact on net interest revenue of interest rate shocks and ramps that increase or decrease from 100 to 300 basis points from the base scenario. In the shock scenarios, rates immediately change the full amount at the scenario onset. In the ramp scenarios, rates change by 25 basis points per month. United’s policy limits the change in net interest revenue over the first 12 months to a 5% decrease for each 100 basis point change in the increasing and decreasing rate ramp and shock scenarios. Historically low rates on December 31, 2013 and 2012 made use of the down scenarios problematic. The following table presents United’s interest sensitivity position at December 31, 2013 and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22 - Interest Sensitivity</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6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(Decrease) in Net Interest Revenue from Base Scenario at</w:t>
            </w:r>
          </w:p>
        </w:tc>
        <w:tc>
          <w:tcPr>
            <w:tcW w:w="0" w:type="dxa"/>
            <w:vAlign w:val="bottom"/>
          </w:tcPr>
          <w:p>
            <w:pPr>
              <w:spacing w:after="0"/>
              <w:rPr>
                <w:sz w:val="1"/>
                <w:szCs w:val="1"/>
                <w:color w:val="auto"/>
              </w:rPr>
            </w:pPr>
          </w:p>
        </w:tc>
      </w:tr>
      <w:tr>
        <w:trPr>
          <w:trHeight w:val="180"/>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2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Change in Rates</w:t>
            </w:r>
          </w:p>
        </w:tc>
        <w:tc>
          <w:tcPr>
            <w:tcW w:w="100" w:type="dxa"/>
            <w:vAlign w:val="bottom"/>
            <w:vMerge w:val="restart"/>
          </w:tcPr>
          <w:p>
            <w:pPr>
              <w:spacing w:after="0"/>
              <w:rPr>
                <w:sz w:val="13"/>
                <w:szCs w:val="13"/>
                <w:color w:val="auto"/>
              </w:rPr>
            </w:pPr>
          </w:p>
        </w:tc>
        <w:tc>
          <w:tcPr>
            <w:tcW w:w="1620" w:type="dxa"/>
            <w:vAlign w:val="bottom"/>
            <w:tcBorders>
              <w:bottom w:val="single" w:sz="8" w:color="auto"/>
            </w:tcBorders>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2013</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2012</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60" w:type="dxa"/>
            <w:vAlign w:val="bottom"/>
            <w:tcBorders>
              <w:bottom w:val="single" w:sz="8" w:color="auto"/>
            </w:tcBorders>
          </w:tcPr>
          <w:p>
            <w:pPr>
              <w:jc w:val="right"/>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Shock</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9"/>
              <w:spacing w:after="0" w:line="149" w:lineRule="exact"/>
              <w:rPr>
                <w:sz w:val="20"/>
                <w:szCs w:val="20"/>
                <w:color w:val="auto"/>
              </w:rPr>
            </w:pPr>
            <w:r>
              <w:rPr>
                <w:rFonts w:ascii="Times New Roman" w:cs="Times New Roman" w:eastAsia="Times New Roman" w:hAnsi="Times New Roman"/>
                <w:sz w:val="14"/>
                <w:szCs w:val="14"/>
                <w:b w:val="1"/>
                <w:bCs w:val="1"/>
                <w:color w:val="auto"/>
              </w:rPr>
              <w:t>Ramp</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Shock</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Ramp</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25 basis point decrease</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effect of interest rate changes on net interest revenue.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57" w:name="page58"/>
    <w:bookmarkEnd w:id="57"/>
    <w:p>
      <w:pPr>
        <w:ind w:right="240"/>
        <w:spacing w:after="0" w:line="261" w:lineRule="auto"/>
        <w:rPr>
          <w:sz w:val="20"/>
          <w:szCs w:val="20"/>
          <w:color w:val="auto"/>
        </w:rPr>
      </w:pPr>
      <w:r>
        <w:rPr>
          <w:rFonts w:ascii="Times New Roman" w:cs="Times New Roman" w:eastAsia="Times New Roman" w:hAnsi="Times New Roman"/>
          <w:sz w:val="18"/>
          <w:szCs w:val="18"/>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manage its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United’s outstanding derivative positions at December 31, 2013.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23 - Derivative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0"/>
                <w:szCs w:val="10"/>
                <w:color w:val="auto"/>
              </w:rPr>
              <w:t>(F)</w:t>
            </w:r>
          </w:p>
        </w:tc>
        <w:tc>
          <w:tcPr>
            <w:tcW w:w="0" w:type="dxa"/>
            <w:vAlign w:val="bottom"/>
          </w:tcPr>
          <w:p>
            <w:pPr>
              <w:spacing w:after="0"/>
              <w:rPr>
                <w:sz w:val="1"/>
                <w:szCs w:val="1"/>
                <w:color w:val="auto"/>
              </w:rPr>
            </w:pPr>
          </w:p>
        </w:tc>
      </w:tr>
      <w:tr>
        <w:trPr>
          <w:trHeight w:val="43"/>
        </w:trPr>
        <w:tc>
          <w:tcPr>
            <w:tcW w:w="332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Type of Instrument</w:t>
            </w:r>
          </w:p>
        </w:tc>
        <w:tc>
          <w:tcPr>
            <w:tcW w:w="100" w:type="dxa"/>
            <w:vAlign w:val="bottom"/>
            <w:vMerge w:val="restart"/>
          </w:tcPr>
          <w:p>
            <w:pPr>
              <w:spacing w:after="0"/>
              <w:rPr>
                <w:sz w:val="3"/>
                <w:szCs w:val="3"/>
                <w:color w:val="auto"/>
              </w:rPr>
            </w:pPr>
          </w:p>
        </w:tc>
        <w:tc>
          <w:tcPr>
            <w:tcW w:w="11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3"/>
                <w:szCs w:val="3"/>
                <w:color w:val="auto"/>
              </w:rPr>
            </w:pPr>
          </w:p>
        </w:tc>
        <w:tc>
          <w:tcPr>
            <w:tcW w:w="272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00" w:type="dxa"/>
            <w:vAlign w:val="bottom"/>
          </w:tcPr>
          <w:p>
            <w:pPr>
              <w:spacing w:after="0"/>
              <w:rPr>
                <w:sz w:val="3"/>
                <w:szCs w:val="3"/>
                <w:color w:val="auto"/>
              </w:rPr>
            </w:pP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180"/>
        </w:trPr>
        <w:tc>
          <w:tcPr>
            <w:tcW w:w="3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Fair value hedges of fixed rate brokered deposit (accounting hedge)</w:t>
      </w:r>
    </w:p>
    <w:tbl>
      <w:tblPr>
        <w:tblLayout w:type="fixed"/>
        <w:tblInd w:w="0" w:type="dxa"/>
        <w:tblCellMar>
          <w:top w:w="0" w:type="dxa"/>
          <w:left w:w="0" w:type="dxa"/>
          <w:bottom w:w="0" w:type="dxa"/>
          <w:right w:w="0" w:type="dxa"/>
        </w:tblCellMar>
      </w:tblPr>
      <w:tr>
        <w:trPr>
          <w:trHeight w:val="225"/>
        </w:trPr>
        <w:tc>
          <w:tcPr>
            <w:tcW w:w="4320" w:type="dxa"/>
            <w:vAlign w:val="bottom"/>
          </w:tcPr>
          <w:p>
            <w:pPr>
              <w:ind w:left="240"/>
              <w:spacing w:after="0" w:line="224" w:lineRule="exact"/>
              <w:rPr>
                <w:sz w:val="20"/>
                <w:szCs w:val="20"/>
                <w:color w:val="auto"/>
              </w:rPr>
            </w:pPr>
            <w:r>
              <w:rPr>
                <w:rFonts w:ascii="Times New Roman" w:cs="Times New Roman" w:eastAsia="Times New Roman" w:hAnsi="Times New Roman"/>
                <w:sz w:val="18"/>
                <w:szCs w:val="18"/>
                <w:color w:val="auto"/>
              </w:rPr>
              <w:t xml:space="preserve">Receive fixed cancellable swaps </w:t>
            </w:r>
            <w:r>
              <w:rPr>
                <w:rFonts w:ascii="Times New Roman" w:cs="Times New Roman" w:eastAsia="Times New Roman" w:hAnsi="Times New Roman"/>
                <w:sz w:val="25"/>
                <w:szCs w:val="25"/>
                <w:color w:val="auto"/>
                <w:vertAlign w:val="superscript"/>
              </w:rPr>
              <w:t>(1)</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199,000</w:t>
            </w: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Low cost funding</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19,970</w:t>
            </w:r>
          </w:p>
        </w:tc>
      </w:tr>
      <w:tr>
        <w:trPr>
          <w:trHeight w:val="216"/>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hedges of fixed rate corporate bonds (accounting hedge)</w:t>
            </w:r>
          </w:p>
        </w:tc>
        <w:tc>
          <w:tcPr>
            <w:tcW w:w="740" w:type="dxa"/>
            <w:vAlign w:val="bottom"/>
            <w:shd w:val="clear" w:color="auto" w:fill="CCEEFF"/>
          </w:tcPr>
          <w:p>
            <w:pPr>
              <w:spacing w:after="0"/>
              <w:rPr>
                <w:sz w:val="18"/>
                <w:szCs w:val="18"/>
                <w:color w:val="auto"/>
              </w:rPr>
            </w:pPr>
          </w:p>
        </w:tc>
        <w:tc>
          <w:tcPr>
            <w:tcW w:w="292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 xml:space="preserve">Pay fixed swaps </w:t>
            </w:r>
            <w:r>
              <w:rPr>
                <w:rFonts w:ascii="Times New Roman" w:cs="Times New Roman" w:eastAsia="Times New Roman" w:hAnsi="Times New Roman"/>
                <w:sz w:val="25"/>
                <w:szCs w:val="25"/>
                <w:color w:val="auto"/>
                <w:vertAlign w:val="superscript"/>
              </w:rPr>
              <w:t>(2)</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Protection from rising interest rates</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w:t>
            </w:r>
          </w:p>
        </w:tc>
      </w:tr>
      <w:tr>
        <w:trPr>
          <w:trHeight w:val="216"/>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hedges of floating rate borrowings (accounting hedge)</w:t>
            </w:r>
          </w:p>
        </w:tc>
        <w:tc>
          <w:tcPr>
            <w:tcW w:w="740" w:type="dxa"/>
            <w:vAlign w:val="bottom"/>
            <w:shd w:val="clear" w:color="auto" w:fill="CCEEFF"/>
          </w:tcPr>
          <w:p>
            <w:pPr>
              <w:spacing w:after="0"/>
              <w:rPr>
                <w:sz w:val="18"/>
                <w:szCs w:val="18"/>
                <w:color w:val="auto"/>
              </w:rPr>
            </w:pPr>
          </w:p>
        </w:tc>
        <w:tc>
          <w:tcPr>
            <w:tcW w:w="292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 xml:space="preserve">Pay fixed swaps </w:t>
            </w:r>
            <w:r>
              <w:rPr>
                <w:rFonts w:ascii="Times New Roman" w:cs="Times New Roman" w:eastAsia="Times New Roman" w:hAnsi="Times New Roman"/>
                <w:sz w:val="25"/>
                <w:szCs w:val="25"/>
                <w:color w:val="auto"/>
                <w:vertAlign w:val="superscript"/>
              </w:rPr>
              <w:t>(3)</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Protection from rising interest rates</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3,368</w:t>
            </w:r>
          </w:p>
        </w:tc>
      </w:tr>
      <w:tr>
        <w:trPr>
          <w:trHeight w:val="216"/>
        </w:trPr>
        <w:tc>
          <w:tcPr>
            <w:tcW w:w="8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hedges of LIBOR indexed money market deposits (accounting hedge)</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 xml:space="preserve">Pay fixed swaps </w:t>
            </w:r>
            <w:r>
              <w:rPr>
                <w:rFonts w:ascii="Times New Roman" w:cs="Times New Roman" w:eastAsia="Times New Roman" w:hAnsi="Times New Roman"/>
                <w:sz w:val="25"/>
                <w:szCs w:val="25"/>
                <w:color w:val="auto"/>
                <w:vertAlign w:val="superscript"/>
              </w:rPr>
              <w:t>(4)</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Protection from rising interest rates</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Customer swap positions</w:t>
            </w:r>
          </w:p>
        </w:tc>
        <w:tc>
          <w:tcPr>
            <w:tcW w:w="4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2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 xml:space="preserve">Receive fixed swaps </w:t>
            </w:r>
            <w:r>
              <w:rPr>
                <w:rFonts w:ascii="Times New Roman" w:cs="Times New Roman" w:eastAsia="Times New Roman" w:hAnsi="Times New Roman"/>
                <w:sz w:val="25"/>
                <w:szCs w:val="25"/>
                <w:color w:val="auto"/>
                <w:vertAlign w:val="superscript"/>
              </w:rPr>
              <w:t>(5)</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170,647</w:t>
            </w: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Provide customer with fixed rate loan</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Dealer offset to customer swap positions</w:t>
            </w:r>
          </w:p>
        </w:tc>
        <w:tc>
          <w:tcPr>
            <w:tcW w:w="4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2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 xml:space="preserve">Pay fixed swaps </w:t>
            </w:r>
            <w:r>
              <w:rPr>
                <w:rFonts w:ascii="Times New Roman" w:cs="Times New Roman" w:eastAsia="Times New Roman" w:hAnsi="Times New Roman"/>
                <w:sz w:val="25"/>
                <w:szCs w:val="25"/>
                <w:color w:val="auto"/>
                <w:vertAlign w:val="superscript"/>
              </w:rPr>
              <w:t>(5)</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170,647</w:t>
            </w: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Protection from rising interest rates</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47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Bifurcated derivatives embedded in hybrid host instruments</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2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 xml:space="preserve">Pay steepener rate cancellable swap </w:t>
            </w:r>
            <w:r>
              <w:rPr>
                <w:rFonts w:ascii="Times New Roman" w:cs="Times New Roman" w:eastAsia="Times New Roman" w:hAnsi="Times New Roman"/>
                <w:sz w:val="25"/>
                <w:szCs w:val="25"/>
                <w:color w:val="auto"/>
                <w:vertAlign w:val="superscript"/>
              </w:rPr>
              <w:t>(6)</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99,509</w:t>
            </w: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Low cost funding</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rate swaps not designated as accounting hedges</w:t>
            </w:r>
          </w:p>
        </w:tc>
        <w:tc>
          <w:tcPr>
            <w:tcW w:w="4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2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 xml:space="preserve">Receive steepener rate cancellable swap </w:t>
            </w:r>
            <w:r>
              <w:rPr>
                <w:rFonts w:ascii="Times New Roman" w:cs="Times New Roman" w:eastAsia="Times New Roman" w:hAnsi="Times New Roman"/>
                <w:sz w:val="25"/>
                <w:szCs w:val="25"/>
                <w:color w:val="auto"/>
                <w:vertAlign w:val="superscript"/>
              </w:rPr>
              <w:t>(6)</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101,500</w:t>
            </w: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Low cost funding</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18,324</w:t>
            </w:r>
          </w:p>
        </w:tc>
      </w:tr>
      <w:tr>
        <w:trPr>
          <w:trHeight w:val="27"/>
        </w:trPr>
        <w:tc>
          <w:tcPr>
            <w:tcW w:w="4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32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1,402,303</w:t>
            </w:r>
          </w:p>
        </w:tc>
        <w:tc>
          <w:tcPr>
            <w:tcW w:w="2920" w:type="dxa"/>
            <w:vAlign w:val="bottom"/>
            <w:tcBorders>
              <w:left w:val="single" w:sz="8" w:color="CCEEFF"/>
            </w:tcBorders>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23,833</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46,232</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9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500" w:right="140" w:hanging="492"/>
        <w:spacing w:after="0" w:line="233" w:lineRule="auto"/>
        <w:tabs>
          <w:tab w:leader="none" w:pos="507"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United uses these swaps as part of a program to provide a low cost non-collateralized source of funds. The swaps hedge fixed rate brokered deposits with step up rates that increase over time that are mirrored in the receive rate of the swaps. The variable pay rates on these swaps are based on three-month LIBOR at spreads of minus 20 to minus 65 basis points. The counterparties have the right to call the instruments at any time generally after six months to one year following inception. United has a similar option in the hedged brokered deposit.</w:t>
      </w:r>
    </w:p>
    <w:p>
      <w:pPr>
        <w:ind w:left="500" w:right="40" w:hanging="492"/>
        <w:spacing w:after="0" w:line="209" w:lineRule="auto"/>
        <w:tabs>
          <w:tab w:leader="none" w:pos="507"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These swaps convert fixed rate corporate bonds to three-month LIBOR and are used for protection against rising interest rates. The pay rates match the fixed rates of the hedged corporate bonds.</w:t>
      </w:r>
    </w:p>
    <w:p>
      <w:pPr>
        <w:spacing w:after="0" w:line="1" w:lineRule="exact"/>
        <w:rPr>
          <w:rFonts w:ascii="Times New Roman" w:cs="Times New Roman" w:eastAsia="Times New Roman" w:hAnsi="Times New Roman"/>
          <w:sz w:val="25"/>
          <w:szCs w:val="25"/>
          <w:color w:val="auto"/>
          <w:vertAlign w:val="superscript"/>
        </w:rPr>
      </w:pPr>
    </w:p>
    <w:p>
      <w:pPr>
        <w:ind w:left="500" w:right="180" w:hanging="492"/>
        <w:spacing w:after="0" w:line="209" w:lineRule="auto"/>
        <w:tabs>
          <w:tab w:leader="none" w:pos="507"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These swaps are forward starting and become effective in the first and second quarters of 2014. They convert three month LIBOR-based floating rate borrowings to fixed rates for a three-year term. They are used for protection against rising interest rates.</w:t>
      </w:r>
    </w:p>
    <w:p>
      <w:pPr>
        <w:spacing w:after="0" w:line="1" w:lineRule="exact"/>
        <w:rPr>
          <w:rFonts w:ascii="Times New Roman" w:cs="Times New Roman" w:eastAsia="Times New Roman" w:hAnsi="Times New Roman"/>
          <w:sz w:val="25"/>
          <w:szCs w:val="25"/>
          <w:color w:val="auto"/>
          <w:vertAlign w:val="superscript"/>
        </w:rPr>
      </w:pPr>
    </w:p>
    <w:p>
      <w:pPr>
        <w:ind w:left="500" w:right="260" w:hanging="492"/>
        <w:spacing w:after="0" w:line="219" w:lineRule="auto"/>
        <w:tabs>
          <w:tab w:leader="none" w:pos="507"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These swaps are forward starting and become effective in the second and third quarters of 2014 and the second quarter of 2015. They convert one month LIBOR-based money market deposits to fixed rates for terms of three to eight years. They are used for protection against rising interest rates.</w:t>
      </w:r>
    </w:p>
    <w:p>
      <w:pPr>
        <w:spacing w:after="0" w:line="1" w:lineRule="exact"/>
        <w:rPr>
          <w:rFonts w:ascii="Times New Roman" w:cs="Times New Roman" w:eastAsia="Times New Roman" w:hAnsi="Times New Roman"/>
          <w:sz w:val="24"/>
          <w:szCs w:val="24"/>
          <w:color w:val="auto"/>
          <w:vertAlign w:val="superscript"/>
        </w:rPr>
      </w:pPr>
    </w:p>
    <w:p>
      <w:pPr>
        <w:ind w:left="500" w:right="60" w:hanging="492"/>
        <w:spacing w:after="0" w:line="221" w:lineRule="auto"/>
        <w:tabs>
          <w:tab w:leader="none" w:pos="507"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United offers interest rate swaps to customers seeking fixed rate loans under a back to back swap program. United enters into offsetting swap positions with qualified dealers simultaneously with the customer swap. Customer swaps and the offsetting dealer swap positions are marked to market through other fee revenue.</w:t>
      </w:r>
    </w:p>
    <w:p>
      <w:pPr>
        <w:spacing w:after="0" w:line="2" w:lineRule="exact"/>
        <w:rPr>
          <w:rFonts w:ascii="Times New Roman" w:cs="Times New Roman" w:eastAsia="Times New Roman" w:hAnsi="Times New Roman"/>
          <w:sz w:val="25"/>
          <w:szCs w:val="25"/>
          <w:color w:val="auto"/>
          <w:vertAlign w:val="superscript"/>
        </w:rPr>
      </w:pPr>
    </w:p>
    <w:p>
      <w:pPr>
        <w:ind w:left="500" w:right="20" w:hanging="492"/>
        <w:spacing w:after="0" w:line="237" w:lineRule="auto"/>
        <w:tabs>
          <w:tab w:leader="none" w:pos="507"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United offers market linked certificates of deposit through broker dealers. The rate paid on these hybrid instruments is based on a formula derived from the spread betweeen the long and short ends of the constant maturity swap (“CMS”) rate curve. This type of instrument is referred to as a steepener since it derives its value from the slope of the CMS curve. United has determined that these hybrid instruments contain an embedded swap contract which has been bifurcated from the host contract. United enters into a swap with a swap dealer simultaneously where the receive rate on the swap mirrors the pay rate on the brokered deposit. The bifurcated derivative and the stand alone swap are both marked to market through other fee revenue. Although these instruments are not treated as an accounting hedge, the swap acts as an effective economic hedge of the steepener index in the brokered deposit.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8" w:name="page59"/>
    <w:bookmarkEnd w:id="58"/>
    <w:p>
      <w:pPr>
        <w:ind w:right="180"/>
        <w:spacing w:after="0" w:line="256" w:lineRule="auto"/>
        <w:rPr>
          <w:sz w:val="20"/>
          <w:szCs w:val="20"/>
          <w:color w:val="auto"/>
        </w:rPr>
      </w:pPr>
      <w:r>
        <w:rPr>
          <w:rFonts w:ascii="Times New Roman" w:cs="Times New Roman" w:eastAsia="Times New Roman" w:hAnsi="Times New Roman"/>
          <w:sz w:val="18"/>
          <w:szCs w:val="18"/>
          <w:color w:val="auto"/>
        </w:rPr>
        <w:t>United’s 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an effective economic hedge. Derivative financial instruments that are not accounted for as an accounting hedge are marked to market through earnings.</w:t>
      </w:r>
    </w:p>
    <w:p>
      <w:pPr>
        <w:spacing w:after="0" w:line="21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to derivative instruments, United uses a variety of balance sheet instruments to manage interest rate risk such as Investment Portfolio holdings, wholesale funding and bank-issued deposits.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United will terminate swap or floor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At December 31, 2013, United had no gains or losses from terminated derivative positions included in other comprehensive income that will be amortized into earnings over their remaining original contract terms. In addition, United’s forward starting active cash flow hedges of floating rate liabilities will begin to become effective over the next twelve months. United expects that $3.59 million will be reclassified as an increase to deposit and wholesale borrowings interest expense over the next twelve months related to these cash flow hedges.</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fourth quarter 2013, United reclassified hedge ineffectiveness gains and losses from other fee revenue to net interest revenue. This reclassification has been reflected in all prior period results.</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United’s policy requires all non-customer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207"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of the registrant and report of independent registered public accounting firm are included herein as follows: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2573020" cy="720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25730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affected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1"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252"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203"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Management has assessed the effectiveness of the internal control over financial reporting as of December 31, 2013. In making this assessment, we used the criteria established in </w:t>
      </w:r>
      <w:r>
        <w:rPr>
          <w:rFonts w:ascii="Times New Roman" w:cs="Times New Roman" w:eastAsia="Times New Roman" w:hAnsi="Times New Roman"/>
          <w:sz w:val="18"/>
          <w:szCs w:val="18"/>
          <w:i w:val="1"/>
          <w:iCs w:val="1"/>
          <w:color w:val="auto"/>
        </w:rPr>
        <w:t>Internal Control – Integrated Framework (1992)</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203"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Based on our assessment, management concluded that as of December 31, 2013, United Community Banks, Inc.’s internal control over financial reporting is effective based on those criteria.</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accountants have audited the effectiveness of the company’s internal control over financial reporting as stated in their report, which is included in Item 8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337185</wp:posOffset>
            </wp:positionV>
            <wp:extent cx="1286510" cy="386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6510" cy="38608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251460</wp:posOffset>
            </wp:positionV>
            <wp:extent cx="1286510" cy="557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65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Jimmy C. Tallent</w:t>
            </w:r>
          </w:p>
        </w:tc>
        <w:tc>
          <w:tcPr>
            <w:tcW w:w="112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Rex S. Schuette</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5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51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jc w:val="right"/>
              <w:ind w:right="390"/>
              <w:spacing w:after="0"/>
              <w:rPr>
                <w:sz w:val="20"/>
                <w:szCs w:val="20"/>
                <w:color w:val="auto"/>
              </w:rPr>
            </w:pPr>
            <w:r>
              <w:rPr>
                <w:rFonts w:ascii="Times New Roman" w:cs="Times New Roman" w:eastAsia="Times New Roman" w:hAnsi="Times New Roman"/>
                <w:sz w:val="18"/>
                <w:szCs w:val="18"/>
                <w:color w:val="auto"/>
              </w:rPr>
              <w:t>57</w:t>
            </w:r>
          </w:p>
        </w:tc>
        <w:tc>
          <w:tcPr>
            <w:tcW w:w="51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960755" cy="737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96075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AA520"/>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United Community Banks, Inc.</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accompanying consolidated balance sheet as of December 31, 2013 and the related consolidated statements of operations, of comprehensive income (loss), of changes in shareholders’ equity and of cash flows for the year then ended present fairly, in all material respects, the financial position of United Community Banks, Inc. and its subsidiaries at December 31, 2013, and the results of their operations and their cash flows for the year then ended in conformity with accounting principles generally accepted in the United States of America. Also in our opinion, the Company maintained, in all material respects, effective internal control over financial reporting as of December 31, 2013,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(1992) </w:t>
      </w:r>
      <w:r>
        <w:rPr>
          <w:rFonts w:ascii="Times New Roman" w:cs="Times New Roman" w:eastAsia="Times New Roman" w:hAnsi="Times New Roman"/>
          <w:sz w:val="18"/>
          <w:szCs w:val="18"/>
          <w:color w:val="auto"/>
        </w:rPr>
        <w:t>issued by the Committee of Sponsoring Organizations of the Treadway Commission (COSO). The Company's management is responsible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 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2744470" cy="394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444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2014</w:t>
      </w:r>
    </w:p>
    <w:p>
      <w:pPr>
        <w:spacing w:after="0" w:line="200" w:lineRule="exact"/>
        <w:rPr>
          <w:sz w:val="20"/>
          <w:szCs w:val="20"/>
          <w:color w:val="auto"/>
        </w:rPr>
      </w:pPr>
    </w:p>
    <w:p>
      <w:pPr>
        <w:spacing w:after="0" w:line="293" w:lineRule="exact"/>
        <w:rPr>
          <w:sz w:val="20"/>
          <w:szCs w:val="20"/>
          <w:color w:val="auto"/>
        </w:rPr>
      </w:pPr>
    </w:p>
    <w:p>
      <w:pPr>
        <w:ind w:right="5560"/>
        <w:spacing w:after="0" w:line="284" w:lineRule="auto"/>
        <w:rPr>
          <w:sz w:val="20"/>
          <w:szCs w:val="20"/>
          <w:color w:val="auto"/>
        </w:rPr>
      </w:pPr>
      <w:r>
        <w:rPr>
          <w:rFonts w:ascii="Times New Roman" w:cs="Times New Roman" w:eastAsia="Times New Roman" w:hAnsi="Times New Roman"/>
          <w:sz w:val="18"/>
          <w:szCs w:val="18"/>
          <w:i w:val="1"/>
          <w:iCs w:val="1"/>
          <w:color w:val="auto"/>
        </w:rPr>
        <w:t>PricewaterhouseCoopers LLP, 1075 Peachtree St, Suite 2600, Atlanta, GA 30309 T: (678) 419 1000, F: (678) 419 1239, www.pwc.com/us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2970530</wp:posOffset>
            </wp:positionH>
            <wp:positionV relativeFrom="page">
              <wp:posOffset>594995</wp:posOffset>
            </wp:positionV>
            <wp:extent cx="1629410" cy="960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62941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Community Banks,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Blairsville, Georgia</w:t>
      </w:r>
    </w:p>
    <w:p>
      <w:pPr>
        <w:spacing w:after="0" w:line="2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United Community Banks, Inc. and subsidiaries (the “Company”) as of December 31, 2012 and 2011, and the related consolidated statements of operations, comprehensive income (loss), changes in shareholders’ equity, and cash flows for each of the years in the two-year period ended December 31, 2012. These consolidated financial statements are the responsibility of the Company’s management. Our responsibility is to express an opinion on these consolidated financial statements based on our audits.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opinions.</w:t>
      </w:r>
    </w:p>
    <w:p>
      <w:pPr>
        <w:spacing w:after="0" w:line="21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United Community Banks, Inc. and subsidiaries as of December 31, 2012 and 2011, and the results of their operations and their cash flows for each of the years in the two-year period ended December 31, 2012, in conformity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432435</wp:posOffset>
            </wp:positionV>
            <wp:extent cx="2470150"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701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2013</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235 Peachtree Street NE | Suite 1800 | Atlanta, Georgia 30303 | Phone 404.588.4200 | Fax 404.588.4222</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Loans, including fees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200,893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217,378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Taxable</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40,331</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exempt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Deposits in banks and short-term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interest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245,840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265,977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NOW</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1,759</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Savings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deposit interest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interest 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228,068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interest revenue after provision for credit losses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165,568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Fee revenue: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Service charges and fees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31,997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Mortgage loan and other related fees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9,925</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Brokerage fees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gains, net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Losses on prepayment of borrowings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(6,681)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fee 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209,256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221,680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96,233</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96,026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Occupancy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13,930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Communications and equipment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13,233</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FDIC assessments and other regulatory charges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9,617</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Postage, printing and supplies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Advertising and public relations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3,718</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Foreclosed property</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7,869</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186,774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(238,188)</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income (loss) available to common shareholders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261,062</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21,708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(238,584)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common share: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58,787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39,943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58,845</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57,857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39,943</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779" w:gutter="0" w:footer="0" w:header="0"/>
        </w:sectPr>
      </w:pPr>
    </w:p>
    <w:bookmarkStart w:id="63" w:name="page64"/>
    <w:bookmarkEnd w:id="63"/>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92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Net of Tax</w:t>
            </w:r>
          </w:p>
        </w:tc>
        <w:tc>
          <w:tcPr>
            <w:tcW w:w="8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9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Net of Tax</w:t>
            </w: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9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$ 34,952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$ 238,188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$ 273,140</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$ 34,906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(1,050)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$ 33,856</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2"/>
              </w:rPr>
              <w:t>$ (230,729)</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3,983</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(226,746)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Unrealized (losses) gains on available-</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for-sale securities:</w:t>
            </w: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Unrealized holding gains (losses)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arising during period</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2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(13,946)</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(1,275)</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361</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Reclassification of securities from</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available-for-sale to held-to-</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maturity</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8,306</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(3,119)</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5,187</w:t>
            </w: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gains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included in net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(7,078)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Adjustment of valuation allowance</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for the change in deferred taxes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arising from unrealized gains and</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losses on available-for-sale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securities and release of valuation</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allowance</w:t>
            </w: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(2,963)</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(2,963)</w:t>
            </w: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(2,480)</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(689)</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losses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(14,301)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(11,836)</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(6,330)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gains included in net</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(loss) on available-for-sale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securities transferred to held to</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maturity</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c>
          <w:tcPr>
            <w:tcW w:w="9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(1,988)</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(1,215)</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(2,177)</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846</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Reclassification of securities from</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available-for-sale to held-to-maturity</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3,119</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(5,187)</w:t>
            </w:r>
          </w:p>
        </w:tc>
        <w:tc>
          <w:tcPr>
            <w:tcW w:w="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Adjustment of valuation allowance for</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change in deferred taxes arising</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from the amortization of gains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included in net income (loss) on</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available-for-sale securities transferred</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 held-to-maturity and release of</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(846)</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losses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(4,343)</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(1,988)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(1,988)</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Amounts reclassified into net income on</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flow hedges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w:t>
            </w:r>
          </w:p>
        </w:tc>
        <w:tc>
          <w:tcPr>
            <w:tcW w:w="9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(3,712)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(15,116)</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5,880</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Unrealized losses on derivative financial</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instruments accounted for as cash flow</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hedges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(3,923)</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6,161</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(8,739)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Adjustment of valuation allowance for</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change in deferred taxes arising</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from unrealized gains and losses and</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gains included in net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(loss) on cash flow hedges and</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release of valuation allowance</w:t>
            </w: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13,698</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13,698</w:t>
            </w: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(4,844)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(4,844)</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(5,880)</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9,180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19,307</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(12,451)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(12,451)</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(15,116)</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Reclassification of unamortized prior</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service cost and actuarial losses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(4,750)</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1,848</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actuarial gain (loss) on defined</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benefit pension plan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actuarial losses included in net periodic</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pension cost for defined benefit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pension plan</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Adjustment of valuation allowance for</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change in deferred taxes arising</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reclassification of unamortized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prior service cost and actuarial losses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amortization of prior service cost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actuarial losses and release of</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(1,848)</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Net defined benefit pension plan</w:t>
            </w: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activity</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(4,750)</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top w:val="single" w:sz="8" w:color="CCEEFF"/>
            </w:tcBorders>
          </w:tcPr>
          <w:p>
            <w:pPr>
              <w:ind w:left="480"/>
              <w:spacing w:after="0" w:line="198" w:lineRule="exact"/>
              <w:rPr>
                <w:sz w:val="20"/>
                <w:szCs w:val="20"/>
                <w:color w:val="auto"/>
              </w:rPr>
            </w:pPr>
            <w:r>
              <w:rPr>
                <w:rFonts w:ascii="Times New Roman" w:cs="Times New Roman" w:eastAsia="Times New Roman" w:hAnsi="Times New Roman"/>
                <w:sz w:val="18"/>
                <w:szCs w:val="18"/>
                <w:color w:val="auto"/>
              </w:rPr>
              <w:t>Total other comprehensive income</w:t>
            </w: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(13,065)</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16,861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3,796</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(20,331)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(20,331)</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(24,160)</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(24,160)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14" w:right="239" w:bottom="0" w:gutter="0" w:footer="0" w:header="0"/>
        </w:sectPr>
      </w:pPr>
    </w:p>
    <w:bookmarkStart w:id="64" w:name="page65"/>
    <w:bookmarkEnd w:id="64"/>
    <w:p>
      <w:pPr>
        <w:spacing w:after="0"/>
        <w:tabs>
          <w:tab w:leader="none" w:pos="2600" w:val="left"/>
          <w:tab w:leader="none" w:pos="3500" w:val="left"/>
          <w:tab w:leader="none" w:pos="4420" w:val="left"/>
          <w:tab w:leader="none" w:pos="5340" w:val="left"/>
          <w:tab w:leader="none" w:pos="6220" w:val="left"/>
          <w:tab w:leader="none" w:pos="7120" w:val="left"/>
          <w:tab w:leader="none" w:pos="8020" w:val="left"/>
          <w:tab w:leader="none" w:pos="8980" w:val="left"/>
          <w:tab w:leader="none" w:pos="9260" w:val="left"/>
          <w:tab w:leader="none" w:pos="9880" w:val="left"/>
        </w:tabs>
        <w:rPr>
          <w:sz w:val="20"/>
          <w:szCs w:val="20"/>
          <w:color w:val="auto"/>
        </w:rPr>
      </w:pPr>
      <w:r>
        <w:rPr>
          <w:rFonts w:ascii="Times New Roman" w:cs="Times New Roman" w:eastAsia="Times New Roman" w:hAnsi="Times New Roman"/>
          <w:sz w:val="18"/>
          <w:szCs w:val="18"/>
          <w:color w:val="auto"/>
        </w:rPr>
        <w:t>Comprehensive income (loss)</w:t>
      </w:r>
      <w:r>
        <w:rPr>
          <w:sz w:val="20"/>
          <w:szCs w:val="20"/>
          <w:color w:val="auto"/>
        </w:rPr>
        <w:tab/>
      </w:r>
      <w:r>
        <w:rPr>
          <w:rFonts w:ascii="Times New Roman" w:cs="Times New Roman" w:eastAsia="Times New Roman" w:hAnsi="Times New Roman"/>
          <w:sz w:val="18"/>
          <w:szCs w:val="18"/>
          <w:u w:val="single" w:color="auto"/>
          <w:color w:val="auto"/>
        </w:rPr>
        <w:t>$ 21,887</w:t>
        <w:tab/>
        <w:t>$ 255,049</w:t>
        <w:tab/>
        <w:t>$ 276,936</w:t>
        <w:tab/>
        <w:t>$ 14,575</w:t>
        <w:tab/>
        <w:t>$  (1,050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
        <w:t>$ 13,525</w:t>
        <w:tab/>
        <w:t>$ (254,889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
        <w:t>$</w:t>
        <w:tab/>
        <w:t>3,983</w:t>
      </w:r>
      <w:r>
        <w:rPr>
          <w:sz w:val="20"/>
          <w:szCs w:val="20"/>
          <w:color w:val="auto"/>
        </w:rPr>
        <w:tab/>
      </w:r>
      <w:r>
        <w:rPr>
          <w:rFonts w:ascii="Times New Roman" w:cs="Times New Roman" w:eastAsia="Times New Roman" w:hAnsi="Times New Roman"/>
          <w:sz w:val="17"/>
          <w:szCs w:val="17"/>
          <w:u w:val="single" w:color="auto"/>
          <w:color w:val="auto"/>
        </w:rPr>
        <w:t>$ (250,906</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-119380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720"/>
          </w:cols>
          <w:pgMar w:left="900" w:top="121" w:right="279" w:bottom="1440" w:gutter="0" w:footer="0" w:header="0"/>
        </w:sectPr>
      </w:pPr>
    </w:p>
    <w:p>
      <w:pPr>
        <w:spacing w:after="0" w:line="3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8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900" w:top="121" w:right="27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As of December 31, 2013 and 2012</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Assets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71,230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119,669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228,898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1,832,217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held-to-maturity (fair value $485,585 and $261,131)</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479,742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 of unearned income</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4,329,266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(76,762)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4,252,504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4,067,871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covered by loss sharing agreements with the FDIC</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163,589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owned life insurance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80,670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Foreclosed property</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258,518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44,948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9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7,425,419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6,802,259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8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Demand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1,388,512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NOW</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1,427,939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Money market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1,227,575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Savings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251,125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Time: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than $100,000</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892,961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Greater than $100,000</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588,689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Brokered</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424,704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Total deposits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6,201,505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120,125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129,865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Unsettled securities purchases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49,174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Borders>
              <w:top w:val="single" w:sz="8" w:color="CCEEFF"/>
            </w:tcBorders>
          </w:tcPr>
          <w:p>
            <w:pPr>
              <w:spacing w:after="0"/>
              <w:rPr>
                <w:sz w:val="21"/>
                <w:szCs w:val="21"/>
                <w:color w:val="auto"/>
              </w:rPr>
            </w:pPr>
          </w:p>
        </w:tc>
        <w:tc>
          <w:tcPr>
            <w:tcW w:w="280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6,629,704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6,220,854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Preferred stock, $1 par value; 10,000,000 shares authorized;</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Series A, $10 stated value; 0 and 21,700 shares issued and outstanding</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Series B, $1,000 stated value; 105,000 and 180,000 shares issued and outstanding</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Series D, $1,000 stated value; 16,613 shares issued and outstanding</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stock, $1 par value; 100,000,000 shares authorized;</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46,243,345 and 42,423,870 shares issued and outstanding</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stock, non-voting $1 par value; 30,000,000 shares authorized;</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13,188,206 and 15,316,794 shares issued and outstanding</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stock issuable; 241,832 and 133,238 shares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surplus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1,078,676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(448,091)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Borders>
              <w:top w:val="single" w:sz="8" w:color="CCEEFF"/>
            </w:tcBorders>
          </w:tcPr>
          <w:p>
            <w:pPr>
              <w:spacing w:after="0"/>
              <w:rPr>
                <w:sz w:val="21"/>
                <w:szCs w:val="21"/>
                <w:color w:val="auto"/>
              </w:rPr>
            </w:pPr>
          </w:p>
        </w:tc>
        <w:tc>
          <w:tcPr>
            <w:tcW w:w="280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795,715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581,405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40" w:type="dxa"/>
            <w:vAlign w:val="bottom"/>
            <w:tcBorders>
              <w:top w:val="single" w:sz="8" w:color="CCEEFF"/>
            </w:tcBorders>
          </w:tcPr>
          <w:p>
            <w:pPr>
              <w:spacing w:after="0"/>
              <w:rPr>
                <w:sz w:val="23"/>
                <w:szCs w:val="23"/>
                <w:color w:val="auto"/>
              </w:rPr>
            </w:pPr>
          </w:p>
        </w:tc>
        <w:tc>
          <w:tcPr>
            <w:tcW w:w="280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7,425,419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6,802,259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14" w:right="239" w:bottom="0" w:gutter="0" w:footer="0" w:header="0"/>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ectPr>
          <w:pgSz w:w="11900" w:h="16838" w:orient="portrait"/>
          <w:cols w:equalWidth="0" w:num="1">
            <w:col w:w="9019"/>
          </w:cols>
          <w:pgMar w:left="1440" w:top="364"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type w:val="continuous"/>
        </w:sectPr>
      </w:pPr>
    </w:p>
    <w:bookmarkStart w:id="67" w:name="page68"/>
    <w:bookmarkEnd w:id="67"/>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60" w:type="dxa"/>
            <w:vAlign w:val="bottom"/>
          </w:tcPr>
          <w:p>
            <w:pPr>
              <w:spacing w:after="0"/>
              <w:rPr>
                <w:sz w:val="19"/>
                <w:szCs w:val="19"/>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80" w:type="dxa"/>
            <w:vAlign w:val="bottom"/>
          </w:tcPr>
          <w:p>
            <w:pPr>
              <w:spacing w:after="0"/>
              <w:rPr>
                <w:sz w:val="19"/>
                <w:szCs w:val="19"/>
                <w:color w:val="auto"/>
              </w:rPr>
            </w:pPr>
          </w:p>
        </w:tc>
        <w:tc>
          <w:tcPr>
            <w:tcW w:w="6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Series F</w:t>
            </w:r>
          </w:p>
        </w:tc>
        <w:tc>
          <w:tcPr>
            <w:tcW w:w="16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9"/>
                <w:szCs w:val="19"/>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60" w:type="dxa"/>
            <w:vAlign w:val="bottom"/>
          </w:tcPr>
          <w:p>
            <w:pPr>
              <w:spacing w:after="0"/>
              <w:rPr>
                <w:sz w:val="19"/>
                <w:szCs w:val="19"/>
                <w:color w:val="auto"/>
              </w:rPr>
            </w:pP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December 31,</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217</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$ 175,711</w:t>
            </w:r>
          </w:p>
        </w:tc>
        <w:tc>
          <w:tcPr>
            <w:tcW w:w="280" w:type="dxa"/>
            <w:vAlign w:val="bottom"/>
            <w:tcBorders>
              <w:left w:val="single" w:sz="8" w:color="CCEEFF"/>
            </w:tcBorders>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18,937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3,894</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741,244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(492,276)</w:t>
            </w:r>
          </w:p>
        </w:tc>
        <w:tc>
          <w:tcPr>
            <w:tcW w:w="18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20,851</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$ 468,578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80" w:type="dxa"/>
            <w:vAlign w:val="bottom"/>
            <w:vMerge w:val="continue"/>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80" w:type="dxa"/>
            <w:vAlign w:val="bottom"/>
            <w:tcBorders>
              <w:left w:val="single" w:sz="8" w:color="CCEEFF"/>
            </w:tcBorders>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00" w:type="dxa"/>
            <w:vAlign w:val="bottom"/>
            <w:tcBorders>
              <w:right w:val="single" w:sz="8" w:color="CCEEFF"/>
            </w:tcBorders>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20" w:type="dxa"/>
            <w:vAlign w:val="bottom"/>
            <w:tcBorders>
              <w:right w:val="single" w:sz="8" w:color="CCEEFF"/>
            </w:tcBorders>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720" w:type="dxa"/>
            <w:vAlign w:val="bottom"/>
            <w:tcBorders>
              <w:right w:val="single" w:sz="8" w:color="CCEEFF"/>
            </w:tcBorders>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20" w:type="dxa"/>
            <w:vAlign w:val="bottom"/>
            <w:tcBorders>
              <w:right w:val="single" w:sz="8" w:color="CCEEFF"/>
            </w:tcBorders>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920" w:type="dxa"/>
            <w:vAlign w:val="bottom"/>
            <w:tcBorders>
              <w:right w:val="single" w:sz="8" w:color="CCEEFF"/>
            </w:tcBorders>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(226,746)</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(226,746)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(24,160)</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(24,160)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Penalty received on</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incomplete private equity</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3,250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3,250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transaction</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for common</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equity exchange related</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to tax benefits</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preservation plan</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(1,551,126 common</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16,613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(1,551)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(15,062)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and preferred</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stock issued (3,467,699</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195,872</w:t>
            </w:r>
          </w:p>
        </w:tc>
        <w:tc>
          <w:tcPr>
            <w:tcW w:w="8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151,185</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3,468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11,035</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361,560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shares)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Series F and</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Series G preferred stock</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(20,618,156 voting and</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15,914,209 non-</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(195,872)</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(151,185)</w:t>
            </w: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20,618</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15,914</w:t>
            </w: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310,525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voting common shares)</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to</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Dividend Reinvestment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Plan and</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employee benefit plans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(156,816</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156</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1,453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shares)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of stock</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options and restricted</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2,144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stock</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awards (12,239 common</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shares issued, 6,382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54</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shares deferred)</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Deferred compensation</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241</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plan, net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from</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compensation</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plan (6,266 common</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(956)</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950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Tax on option exercise and</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restricted stock vesting</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 dividends: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Series A</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Series B, including</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(10,401)</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accretion</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Series D</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7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December 31,</w:t>
            </w: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6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177,092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16,613</w:t>
            </w:r>
          </w:p>
        </w:tc>
        <w:tc>
          <w:tcPr>
            <w:tcW w:w="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41,647</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15,914</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3,233</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1,054,940</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(730,861)</w:t>
            </w:r>
          </w:p>
        </w:tc>
        <w:tc>
          <w:tcPr>
            <w:tcW w:w="1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(3,309)</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575,486</w:t>
            </w:r>
          </w:p>
        </w:tc>
        <w:tc>
          <w:tcPr>
            <w:tcW w:w="0" w:type="dxa"/>
            <w:vAlign w:val="bottom"/>
          </w:tcPr>
          <w:p>
            <w:pPr>
              <w:spacing w:after="0"/>
              <w:rPr>
                <w:sz w:val="1"/>
                <w:szCs w:val="1"/>
                <w:color w:val="auto"/>
              </w:rPr>
            </w:pPr>
          </w:p>
        </w:tc>
      </w:tr>
      <w:tr>
        <w:trPr>
          <w:trHeight w:val="173"/>
        </w:trPr>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33,856</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(20,331)</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to</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Dividend Reinvestment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Plan and</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employee benefit plans</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(109,905</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shares)</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non-voting</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 to voting</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 (597,415</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597</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(597)</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of stock</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options and restricted</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1,976</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stock</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awards (64,839 common</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shares issued, 36,673</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155</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shares deferred)</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Deferred compensation</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201</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plan, net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from</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compensation</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plan (4,611 common</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(470)</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 dividends:</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Series A</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Series B, including</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(10,465)</w:t>
            </w: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accretion</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Series D</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7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December 31,</w:t>
            </w:r>
          </w:p>
        </w:tc>
        <w:tc>
          <w:tcPr>
            <w:tcW w:w="1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60" w:type="dxa"/>
            <w:vAlign w:val="bottom"/>
            <w:vMerge w:val="restart"/>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178,557</w:t>
            </w: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16,613</w:t>
            </w:r>
          </w:p>
        </w:tc>
        <w:tc>
          <w:tcPr>
            <w:tcW w:w="8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42,424</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15,317</w:t>
            </w: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3,119</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1,057,951</w:t>
            </w:r>
          </w:p>
        </w:tc>
        <w:tc>
          <w:tcPr>
            <w:tcW w:w="12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(709,153)</w:t>
            </w:r>
          </w:p>
        </w:tc>
        <w:tc>
          <w:tcPr>
            <w:tcW w:w="18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(23,640)</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581,405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20" w:type="dxa"/>
            <w:vAlign w:val="bottom"/>
            <w:tcBorders>
              <w:right w:val="single" w:sz="8" w:color="CCEEFF"/>
            </w:tcBorders>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720" w:type="dxa"/>
            <w:vAlign w:val="bottom"/>
            <w:tcBorders>
              <w:right w:val="single" w:sz="8" w:color="CCEEFF"/>
            </w:tcBorders>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right w:val="single" w:sz="8" w:color="CCEEFF"/>
            </w:tcBorders>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tcBorders>
              <w:right w:val="single" w:sz="8" w:color="CCEEFF"/>
            </w:tcBorders>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273,140</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273,140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3,796</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Retirement of Series A</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preferred stock (21,700</w:t>
            </w:r>
          </w:p>
        </w:tc>
        <w:tc>
          <w:tcPr>
            <w:tcW w:w="180" w:type="dxa"/>
            <w:vAlign w:val="bottom"/>
          </w:tcPr>
          <w:p>
            <w:pPr>
              <w:spacing w:after="0"/>
              <w:rPr>
                <w:sz w:val="12"/>
                <w:szCs w:val="12"/>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(217)</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Retirement of Series B</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preferred stock (75,000</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to</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63</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733</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Dividend Reinvestment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Plan and</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01" w:orient="portrait"/>
          <w:cols w:equalWidth="0" w:num="1">
            <w:col w:w="11420"/>
          </w:cols>
          <w:pgMar w:left="240" w:top="914" w:right="2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employee benefit plans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(62,978 common shares)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non-voting</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 to voting</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2,129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(2,129)</w:t>
            </w: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(2,128,588 shares)</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4"/>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Warrant exercise</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17,838</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19,389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(1,551,126 shares)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of stock</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options and restricted</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3,045</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stock</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awards, net of shares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surrendered to</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cover payroll taxes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(55,328 common shares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issued, 115,664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1,693</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(1,929)</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shares deferred)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Deferred compensation</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177</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plan, net</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from</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compensation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plan (21,455 common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(1,059)</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1,038</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 dividends:</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Series A</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Series B, including</w:t>
            </w:r>
          </w:p>
        </w:tc>
        <w:tc>
          <w:tcPr>
            <w:tcW w:w="240" w:type="dxa"/>
            <w:vAlign w:val="bottom"/>
            <w:shd w:val="clear" w:color="auto" w:fill="CCEEFF"/>
          </w:tcPr>
          <w:p>
            <w:pPr>
              <w:spacing w:after="0"/>
              <w:rPr>
                <w:sz w:val="10"/>
                <w:szCs w:val="10"/>
                <w:color w:val="auto"/>
              </w:rPr>
            </w:pPr>
          </w:p>
        </w:tc>
        <w:tc>
          <w:tcPr>
            <w:tcW w:w="11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1,443</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(10,401)</w:t>
            </w: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accretion</w:t>
            </w:r>
          </w:p>
        </w:tc>
        <w:tc>
          <w:tcPr>
            <w:tcW w:w="240" w:type="dxa"/>
            <w:vAlign w:val="bottom"/>
            <w:shd w:val="clear" w:color="auto" w:fill="CCEEFF"/>
          </w:tcPr>
          <w:p>
            <w:pPr>
              <w:spacing w:after="0"/>
              <w:rPr>
                <w:sz w:val="14"/>
                <w:szCs w:val="14"/>
                <w:color w:val="auto"/>
              </w:rPr>
            </w:pPr>
          </w:p>
        </w:tc>
        <w:tc>
          <w:tcPr>
            <w:tcW w:w="1100" w:type="dxa"/>
            <w:vAlign w:val="bottom"/>
            <w:gridSpan w:val="4"/>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Series D</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(1,665)</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7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December 31,</w:t>
            </w:r>
          </w:p>
        </w:tc>
        <w:tc>
          <w:tcPr>
            <w:tcW w:w="24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$ 105,000</w:t>
            </w:r>
          </w:p>
        </w:tc>
        <w:tc>
          <w:tcPr>
            <w:tcW w:w="8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$ 16,613</w:t>
            </w:r>
          </w:p>
        </w:tc>
        <w:tc>
          <w:tcPr>
            <w:tcW w:w="26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  46,243</w:t>
            </w:r>
          </w:p>
        </w:tc>
        <w:tc>
          <w:tcPr>
            <w:tcW w:w="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13,188</w:t>
            </w: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3,930</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$ 1,078,676</w:t>
            </w:r>
          </w:p>
        </w:tc>
        <w:tc>
          <w:tcPr>
            <w:tcW w:w="22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(448,091)</w:t>
            </w:r>
          </w:p>
        </w:tc>
        <w:tc>
          <w:tcPr>
            <w:tcW w:w="28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(19,844)</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$ 795,715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vMerge w:val="continue"/>
            <w:shd w:val="clear" w:color="auto" w:fill="CCEEFF"/>
          </w:tcPr>
          <w:p>
            <w:pPr>
              <w:spacing w:after="0"/>
              <w:rPr>
                <w:sz w:val="16"/>
                <w:szCs w:val="16"/>
                <w:color w:val="auto"/>
              </w:rPr>
            </w:pPr>
          </w:p>
        </w:tc>
        <w:tc>
          <w:tcPr>
            <w:tcW w:w="1100" w:type="dxa"/>
            <w:vAlign w:val="bottom"/>
            <w:gridSpan w:val="4"/>
            <w:vMerge w:val="continue"/>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1160" w:type="dxa"/>
            <w:vAlign w:val="bottom"/>
            <w:gridSpan w:val="4"/>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20" w:type="dxa"/>
            <w:vAlign w:val="bottom"/>
            <w:tcBorders>
              <w:right w:val="single" w:sz="8" w:color="CCEEFF"/>
            </w:tcBorders>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20" w:type="dxa"/>
            <w:vAlign w:val="bottom"/>
            <w:tcBorders>
              <w:right w:val="single" w:sz="8" w:color="CCEEFF"/>
            </w:tcBorders>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820" w:type="dxa"/>
            <w:vAlign w:val="bottom"/>
            <w:tcBorders>
              <w:right w:val="single" w:sz="8" w:color="CCEEFF"/>
            </w:tcBorders>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273,140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33,856</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26,388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(241,655)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gains, net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on prepayment of borrowings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Losses and write downs on sales of other real estate owned</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(Increase) decrease in other assets and accrued interest receivable</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Increase (decrease) in accrued expenses and other liabilities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Decrease (increase) in mortgage loans held for sale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191,652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183,078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151,881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Proceeds from maturities and calls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63,985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82,801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(8,481)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sales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39,731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469,167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Proceeds from maturities and calls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477,060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629,896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(818,256)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(1,166,653)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(increase) decrease in loans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(358,858)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(159,814)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loan sales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91,913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collected from FDIC under loss sharing agreements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(8,143)</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other real estate owned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(482,791)</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(102,013)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(363,972)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increase (decrease) in deposits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249,365</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(145,843)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increase (decrease) in short-term borrowings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Federal Home Loan Bank advances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770,000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1,789,000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Federal Home Loan Bank advances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(690,000)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(1,791,701)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for dividend reinvestment and employee benefit plans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and preferred stock, net of offering costs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warrant exercise</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19,389</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Retirement of preferred stock</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(75,217)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penalty on incomplete private equity transaction</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on Series A preferred stock</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on Series B preferred stock</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(9,440)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on Series D preferred stock</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(208,332)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(58,950)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(22,251)</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(127,267)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251,149</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378,416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649,457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228,898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251,149</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378,416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7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26,139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42,107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taxes paid (refunds received)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0" w:gutter="0" w:footer="0" w:header="0"/>
        </w:sectPr>
      </w:pPr>
    </w:p>
    <w:bookmarkStart w:id="70" w:name="page71"/>
    <w:bookmarkEnd w:id="70"/>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rFonts w:ascii="Times New Roman" w:cs="Times New Roman" w:eastAsia="Times New Roman" w:hAnsi="Times New Roman"/>
          <w:sz w:val="18"/>
          <w:szCs w:val="18"/>
          <w:b w:val="1"/>
          <w:bCs w:val="1"/>
          <w:color w:val="auto"/>
        </w:rPr>
      </w:pPr>
    </w:p>
    <w:p>
      <w:pPr>
        <w:ind w:left="492" w:righ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principles followed by United Community Banks, Inc. (“United”) and its subsidiaries and the methods of applying these principles conform with accounting principles generally accepted in the United States of America (“GAAP”) and with general practices within the banking industry. The following is a description of the more significant of those policies.</w:t>
      </w:r>
    </w:p>
    <w:p>
      <w:pPr>
        <w:spacing w:after="0" w:line="199"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 and Basis of Presentation</w:t>
      </w:r>
    </w:p>
    <w:p>
      <w:pPr>
        <w:spacing w:after="0" w:line="256" w:lineRule="exact"/>
        <w:rPr>
          <w:rFonts w:ascii="Times New Roman" w:cs="Times New Roman" w:eastAsia="Times New Roman" w:hAnsi="Times New Roman"/>
          <w:sz w:val="18"/>
          <w:szCs w:val="18"/>
          <w:b w:val="1"/>
          <w:bCs w:val="1"/>
          <w:color w:val="auto"/>
        </w:rPr>
      </w:pPr>
    </w:p>
    <w:p>
      <w:pPr>
        <w:ind w:left="49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2013, United was a bank holding company subject to the regulation of the Board of Governors of the Federal Reserve System (the “Federal Reserve”) whose principal business was conducted by its wholly-owned commercial bank subsidiary, United Community Bank (the “Bank”). United is subject to regulation under the Bank Holding Company Act of 1956. The consolidated financial statements include the accounts of United, the Bank and other wholly-owned subsidiaries. All significant intercompany accounts and transactions have been eliminated in consolidation.</w:t>
      </w:r>
    </w:p>
    <w:p>
      <w:pPr>
        <w:spacing w:after="0" w:line="207" w:lineRule="exact"/>
        <w:rPr>
          <w:rFonts w:ascii="Times New Roman" w:cs="Times New Roman" w:eastAsia="Times New Roman" w:hAnsi="Times New Roman"/>
          <w:sz w:val="18"/>
          <w:szCs w:val="18"/>
          <w:b w:val="1"/>
          <w:bCs w:val="1"/>
          <w:color w:val="auto"/>
        </w:rPr>
      </w:pPr>
    </w:p>
    <w:p>
      <w:pPr>
        <w:ind w:left="492"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Bank is a Georgia state chartered commercial bank that serves markets throughout north Georgia, coastal Georgia, the Atlanta, Georgia MSA, the Gainesville, Georgia MSA, western North Carolina, the Greenville, South Carolina MSA and east and central Tennessee and provides a full range of banking services. The Bank is insured and subject to the regulation of the Federal Deposit Insurance Corporation (“FDIC”) and is also subject to the regulation of the Georgia Department of Banking and Finance.</w:t>
      </w:r>
    </w:p>
    <w:p>
      <w:pPr>
        <w:spacing w:after="0" w:line="203"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Use of Estimates</w:t>
      </w:r>
    </w:p>
    <w:p>
      <w:pPr>
        <w:spacing w:after="0" w:line="256" w:lineRule="exact"/>
        <w:rPr>
          <w:rFonts w:ascii="Times New Roman" w:cs="Times New Roman" w:eastAsia="Times New Roman" w:hAnsi="Times New Roman"/>
          <w:sz w:val="18"/>
          <w:szCs w:val="18"/>
          <w:b w:val="1"/>
          <w:bCs w:val="1"/>
          <w:color w:val="auto"/>
        </w:rPr>
      </w:pPr>
    </w:p>
    <w:p>
      <w:pPr>
        <w:ind w:left="492" w:right="2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allowance for loan losses, the valuation of real estate acquired in connection with foreclosures or in satisfaction of loans, the valuation of goodwill and separately identifiable intangible assets associated with mergers and acquisitions and the valuation of deferred tax assets.</w:t>
      </w:r>
    </w:p>
    <w:p>
      <w:pPr>
        <w:spacing w:after="0" w:line="206"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Operating Segments</w:t>
      </w:r>
    </w:p>
    <w:p>
      <w:pPr>
        <w:spacing w:after="0" w:line="256" w:lineRule="exact"/>
        <w:rPr>
          <w:rFonts w:ascii="Times New Roman" w:cs="Times New Roman" w:eastAsia="Times New Roman" w:hAnsi="Times New Roman"/>
          <w:sz w:val="18"/>
          <w:szCs w:val="18"/>
          <w:b w:val="1"/>
          <w:bCs w:val="1"/>
          <w:color w:val="auto"/>
        </w:rPr>
      </w:pPr>
    </w:p>
    <w:p>
      <w:pPr>
        <w:ind w:left="492"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Although United’s operations are divided among geographic regions and local community banks within those regions, those regions and banks have similar economic characteristics and are therefore aggregated into one operating segment for purposes of segment reporting. Therefore, because United has only one operating and reportable segment, segment information is not provided separately from the consolidated financial statements.</w:t>
      </w:r>
    </w:p>
    <w:p>
      <w:pPr>
        <w:spacing w:after="0" w:line="210"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Short-term Investments</w:t>
      </w:r>
    </w:p>
    <w:p>
      <w:pPr>
        <w:spacing w:after="0" w:line="256" w:lineRule="exact"/>
        <w:rPr>
          <w:rFonts w:ascii="Times New Roman" w:cs="Times New Roman" w:eastAsia="Times New Roman" w:hAnsi="Times New Roman"/>
          <w:sz w:val="18"/>
          <w:szCs w:val="18"/>
          <w:b w:val="1"/>
          <w:bCs w:val="1"/>
          <w:color w:val="auto"/>
        </w:rPr>
      </w:pPr>
    </w:p>
    <w:p>
      <w:pPr>
        <w:ind w:left="492" w:right="7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Short-term investments include overnight and term federal funds sold, commercial paper, reverse repurchase agreements and other temporary investments with maturities of less than 90 days. United uses a variety of short-term investment vehicles to temporarily invest funds.</w:t>
      </w:r>
    </w:p>
    <w:p>
      <w:pPr>
        <w:spacing w:after="0" w:line="161"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56" w:lineRule="exact"/>
        <w:rPr>
          <w:rFonts w:ascii="Times New Roman" w:cs="Times New Roman" w:eastAsia="Times New Roman" w:hAnsi="Times New Roman"/>
          <w:sz w:val="18"/>
          <w:szCs w:val="18"/>
          <w:b w:val="1"/>
          <w:bCs w:val="1"/>
          <w:color w:val="auto"/>
        </w:rPr>
      </w:pPr>
    </w:p>
    <w:p>
      <w:pPr>
        <w:ind w:left="492"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equivalents include amounts due from banks, interest-bearing deposits in banks, federal funds sold, commercial paper, reverse repurchase agreements and short-term investments and are carried at cost. Federal funds are generally sold for one-day periods, interest-bearing deposits in banks are available on demand and commercial paper investments and reverse repurchase agreements mature within a period of less than 90 days.</w:t>
      </w:r>
    </w:p>
    <w:p>
      <w:pPr>
        <w:spacing w:after="0" w:line="199"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 Securities</w:t>
      </w:r>
    </w:p>
    <w:p>
      <w:pPr>
        <w:spacing w:after="0" w:line="256" w:lineRule="exact"/>
        <w:rPr>
          <w:rFonts w:ascii="Times New Roman" w:cs="Times New Roman" w:eastAsia="Times New Roman" w:hAnsi="Times New Roman"/>
          <w:sz w:val="18"/>
          <w:szCs w:val="18"/>
          <w:b w:val="1"/>
          <w:bCs w:val="1"/>
          <w:color w:val="auto"/>
        </w:rPr>
      </w:pPr>
    </w:p>
    <w:p>
      <w:pPr>
        <w:ind w:left="49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classifies its securities in one of three categories: trading, held-to-maturity or available-for-sale. United does not hold any trading securities that are bought and held principally for the purpose of selling them in the near term. Held-to-maturity securities are those securities for which United has the ability and intent to hold until maturity. All other securities are classified as available-for-sale.</w:t>
      </w:r>
    </w:p>
    <w:p>
      <w:pPr>
        <w:spacing w:after="0" w:line="203" w:lineRule="exact"/>
        <w:rPr>
          <w:rFonts w:ascii="Times New Roman" w:cs="Times New Roman" w:eastAsia="Times New Roman" w:hAnsi="Times New Roman"/>
          <w:sz w:val="18"/>
          <w:szCs w:val="18"/>
          <w:b w:val="1"/>
          <w:bCs w:val="1"/>
          <w:color w:val="auto"/>
        </w:rPr>
      </w:pPr>
    </w:p>
    <w:p>
      <w:pPr>
        <w:ind w:left="492"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Held-to-maturity securities are recorded at cost, adjusted for the amortization or accretion of premiums or discounts. Available-for-sale securities are recorded at fair value. Unrealized holding gains and losses, net of the related tax effect, on available-for-sale securities are excluded from net income and are reported in other comprehensive income as a separate component of shareholders’ equity until realized. Transfers of securities between categories are recorded at fair value at the date of transfer. Unrealized holding gains or losses associated with transfers of securities from available-for-sale to held-to-maturity are included in the balance of accumulated other comprehensive income in the consolidated balance sheet.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14" w:right="259" w:bottom="644" w:gutter="0" w:footer="0" w:header="0"/>
        </w:sectPr>
      </w:pPr>
    </w:p>
    <w:bookmarkStart w:id="71" w:name="page72"/>
    <w:bookmarkEnd w:id="71"/>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right="6680" w:hanging="492"/>
        <w:spacing w:after="0" w:line="519" w:lineRule="auto"/>
        <w:tabs>
          <w:tab w:leader="none" w:pos="49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u w:val="single" w:color="auto"/>
          <w:color w:val="auto"/>
        </w:rPr>
        <w:t>Investment Securities, continued</w:t>
      </w:r>
    </w:p>
    <w:p>
      <w:pPr>
        <w:ind w:left="49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evaluates investment securities for other than temporary impairment on a quarterly basis. A decline in the fair value of available-for-sale and held-to-maturity securities below cost that is deemed other than temporary is charged to earnings for a decline in value deemed to be credit related. The decline in value attributed to non credit related factors is recognized in other comprehensive income and a new cost basis for the security is established. Premiums and discounts are amortized or accreted over the life of the related security as an adjustment to the yield. Realized gains and losses for securities classified as available-for-sale and held-to-maturity are included in net income and derived using the specific identification method for determining the cost of the securities sold.</w:t>
      </w:r>
    </w:p>
    <w:p>
      <w:pPr>
        <w:spacing w:after="0" w:line="214" w:lineRule="exact"/>
        <w:rPr>
          <w:rFonts w:ascii="Times New Roman" w:cs="Times New Roman" w:eastAsia="Times New Roman" w:hAnsi="Times New Roman"/>
          <w:sz w:val="18"/>
          <w:szCs w:val="18"/>
          <w:b w:val="1"/>
          <w:bCs w:val="1"/>
          <w:color w:val="auto"/>
        </w:rPr>
      </w:pPr>
    </w:p>
    <w:p>
      <w:pPr>
        <w:ind w:left="492"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Federal Home Loan Bank (“FHLB”) stock is included in other assets at its original cost basis, as cost approximates fair value as there is no ready market for such investments.</w:t>
      </w:r>
    </w:p>
    <w:p>
      <w:pPr>
        <w:spacing w:after="0" w:line="184"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 Held for Sale</w:t>
      </w:r>
    </w:p>
    <w:p>
      <w:pPr>
        <w:spacing w:after="0" w:line="256" w:lineRule="exact"/>
        <w:rPr>
          <w:rFonts w:ascii="Times New Roman" w:cs="Times New Roman" w:eastAsia="Times New Roman" w:hAnsi="Times New Roman"/>
          <w:sz w:val="18"/>
          <w:szCs w:val="18"/>
          <w:b w:val="1"/>
          <w:bCs w:val="1"/>
          <w:color w:val="auto"/>
        </w:rPr>
      </w:pPr>
    </w:p>
    <w:p>
      <w:pPr>
        <w:ind w:left="492"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Mortgage loans held for sale are carried at the lower of aggregate cost or market value. The amount by which cost exceeds market value is accounted for as a valuation allowance. Changes in the valuation allowance are included in the determination of net income for the period in which the change occurs. No market valuation allowances were required at December 31, 2013 or 2012 since those loans have market values that approximated the recorded cost basis.</w:t>
      </w:r>
    </w:p>
    <w:p>
      <w:pPr>
        <w:spacing w:after="0" w:line="203"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Loans</w:t>
      </w:r>
    </w:p>
    <w:p>
      <w:pPr>
        <w:spacing w:after="0" w:line="256" w:lineRule="exact"/>
        <w:rPr>
          <w:rFonts w:ascii="Times New Roman" w:cs="Times New Roman" w:eastAsia="Times New Roman" w:hAnsi="Times New Roman"/>
          <w:sz w:val="18"/>
          <w:szCs w:val="18"/>
          <w:b w:val="1"/>
          <w:bCs w:val="1"/>
          <w:color w:val="auto"/>
        </w:rPr>
      </w:pPr>
    </w:p>
    <w:p>
      <w:pPr>
        <w:jc w:val="both"/>
        <w:ind w:left="492"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the exception of purchased loans that are recorded at fair value on the date of acquisition, loans are stated at principal amount outstanding, net of any unearned revenue and net of any deferred loan fees and costs. Interest on loans is primarily calculated by using the simple interest method on daily balances of the principal amount outstanding.</w:t>
      </w:r>
    </w:p>
    <w:p>
      <w:pPr>
        <w:spacing w:after="0" w:line="203" w:lineRule="exact"/>
        <w:rPr>
          <w:rFonts w:ascii="Times New Roman" w:cs="Times New Roman" w:eastAsia="Times New Roman" w:hAnsi="Times New Roman"/>
          <w:sz w:val="18"/>
          <w:szCs w:val="18"/>
          <w:b w:val="1"/>
          <w:bCs w:val="1"/>
          <w:color w:val="auto"/>
        </w:rPr>
      </w:pPr>
    </w:p>
    <w:p>
      <w:pPr>
        <w:ind w:left="492"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accrual of interest is discontinued when a loan becomes 90 days past due and is not both well collateralized and in the process of collection, or when management believes, after considering economic and business conditions and collection efforts, that the principal or interest will not be collectible in the normal course of business. Past due status is based on contractual terms of the loan. When a loan is placed on nonaccrual status, previously accrued and uncollected interest is charged against interest revenue on loans. Interest payments are applied to reduce the principal balance on nonaccrual loans. Loans are returned to accrual status when all the principal and interest amounts contractually due are brought current, there is a sustained period of repayment performance and future payments are reasonably assured. Nonaccrual loans include both smaller balance homogeneous loans that are collectively evaluated for impairment and individually classified impaired loans.</w:t>
      </w:r>
    </w:p>
    <w:p>
      <w:pPr>
        <w:spacing w:after="0" w:line="216" w:lineRule="exact"/>
        <w:rPr>
          <w:rFonts w:ascii="Times New Roman" w:cs="Times New Roman" w:eastAsia="Times New Roman" w:hAnsi="Times New Roman"/>
          <w:sz w:val="18"/>
          <w:szCs w:val="18"/>
          <w:b w:val="1"/>
          <w:bCs w:val="1"/>
          <w:color w:val="auto"/>
        </w:rPr>
      </w:pPr>
    </w:p>
    <w:p>
      <w:pPr>
        <w:ind w:left="492"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loan is considered impaired when, based on current events and circumstances, it is probable that all amounts due, according to the contractual terms of the loan, will not be collected. Individually impaired loans are measured based on the present value of expected future cash flows, discounted at the loan’s effective interest rate, at the loan’s observable market price, or the fair value of the collateral if the loan is collateral dependent. Interest revenue on impaired loans is discontinued when the loans meet the criteria for nonaccrual status described above. Factors considered by management in determining impairment include payment status, collateral value, and the probability of collecting scheduled principal and interest payments when due. Loans that experience insignificant payment delays and payment shortfalls generally are not considered impaired. Management determines the significance of payment delays and payment shortfalls on a case-by-case basis, taking into consideration all of the circumstances surrounding the loan and borrower, including the length of the delay, the reasons for the delay, the borrower’s prior payment record, and the amount of the shortfall in relation to the principal and interest owed.</w:t>
      </w:r>
    </w:p>
    <w:p>
      <w:pPr>
        <w:spacing w:after="0" w:line="212" w:lineRule="exact"/>
        <w:rPr>
          <w:rFonts w:ascii="Times New Roman" w:cs="Times New Roman" w:eastAsia="Times New Roman" w:hAnsi="Times New Roman"/>
          <w:sz w:val="18"/>
          <w:szCs w:val="18"/>
          <w:b w:val="1"/>
          <w:bCs w:val="1"/>
          <w:color w:val="auto"/>
        </w:rPr>
      </w:pPr>
    </w:p>
    <w:p>
      <w:pPr>
        <w:ind w:left="492" w:righ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Most of United’s business activity is with customers located within the markets where it has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Therefore, United’s exposure to credit risk is significantly affected by changes in the economy within its markets. More than 80% of United’s loan portfolio is secured by real estate and is therefore susceptible to changes in real estate valuations.</w:t>
      </w:r>
    </w:p>
    <w:p>
      <w:pPr>
        <w:spacing w:after="0" w:line="197" w:lineRule="exact"/>
        <w:rPr>
          <w:rFonts w:ascii="Times New Roman" w:cs="Times New Roman" w:eastAsia="Times New Roman" w:hAnsi="Times New Roman"/>
          <w:sz w:val="18"/>
          <w:szCs w:val="18"/>
          <w:b w:val="1"/>
          <w:bCs w:val="1"/>
          <w:color w:val="auto"/>
        </w:rPr>
      </w:pPr>
    </w:p>
    <w:p>
      <w:pPr>
        <w:ind w:left="492" w:right="2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Purchased Loans: </w:t>
      </w:r>
      <w:r>
        <w:rPr>
          <w:rFonts w:ascii="Times New Roman" w:cs="Times New Roman" w:eastAsia="Times New Roman" w:hAnsi="Times New Roman"/>
          <w:sz w:val="18"/>
          <w:szCs w:val="18"/>
          <w:color w:val="auto"/>
        </w:rPr>
        <w:t>United from time to time purchases loans, primarily through business combination transactions. Some of those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show evidence of credit deterioration since origination. Purchased loans are recorded at their estimated fair value such that there is no carryover of the seller’s allowance for loan losses. After acquisition, further losses are recognized by an increase in the allowance for loan losses.</w:t>
      </w:r>
    </w:p>
    <w:p>
      <w:pPr>
        <w:spacing w:after="0" w:line="200" w:lineRule="exact"/>
        <w:rPr>
          <w:sz w:val="20"/>
          <w:szCs w:val="20"/>
          <w:color w:val="auto"/>
        </w:rPr>
      </w:pPr>
    </w:p>
    <w:p>
      <w:pPr>
        <w:spacing w:after="0" w:line="21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14" w:right="259" w:bottom="1440" w:gutter="0" w:footer="0" w:header="0"/>
        </w:sectPr>
      </w:pPr>
    </w:p>
    <w:bookmarkStart w:id="72" w:name="page73"/>
    <w:bookmarkEnd w:id="72"/>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right="6680" w:hanging="492"/>
        <w:spacing w:after="0" w:line="534" w:lineRule="auto"/>
        <w:tabs>
          <w:tab w:leader="none" w:pos="49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u w:val="single" w:color="auto"/>
          <w:color w:val="auto"/>
        </w:rPr>
        <w:t>Loans, continued</w:t>
      </w:r>
    </w:p>
    <w:p>
      <w:pPr>
        <w:spacing w:after="0" w:line="1" w:lineRule="exact"/>
        <w:rPr>
          <w:rFonts w:ascii="Times New Roman" w:cs="Times New Roman" w:eastAsia="Times New Roman" w:hAnsi="Times New Roman"/>
          <w:sz w:val="18"/>
          <w:szCs w:val="18"/>
          <w:b w:val="1"/>
          <w:bCs w:val="1"/>
          <w:color w:val="auto"/>
        </w:rPr>
      </w:pPr>
    </w:p>
    <w:p>
      <w:pPr>
        <w:ind w:left="492"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purchased loans are accounted for individually or aggregated into pools of loans based on common risk characteristics such as the type of loan. United estimates the amount and timing of expected cash flows for each purchased loan or pool and the expected cash flows in excess of the amount paid is recorded as interest income over the remaining life of the loan or pool (accretable yield). The excess of the loan’s or pool’s contractual principal and interest over expected cash flows is not recorded (nonaccretable difference).</w:t>
      </w:r>
    </w:p>
    <w:p>
      <w:pPr>
        <w:spacing w:after="0" w:line="207" w:lineRule="exact"/>
        <w:rPr>
          <w:rFonts w:ascii="Times New Roman" w:cs="Times New Roman" w:eastAsia="Times New Roman" w:hAnsi="Times New Roman"/>
          <w:sz w:val="18"/>
          <w:szCs w:val="18"/>
          <w:b w:val="1"/>
          <w:bCs w:val="1"/>
          <w:color w:val="auto"/>
        </w:rPr>
      </w:pPr>
    </w:p>
    <w:p>
      <w:pPr>
        <w:jc w:val="both"/>
        <w:ind w:left="492"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 the life of the loan or pool, expected cash flows continue to be estimated. If the present value of expected cash flows is less than the carrying amount, a loss is recorded. If the present value of expected cash flows is greater than the carrying amount, it is recognized as part of future interest revenue.</w:t>
      </w:r>
    </w:p>
    <w:p>
      <w:pPr>
        <w:spacing w:after="0" w:line="199"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256" w:lineRule="exact"/>
        <w:rPr>
          <w:rFonts w:ascii="Times New Roman" w:cs="Times New Roman" w:eastAsia="Times New Roman" w:hAnsi="Times New Roman"/>
          <w:sz w:val="18"/>
          <w:szCs w:val="18"/>
          <w:b w:val="1"/>
          <w:bCs w:val="1"/>
          <w:color w:val="auto"/>
        </w:rPr>
      </w:pPr>
    </w:p>
    <w:p>
      <w:pPr>
        <w:ind w:left="49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allowance for credit losses includes the allowance for loan losses (contra asset account) and the allowance for unfunded commitments (liability account included in other liabilities). Increases to the allowance for loan losses and allowance for unfunded commitments are established through a provision for credit losses charged to income. Loans are charged against the allowance for loan losses when available information confirms that the collectability of the principal is unlikely. The allowance for loan losses represents an amount, which, in management’s judgment, is adequate to absorb probable losses on existing loans as of the date of the balance sheet. The allowance for unfunded commitments represents expected losses on unfunded commitments and is reported in the consolidated balance sheet in other liabilities.</w:t>
      </w:r>
    </w:p>
    <w:p>
      <w:pPr>
        <w:spacing w:after="0" w:line="214" w:lineRule="exact"/>
        <w:rPr>
          <w:rFonts w:ascii="Times New Roman" w:cs="Times New Roman" w:eastAsia="Times New Roman" w:hAnsi="Times New Roman"/>
          <w:sz w:val="18"/>
          <w:szCs w:val="18"/>
          <w:b w:val="1"/>
          <w:bCs w:val="1"/>
          <w:color w:val="auto"/>
        </w:rPr>
      </w:pPr>
    </w:p>
    <w:p>
      <w:pPr>
        <w:ind w:left="492" w:right="1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allowance for loan losses is composed of general reserves and specific reserves. General reserves are determined by applying loss percentages to the individual loan categories that are based on actual historical loss experience. United uses an eight-quarter weighted average historical loss rate for each major loan category, weighted toward the most recent quarters’ losses. Additionally, the general economic and business conditions affecting key lending areas, credit quality trends, collateral values, loan volumes and concentrations, seasoning of the loan portfolio, the findings of internal and external credit reviews and results from external bank regulatory examinations are considered in this evaluation. The need for specific reserves is evaluated on nonaccrual loan relationships greater than $500,000, accruing relationships rated substandard that are greater than $2 million and all Troubled Debt Restructurings (“TDRs”) including certain primary home loans in process of restructure. The specific reserves are determined on a loan-by-loan basis based on management’s evaluation of United’s exposure for each credit, given the current payment status of the loan and the value of any underlying collateral. Loans for which specific reserves are provided are excluded from the calculation of general reserves.</w:t>
      </w:r>
    </w:p>
    <w:p>
      <w:pPr>
        <w:spacing w:after="0" w:line="216" w:lineRule="exact"/>
        <w:rPr>
          <w:rFonts w:ascii="Times New Roman" w:cs="Times New Roman" w:eastAsia="Times New Roman" w:hAnsi="Times New Roman"/>
          <w:sz w:val="18"/>
          <w:szCs w:val="18"/>
          <w:b w:val="1"/>
          <w:bCs w:val="1"/>
          <w:color w:val="auto"/>
        </w:rPr>
      </w:pPr>
    </w:p>
    <w:p>
      <w:pPr>
        <w:ind w:left="49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allocation of the allowance for loan losses is based on historical data, subjective judgment and estimates and, therefore, is not necessarily indicative of the specific amounts or loan categories in which charge-offs may ultimately occur. Due to the imprecise nature of the loan loss estimation process and the effects of changing conditions, these risk attributes may not be adequately captured in the data related to the formula-based loan loss components used to determine allocations in United’s analysis of the adequacy of the allowance for loan losses. Consequently, management believes that the unallocated allowance is appropriate to reflect probable incurred but unconfirmed losses in the loan portfolio not otherwise captured by the formula-based loan loss components.</w:t>
      </w:r>
    </w:p>
    <w:p>
      <w:pPr>
        <w:spacing w:after="0" w:line="214" w:lineRule="exact"/>
        <w:rPr>
          <w:rFonts w:ascii="Times New Roman" w:cs="Times New Roman" w:eastAsia="Times New Roman" w:hAnsi="Times New Roman"/>
          <w:sz w:val="18"/>
          <w:szCs w:val="18"/>
          <w:b w:val="1"/>
          <w:bCs w:val="1"/>
          <w:color w:val="auto"/>
        </w:rPr>
      </w:pPr>
    </w:p>
    <w:p>
      <w:pPr>
        <w:ind w:left="492"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determining general reserves, United segments the loan portfolio into broad categories with similar risk elements. Those categories and their specific risks are described below.</w:t>
      </w:r>
    </w:p>
    <w:p>
      <w:pPr>
        <w:spacing w:after="0" w:line="184" w:lineRule="exact"/>
        <w:rPr>
          <w:rFonts w:ascii="Times New Roman" w:cs="Times New Roman" w:eastAsia="Times New Roman" w:hAnsi="Times New Roman"/>
          <w:sz w:val="18"/>
          <w:szCs w:val="18"/>
          <w:b w:val="1"/>
          <w:bCs w:val="1"/>
          <w:color w:val="auto"/>
        </w:rPr>
      </w:pPr>
    </w:p>
    <w:p>
      <w:pPr>
        <w:ind w:left="492" w:right="22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Commercial (secured by real estate) </w:t>
      </w:r>
      <w:r>
        <w:rPr>
          <w:rFonts w:ascii="Times New Roman" w:cs="Times New Roman" w:eastAsia="Times New Roman" w:hAnsi="Times New Roman"/>
          <w:sz w:val="18"/>
          <w:szCs w:val="18"/>
          <w:color w:val="auto"/>
        </w:rPr>
        <w:t>– Loans in this category are susceptible to declines in general economic conditions, occupancy rates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declines in real estate values. Business failure, lack of a suitable alternative use for the property and decline in general economic conditions are also risks common to this segment of the loan portfolio.</w:t>
      </w:r>
    </w:p>
    <w:p>
      <w:pPr>
        <w:spacing w:after="0" w:line="197" w:lineRule="exact"/>
        <w:rPr>
          <w:rFonts w:ascii="Times New Roman" w:cs="Times New Roman" w:eastAsia="Times New Roman" w:hAnsi="Times New Roman"/>
          <w:sz w:val="18"/>
          <w:szCs w:val="18"/>
          <w:b w:val="1"/>
          <w:bCs w:val="1"/>
          <w:color w:val="auto"/>
        </w:rPr>
      </w:pPr>
    </w:p>
    <w:p>
      <w:pPr>
        <w:ind w:left="492" w:right="40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Commercial &amp; industrial </w:t>
      </w:r>
      <w:r>
        <w:rPr>
          <w:rFonts w:ascii="Times New Roman" w:cs="Times New Roman" w:eastAsia="Times New Roman" w:hAnsi="Times New Roman"/>
          <w:sz w:val="18"/>
          <w:szCs w:val="18"/>
          <w:color w:val="auto"/>
        </w:rPr>
        <w:t>– Risks to this loan category include industry concentrations and the inability to monitor the condition of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often consists of inventory, accounts receivable and other non real estate assets. Equipment and inventory obsolescence can also pose a risk. Declines in general economic conditions and other events can cause cash flows to fall to levels insufficient to service debt.</w:t>
      </w:r>
    </w:p>
    <w:p>
      <w:pPr>
        <w:spacing w:after="0" w:line="197" w:lineRule="exact"/>
        <w:rPr>
          <w:rFonts w:ascii="Times New Roman" w:cs="Times New Roman" w:eastAsia="Times New Roman" w:hAnsi="Times New Roman"/>
          <w:sz w:val="18"/>
          <w:szCs w:val="18"/>
          <w:b w:val="1"/>
          <w:bCs w:val="1"/>
          <w:color w:val="auto"/>
        </w:rPr>
      </w:pPr>
    </w:p>
    <w:p>
      <w:pPr>
        <w:ind w:left="492" w:right="20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Commercial construction </w:t>
      </w:r>
      <w:r>
        <w:rPr>
          <w:rFonts w:ascii="Times New Roman" w:cs="Times New Roman" w:eastAsia="Times New Roman" w:hAnsi="Times New Roman"/>
          <w:sz w:val="18"/>
          <w:szCs w:val="18"/>
          <w:color w:val="auto"/>
        </w:rPr>
        <w:t>– Risks common to commercial construction loans are cost overruns, changes in market demand for property, inadequate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financing arrangements and declines in real estate values.</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14" w:right="259" w:bottom="1440" w:gutter="0" w:footer="0" w:header="0"/>
        </w:sectPr>
      </w:pPr>
    </w:p>
    <w:bookmarkStart w:id="73" w:name="page74"/>
    <w:bookmarkEnd w:id="73"/>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right="6660" w:hanging="492"/>
        <w:spacing w:after="0" w:line="516" w:lineRule="auto"/>
        <w:tabs>
          <w:tab w:leader="none" w:pos="49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u w:val="single" w:color="auto"/>
          <w:color w:val="auto"/>
        </w:rPr>
        <w:t>Allowance for Credit Losses, continued</w:t>
      </w:r>
    </w:p>
    <w:p>
      <w:pPr>
        <w:spacing w:after="0" w:line="1" w:lineRule="exact"/>
        <w:rPr>
          <w:rFonts w:ascii="Times New Roman" w:cs="Times New Roman" w:eastAsia="Times New Roman" w:hAnsi="Times New Roman"/>
          <w:sz w:val="18"/>
          <w:szCs w:val="18"/>
          <w:b w:val="1"/>
          <w:bCs w:val="1"/>
          <w:color w:val="auto"/>
        </w:rPr>
      </w:pPr>
    </w:p>
    <w:p>
      <w:pPr>
        <w:ind w:left="492"/>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Residential mortgage </w:t>
      </w:r>
      <w:r>
        <w:rPr>
          <w:rFonts w:ascii="Times New Roman" w:cs="Times New Roman" w:eastAsia="Times New Roman" w:hAnsi="Times New Roman"/>
          <w:sz w:val="18"/>
          <w:szCs w:val="18"/>
          <w:color w:val="auto"/>
        </w:rPr>
        <w:t>– Residential mortgage loans are susceptible to weakening general economic conditions and increases in unemployment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Declining real estate values can reduce or eliminate the borrower’s home equity which can be particularly troubling for home equity lines.</w:t>
      </w:r>
      <w:r>
        <w:rPr>
          <w:rFonts w:ascii="Times New Roman" w:cs="Times New Roman" w:eastAsia="Times New Roman" w:hAnsi="Times New Roman"/>
          <w:sz w:val="18"/>
          <w:szCs w:val="18"/>
          <w:b w:val="1"/>
          <w:bCs w:val="1"/>
          <w:color w:val="auto"/>
        </w:rPr>
        <w:t>Residential construction</w:t>
      </w:r>
      <w:r>
        <w:rPr>
          <w:rFonts w:ascii="Times New Roman" w:cs="Times New Roman" w:eastAsia="Times New Roman" w:hAnsi="Times New Roman"/>
          <w:sz w:val="18"/>
          <w:szCs w:val="18"/>
          <w:color w:val="auto"/>
        </w:rPr>
        <w:t xml:space="preserve"> – Residential construction loans are susceptible to the same risks as commercial construction loans. Changes in market demand for property leads to longer marketing times resulting in higher carrying costs, declining values, and higher interest rates.</w:t>
      </w:r>
    </w:p>
    <w:p>
      <w:pPr>
        <w:spacing w:after="0" w:line="203" w:lineRule="exact"/>
        <w:rPr>
          <w:rFonts w:ascii="Times New Roman" w:cs="Times New Roman" w:eastAsia="Times New Roman" w:hAnsi="Times New Roman"/>
          <w:sz w:val="18"/>
          <w:szCs w:val="18"/>
          <w:b w:val="1"/>
          <w:bCs w:val="1"/>
          <w:color w:val="auto"/>
        </w:rPr>
      </w:pPr>
    </w:p>
    <w:p>
      <w:pPr>
        <w:ind w:left="492" w:right="5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Consumer installment </w:t>
      </w:r>
      <w:r>
        <w:rPr>
          <w:rFonts w:ascii="Times New Roman" w:cs="Times New Roman" w:eastAsia="Times New Roman" w:hAnsi="Times New Roman"/>
          <w:sz w:val="18"/>
          <w:szCs w:val="18"/>
          <w:color w:val="auto"/>
        </w:rPr>
        <w:t>– Risks common to consumer installment loans include regulatory risks, unemployment and changes in local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as well as the inability to monitor collateral consisting of personal property.</w:t>
      </w:r>
    </w:p>
    <w:p>
      <w:pPr>
        <w:spacing w:after="0" w:line="185" w:lineRule="exact"/>
        <w:rPr>
          <w:rFonts w:ascii="Times New Roman" w:cs="Times New Roman" w:eastAsia="Times New Roman" w:hAnsi="Times New Roman"/>
          <w:sz w:val="18"/>
          <w:szCs w:val="18"/>
          <w:b w:val="1"/>
          <w:bCs w:val="1"/>
          <w:color w:val="auto"/>
        </w:rPr>
      </w:pPr>
    </w:p>
    <w:p>
      <w:pPr>
        <w:ind w:left="492"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outsources a significant portion of its loan review to ensure objectivity in the loan review process and to challenge and corroborate the loan grading system. The loan review function provides additional analysis used in determining the adequacy of the allowance for loan losses. To supplement the outsourced loan review, management also has an internal loan review department that is independent of the lending function.</w:t>
      </w:r>
    </w:p>
    <w:p>
      <w:pPr>
        <w:spacing w:after="0" w:line="203" w:lineRule="exact"/>
        <w:rPr>
          <w:rFonts w:ascii="Times New Roman" w:cs="Times New Roman" w:eastAsia="Times New Roman" w:hAnsi="Times New Roman"/>
          <w:sz w:val="18"/>
          <w:szCs w:val="18"/>
          <w:b w:val="1"/>
          <w:bCs w:val="1"/>
          <w:color w:val="auto"/>
        </w:rPr>
      </w:pPr>
    </w:p>
    <w:p>
      <w:pPr>
        <w:ind w:left="492"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believes the allowance for loan losses is appropriate at December 31, 2013. While management uses available information to recognize losses on loans, future additions to the allowance may be necessary based on changes in economic conditions. In addition, various regulatory agencies, as an integral part of their examination process, periodically review United’s allowance for loan losses.</w:t>
      </w:r>
    </w:p>
    <w:p>
      <w:pPr>
        <w:spacing w:after="0" w:line="199"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Premises and Equipment</w:t>
      </w:r>
    </w:p>
    <w:p>
      <w:pPr>
        <w:spacing w:after="0" w:line="256" w:lineRule="exact"/>
        <w:rPr>
          <w:rFonts w:ascii="Times New Roman" w:cs="Times New Roman" w:eastAsia="Times New Roman" w:hAnsi="Times New Roman"/>
          <w:sz w:val="18"/>
          <w:szCs w:val="18"/>
          <w:b w:val="1"/>
          <w:bCs w:val="1"/>
          <w:color w:val="auto"/>
        </w:rPr>
      </w:pPr>
    </w:p>
    <w:p>
      <w:pPr>
        <w:jc w:val="both"/>
        <w:ind w:left="492"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Premises and equipment are stated at cost less accumulated depreciation. Depreciation is computed primarily using the straight-line method over the estimated useful lives of the related assets. Costs incurred for maintenance and repairs are expensed as incurred. The range of estimated useful lives for buildings and improvements is 15 to 40 years, for land improvements, 10 to 35 years, and for furniture and equipment, 3 to 10 years.</w:t>
      </w:r>
    </w:p>
    <w:p>
      <w:pPr>
        <w:spacing w:after="0" w:line="199"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56" w:lineRule="exact"/>
        <w:rPr>
          <w:rFonts w:ascii="Times New Roman" w:cs="Times New Roman" w:eastAsia="Times New Roman" w:hAnsi="Times New Roman"/>
          <w:sz w:val="18"/>
          <w:szCs w:val="18"/>
          <w:b w:val="1"/>
          <w:bCs w:val="1"/>
          <w:color w:val="auto"/>
        </w:rPr>
      </w:pPr>
    </w:p>
    <w:p>
      <w:pPr>
        <w:ind w:left="49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business combinations involving banks and branch locations, United generally records core deposit intangibles representing the value of the acquired core deposit base. Core deposit intangibles are amortized over the estimated useful life of the deposit base, generally on a straight-line or accelerated basis not exceeding 10 years. The remaining useful lives of core deposit intangibles are evaluated periodically to determine whether events and circumstances warrant a revision to the remaining period of amortization.</w:t>
      </w:r>
    </w:p>
    <w:p>
      <w:pPr>
        <w:spacing w:after="0" w:line="203"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Foreclosed Properties</w:t>
      </w:r>
    </w:p>
    <w:p>
      <w:pPr>
        <w:spacing w:after="0" w:line="256" w:lineRule="exact"/>
        <w:rPr>
          <w:rFonts w:ascii="Times New Roman" w:cs="Times New Roman" w:eastAsia="Times New Roman" w:hAnsi="Times New Roman"/>
          <w:sz w:val="18"/>
          <w:szCs w:val="18"/>
          <w:b w:val="1"/>
          <w:bCs w:val="1"/>
          <w:color w:val="auto"/>
        </w:rPr>
      </w:pPr>
    </w:p>
    <w:p>
      <w:pPr>
        <w:ind w:left="49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Foreclosed property is initially recorded at fair value, less cost to sell. If the fair value, less cost to sell at the time of foreclosure is less than the loan balance, the deficiency is recorded as a loan charge-off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Topic 360, Subtopic 20, </w:t>
      </w:r>
      <w:r>
        <w:rPr>
          <w:rFonts w:ascii="Times New Roman" w:cs="Times New Roman" w:eastAsia="Times New Roman" w:hAnsi="Times New Roman"/>
          <w:sz w:val="18"/>
          <w:szCs w:val="18"/>
          <w:i w:val="1"/>
          <w:iCs w:val="1"/>
          <w:color w:val="auto"/>
        </w:rPr>
        <w:t>Real Estate Sales</w:t>
      </w:r>
      <w:r>
        <w:rPr>
          <w:rFonts w:ascii="Times New Roman" w:cs="Times New Roman" w:eastAsia="Times New Roman" w:hAnsi="Times New Roman"/>
          <w:sz w:val="18"/>
          <w:szCs w:val="18"/>
          <w:color w:val="auto"/>
        </w:rPr>
        <w:t xml:space="preserve"> (“ASC 360-20”).</w:t>
      </w:r>
    </w:p>
    <w:p>
      <w:pPr>
        <w:spacing w:after="0" w:line="210"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Transfers of Financial Assets</w:t>
      </w:r>
    </w:p>
    <w:p>
      <w:pPr>
        <w:spacing w:after="0" w:line="256" w:lineRule="exact"/>
        <w:rPr>
          <w:rFonts w:ascii="Times New Roman" w:cs="Times New Roman" w:eastAsia="Times New Roman" w:hAnsi="Times New Roman"/>
          <w:sz w:val="18"/>
          <w:szCs w:val="18"/>
          <w:b w:val="1"/>
          <w:bCs w:val="1"/>
          <w:color w:val="auto"/>
        </w:rPr>
      </w:pPr>
    </w:p>
    <w:p>
      <w:pPr>
        <w:ind w:left="492"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of financial assets are accounted for as sales when control over the assets has been relinquished. Control over transferred assets is deemed to be surrendered when the assets have been isolated from United, the transferee obtains the right, free of conditions that constrain it from taking advantage of that right, to pledge or exchange the transferred assets and United does not maintain effective control over the transferred assets through an agreement to repurchase them before maturity.</w:t>
      </w:r>
    </w:p>
    <w:p>
      <w:pPr>
        <w:spacing w:after="0" w:line="203"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FHLB Stock</w:t>
      </w:r>
    </w:p>
    <w:p>
      <w:pPr>
        <w:spacing w:after="0" w:line="256" w:lineRule="exact"/>
        <w:rPr>
          <w:rFonts w:ascii="Times New Roman" w:cs="Times New Roman" w:eastAsia="Times New Roman" w:hAnsi="Times New Roman"/>
          <w:sz w:val="18"/>
          <w:szCs w:val="18"/>
          <w:b w:val="1"/>
          <w:bCs w:val="1"/>
          <w:color w:val="auto"/>
        </w:rPr>
      </w:pPr>
    </w:p>
    <w:p>
      <w:pPr>
        <w:ind w:left="49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Bank is a member of the FHLB. Members are required to own a certain amount of stock based on the level of borrowings and other factors, and may invest in additional amounts. FHLB stock is carried at cost, classified as a restricted security, and periodically evaluated for impairment based on the ultimate recovery of par value. Both cash and stock dividends are reported as income. United’s FHLB stock is included in the balance of “other assets” in the consolidated balance sheet.</w:t>
      </w:r>
    </w:p>
    <w:p>
      <w:pPr>
        <w:spacing w:after="0" w:line="200" w:lineRule="exact"/>
        <w:rPr>
          <w:sz w:val="20"/>
          <w:szCs w:val="20"/>
          <w:color w:val="auto"/>
        </w:rPr>
      </w:pPr>
    </w:p>
    <w:p>
      <w:pPr>
        <w:spacing w:after="0" w:line="22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14" w:right="279" w:bottom="1440" w:gutter="0" w:footer="0" w:header="0"/>
        </w:sectPr>
      </w:pPr>
    </w:p>
    <w:bookmarkStart w:id="74" w:name="page75"/>
    <w:bookmarkEnd w:id="7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right="6680" w:hanging="492"/>
        <w:spacing w:after="0" w:line="519" w:lineRule="auto"/>
        <w:tabs>
          <w:tab w:leader="none" w:pos="49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u w:val="single" w:color="auto"/>
          <w:color w:val="auto"/>
        </w:rPr>
        <w:t>Bank Owned Life Insurance</w:t>
      </w:r>
    </w:p>
    <w:p>
      <w:pPr>
        <w:ind w:left="492"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has purchased life insurance policies on certain key executives and members of management. Bank owned life insurance is recorded at the amount that can be realized under the insurance contract at the balance sheet date, which is the cash surrender value adjusted for other changes or other amounts due that are probable at settlement.</w:t>
      </w:r>
    </w:p>
    <w:p>
      <w:pPr>
        <w:spacing w:after="0" w:line="199"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 Commitments and Related Financial Instruments</w:t>
      </w:r>
    </w:p>
    <w:p>
      <w:pPr>
        <w:spacing w:after="0" w:line="256" w:lineRule="exact"/>
        <w:rPr>
          <w:rFonts w:ascii="Times New Roman" w:cs="Times New Roman" w:eastAsia="Times New Roman" w:hAnsi="Times New Roman"/>
          <w:sz w:val="18"/>
          <w:szCs w:val="18"/>
          <w:b w:val="1"/>
          <w:bCs w:val="1"/>
          <w:color w:val="auto"/>
        </w:rPr>
      </w:pPr>
    </w:p>
    <w:p>
      <w:pPr>
        <w:ind w:left="492"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99"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Short-term Borrowings</w:t>
      </w:r>
    </w:p>
    <w:p>
      <w:pPr>
        <w:spacing w:after="0" w:line="229" w:lineRule="exact"/>
        <w:rPr>
          <w:rFonts w:ascii="Times New Roman" w:cs="Times New Roman" w:eastAsia="Times New Roman" w:hAnsi="Times New Roman"/>
          <w:sz w:val="18"/>
          <w:szCs w:val="18"/>
          <w:b w:val="1"/>
          <w:bCs w:val="1"/>
          <w:color w:val="auto"/>
        </w:rPr>
      </w:pPr>
    </w:p>
    <w:p>
      <w:pPr>
        <w:ind w:left="492"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uses a number of short-term funding sources to meet its funding needs. Short-term borrowings generally consist of federal funds purchased, repurchase agreements and other short-term borrowings.</w:t>
      </w:r>
    </w:p>
    <w:p>
      <w:pPr>
        <w:spacing w:after="0" w:line="184"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492"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assets and liabilities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Deferred tax assets and liabilities are measured using enacted tax rates expected to apply to taxable income in the years in which the assets and liabilities are expected to be recovered or settled. The effect of a change in tax rates on deferred tax assets and liabilities is recognized in income taxes during the period that includes the enactment date.</w:t>
      </w:r>
    </w:p>
    <w:p>
      <w:pPr>
        <w:spacing w:after="0" w:line="210" w:lineRule="exact"/>
        <w:rPr>
          <w:rFonts w:ascii="Times New Roman" w:cs="Times New Roman" w:eastAsia="Times New Roman" w:hAnsi="Times New Roman"/>
          <w:sz w:val="18"/>
          <w:szCs w:val="18"/>
          <w:b w:val="1"/>
          <w:bCs w:val="1"/>
          <w:color w:val="auto"/>
        </w:rPr>
      </w:pPr>
    </w:p>
    <w:p>
      <w:pPr>
        <w:ind w:left="492" w:right="1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the future tax consequences of differences between the financial reporting bases and the tax bases of United’s assets and liabilities results in deferred tax assets, an evaluation of the probability of being able to realize the future benefits indicated by such asset is required. A valuation allowance is provided for the portion of the deferred tax asset when it is more likely than not that some or all of the deferred tax asset will not be realized. In assessing the realizability of the deferred tax assets, management considers the scheduled reversals of deferred tax liabilities, projected future taxable earnings and prudent and feasible tax planning strategies. Management weighs both the positive and negative evidence, giving more weight to evidence that can be objectively verified.</w:t>
      </w:r>
    </w:p>
    <w:p>
      <w:pPr>
        <w:spacing w:after="0" w:line="214"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 benefit or expense is the total of the current year income tax due or refundable and the change in deferred tax assets and liabilities.</w:t>
      </w:r>
    </w:p>
    <w:p>
      <w:pPr>
        <w:spacing w:after="0" w:line="252" w:lineRule="exact"/>
        <w:rPr>
          <w:rFonts w:ascii="Times New Roman" w:cs="Times New Roman" w:eastAsia="Times New Roman" w:hAnsi="Times New Roman"/>
          <w:sz w:val="18"/>
          <w:szCs w:val="18"/>
          <w:b w:val="1"/>
          <w:bCs w:val="1"/>
          <w:color w:val="auto"/>
        </w:rPr>
      </w:pPr>
    </w:p>
    <w:p>
      <w:pPr>
        <w:ind w:left="492"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203"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recognizes interest and / or penalties related to income tax matters in income tax expense.</w:t>
      </w:r>
    </w:p>
    <w:p>
      <w:pPr>
        <w:spacing w:after="0" w:line="248"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Banking Derivatives</w:t>
      </w:r>
    </w:p>
    <w:p>
      <w:pPr>
        <w:spacing w:after="0" w:line="229" w:lineRule="exact"/>
        <w:rPr>
          <w:rFonts w:ascii="Times New Roman" w:cs="Times New Roman" w:eastAsia="Times New Roman" w:hAnsi="Times New Roman"/>
          <w:sz w:val="18"/>
          <w:szCs w:val="18"/>
          <w:b w:val="1"/>
          <w:bCs w:val="1"/>
          <w:color w:val="auto"/>
        </w:rPr>
      </w:pPr>
    </w:p>
    <w:p>
      <w:pPr>
        <w:ind w:left="49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Commitments to fund mortgage loans (interest rate locks) to be sold into the secondary market and forward commitments for the future delivery of these mortgage loans are accounted for as free standing derivatives. Fair values of these mortgage derivatives are estimated based on changes in mortgage interest rates from the date the interest rate on the loan is locked. United enters into forward commitments for the future delivery of mortgage loans when interest rate locks are entered into in order to hedge the change in interest rates resulting from its commitments to fund the loans. United’s forward commitments for the future delivery of mortgage loans are based on United’s “best efforts” and therefore United is not penalized if a loan is not delivered to the investor if the loan did not get originated. Changes in the fair values of these derivatives generally offset each other and are included in “mortgage loan and other related fees” in the consolidated statement of operations.</w:t>
      </w:r>
    </w:p>
    <w:p>
      <w:pPr>
        <w:spacing w:after="0" w:line="185"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229" w:lineRule="exact"/>
        <w:rPr>
          <w:rFonts w:ascii="Times New Roman" w:cs="Times New Roman" w:eastAsia="Times New Roman" w:hAnsi="Times New Roman"/>
          <w:sz w:val="18"/>
          <w:szCs w:val="18"/>
          <w:b w:val="1"/>
          <w:bCs w:val="1"/>
          <w:color w:val="auto"/>
        </w:rPr>
      </w:pPr>
    </w:p>
    <w:p>
      <w:pPr>
        <w:ind w:left="49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United’s interest rate risk management strategy incorporates the use of derivative instruments to minimize fluctuations in net income that are caused by interest rate volatility. United’s goal is to manage interest rate sensitivity by modifying the repricing or maturity characteristics of certain balance sheet assets and liabilities so that the net interest margin is not, on a material basis, adversely affected by movements in interest rates. United views this strategy as a prudent management of interest rate risk, such that net income is not exposed to undue risk presented by changes in interest rates.</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14" w:right="259" w:bottom="968" w:gutter="0" w:footer="0" w:header="0"/>
        </w:sectPr>
      </w:pPr>
    </w:p>
    <w:bookmarkStart w:id="75" w:name="page76"/>
    <w:bookmarkEnd w:id="75"/>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right="6480" w:hanging="492"/>
        <w:spacing w:after="0" w:line="549" w:lineRule="auto"/>
        <w:tabs>
          <w:tab w:leader="none" w:pos="438"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continued </w:t>
      </w:r>
      <w:r>
        <w:rPr>
          <w:rFonts w:ascii="Times New Roman" w:cs="Times New Roman" w:eastAsia="Times New Roman" w:hAnsi="Times New Roman"/>
          <w:sz w:val="17"/>
          <w:szCs w:val="17"/>
          <w:b w:val="1"/>
          <w:bCs w:val="1"/>
          <w:u w:val="single" w:color="auto"/>
          <w:color w:val="auto"/>
        </w:rPr>
        <w:t>Derivative Instruments and Hedging Activities, continued</w:t>
      </w:r>
    </w:p>
    <w:p>
      <w:pPr>
        <w:spacing w:after="0" w:line="1" w:lineRule="exact"/>
        <w:rPr>
          <w:sz w:val="20"/>
          <w:szCs w:val="20"/>
          <w:color w:val="auto"/>
        </w:rPr>
      </w:pPr>
    </w:p>
    <w:p>
      <w:pPr>
        <w:ind w:left="492" w:right="240"/>
        <w:spacing w:after="0" w:line="266" w:lineRule="auto"/>
        <w:rPr>
          <w:sz w:val="20"/>
          <w:szCs w:val="20"/>
          <w:color w:val="auto"/>
        </w:rPr>
      </w:pPr>
      <w:r>
        <w:rPr>
          <w:rFonts w:ascii="Times New Roman" w:cs="Times New Roman" w:eastAsia="Times New Roman" w:hAnsi="Times New Roman"/>
          <w:sz w:val="18"/>
          <w:szCs w:val="18"/>
          <w:color w:val="auto"/>
        </w:rPr>
        <w:t>In carrying out this part of its interest rate risk management strategy, United uses interest rate derivative contracts. The primary type of derivative contract used by United to manage interest rate risk is interest rate swaps. Interest rate swaps generally involve the exchange of fixed- and variable-rate interest payments between two parties, based on a common notional principal amount and maturity date.</w:t>
      </w:r>
    </w:p>
    <w:p>
      <w:pPr>
        <w:spacing w:after="0" w:line="203" w:lineRule="exact"/>
        <w:rPr>
          <w:sz w:val="20"/>
          <w:szCs w:val="20"/>
          <w:color w:val="auto"/>
        </w:rPr>
      </w:pPr>
    </w:p>
    <w:p>
      <w:pPr>
        <w:ind w:left="492" w:right="80"/>
        <w:spacing w:after="0" w:line="258" w:lineRule="auto"/>
        <w:rPr>
          <w:sz w:val="20"/>
          <w:szCs w:val="20"/>
          <w:color w:val="auto"/>
        </w:rPr>
      </w:pPr>
      <w:r>
        <w:rPr>
          <w:rFonts w:ascii="Times New Roman" w:cs="Times New Roman" w:eastAsia="Times New Roman" w:hAnsi="Times New Roman"/>
          <w:sz w:val="18"/>
          <w:szCs w:val="18"/>
          <w:color w:val="auto"/>
        </w:rPr>
        <w:t>United classifies its derivative financial instruments as either (1) a hedge of an exposure to changes in the fair value of a recorded asset or liability (“fair value hedge”), (2) a hedge of an exposure to changes in the cash flows of a recognized asset, liability or forecasted transaction (“cash flow hedge”), or (3) derivatives not designated as hedges. Changes in the fair value of derivatives not designated as hedges are recognized in current period earnings. United has master netting agreements with the derivatives dealers with which it does business, but reflects gross assets and liabilities on the consolidated balance sheet.</w:t>
      </w:r>
    </w:p>
    <w:p>
      <w:pPr>
        <w:spacing w:after="0" w:line="211" w:lineRule="exact"/>
        <w:rPr>
          <w:sz w:val="20"/>
          <w:szCs w:val="20"/>
          <w:color w:val="auto"/>
        </w:rPr>
      </w:pPr>
    </w:p>
    <w:p>
      <w:pPr>
        <w:ind w:left="492" w:right="140"/>
        <w:spacing w:after="0" w:line="255" w:lineRule="auto"/>
        <w:rPr>
          <w:sz w:val="20"/>
          <w:szCs w:val="20"/>
          <w:color w:val="auto"/>
        </w:rPr>
      </w:pPr>
      <w:r>
        <w:rPr>
          <w:rFonts w:ascii="Times New Roman" w:cs="Times New Roman" w:eastAsia="Times New Roman" w:hAnsi="Times New Roman"/>
          <w:sz w:val="18"/>
          <w:szCs w:val="18"/>
          <w:color w:val="auto"/>
        </w:rPr>
        <w:t>United uses the long-haul method to assess hedge effectiveness. United documents, both at inception and over the life of the hedge, at least quarterly, its analysis of actual and expected hedge effectiveness. This analysis includes techniques such as regression analysis and hypothetical derivatives to demonstrate that the hedge has been, and is expected to be, highly effective in offsetting corresponding changes in the fair value or cash flows of the hedged item. For a qualifying fair value hedge, changes in the value of derivatives that have been highly effective as hedges are recognized in current period earnings along with the corresponding changes in the fair value of the designated hedged item attributable to the risk being hedged. For a qualifying cash flow hedge, the portion of changes in the fair value of the derivatives that have been highly effective are recognized in other comprehensive income until the related cash flows from the hedged item are recognized in earnings.</w:t>
      </w:r>
    </w:p>
    <w:p>
      <w:pPr>
        <w:spacing w:after="0" w:line="216" w:lineRule="exact"/>
        <w:rPr>
          <w:sz w:val="20"/>
          <w:szCs w:val="20"/>
          <w:color w:val="auto"/>
        </w:rPr>
      </w:pPr>
    </w:p>
    <w:p>
      <w:pPr>
        <w:ind w:left="492" w:right="20"/>
        <w:spacing w:after="0" w:line="256" w:lineRule="auto"/>
        <w:rPr>
          <w:sz w:val="20"/>
          <w:szCs w:val="20"/>
          <w:color w:val="auto"/>
        </w:rPr>
      </w:pPr>
      <w:r>
        <w:rPr>
          <w:rFonts w:ascii="Times New Roman" w:cs="Times New Roman" w:eastAsia="Times New Roman" w:hAnsi="Times New Roman"/>
          <w:sz w:val="18"/>
          <w:szCs w:val="18"/>
          <w:color w:val="auto"/>
        </w:rPr>
        <w:t>For fair value hedges and cash flow hedges, ineffectiveness is recognized in the same income statement line as interest accruals on the hedged item to the extent that changes in the value of the derivative instruments do not perfectly offset changes in the value of the hedged items. If the hedge ceases to be highly effective, United discontinues hedge accounting and recognizes the changes in fair value in current period earnings. If a derivative that qualifies as a fair value or cash flow hedge is terminated or the designation removed, the realized or then unrealized gain or loss is recognized into income over the life of the hedged item (fair value hedge). Immediate recognition in earnings is required upon sale or extinguishment of the hedged item (fair value hedge) or if it is probable that the hedged cash flows will not occur (cash flow hedge).</w:t>
      </w:r>
    </w:p>
    <w:p>
      <w:pPr>
        <w:spacing w:after="0" w:line="215" w:lineRule="exact"/>
        <w:rPr>
          <w:sz w:val="20"/>
          <w:szCs w:val="20"/>
          <w:color w:val="auto"/>
        </w:rPr>
      </w:pPr>
    </w:p>
    <w:p>
      <w:pPr>
        <w:ind w:left="492" w:right="100"/>
        <w:spacing w:after="0" w:line="256" w:lineRule="auto"/>
        <w:rPr>
          <w:sz w:val="20"/>
          <w:szCs w:val="20"/>
          <w:color w:val="auto"/>
        </w:rPr>
      </w:pPr>
      <w:r>
        <w:rPr>
          <w:rFonts w:ascii="Times New Roman" w:cs="Times New Roman" w:eastAsia="Times New Roman" w:hAnsi="Times New Roman"/>
          <w:sz w:val="18"/>
          <w:szCs w:val="18"/>
          <w:color w:val="auto"/>
        </w:rPr>
        <w:t>By using derivative instruments, United is exposed to credit and market risk. If the counterparty fails to perform, credit risk is equal to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derivative instruments by entering into transactions with high-quality counterparties that are reviewed periodically by United. From time to time, United may require the counterparties to pledge securities as collateral to cover the net exposure.</w:t>
      </w:r>
    </w:p>
    <w:p>
      <w:pPr>
        <w:spacing w:after="0" w:line="215" w:lineRule="exact"/>
        <w:rPr>
          <w:sz w:val="20"/>
          <w:szCs w:val="20"/>
          <w:color w:val="auto"/>
        </w:rPr>
      </w:pPr>
    </w:p>
    <w:p>
      <w:pPr>
        <w:ind w:left="492" w:right="60"/>
        <w:spacing w:after="0" w:line="261" w:lineRule="auto"/>
        <w:rPr>
          <w:sz w:val="20"/>
          <w:szCs w:val="20"/>
          <w:color w:val="auto"/>
        </w:rPr>
      </w:pPr>
      <w:r>
        <w:rPr>
          <w:rFonts w:ascii="Times New Roman" w:cs="Times New Roman" w:eastAsia="Times New Roman" w:hAnsi="Times New Roman"/>
          <w:sz w:val="18"/>
          <w:szCs w:val="18"/>
          <w:color w:val="auto"/>
        </w:rPr>
        <w:t>United’s derivative activities are monitored by its Asset/Liability Management Committee (“ALCO”) as part of that committee’s oversight of United’s asset/liability and treasury functions. ALCO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207" w:lineRule="exact"/>
        <w:rPr>
          <w:sz w:val="20"/>
          <w:szCs w:val="20"/>
          <w:color w:val="auto"/>
        </w:rPr>
      </w:pPr>
    </w:p>
    <w:p>
      <w:pPr>
        <w:ind w:left="492"/>
        <w:spacing w:after="0" w:line="258" w:lineRule="auto"/>
        <w:rPr>
          <w:sz w:val="20"/>
          <w:szCs w:val="20"/>
          <w:color w:val="auto"/>
        </w:rPr>
      </w:pPr>
      <w:r>
        <w:rPr>
          <w:rFonts w:ascii="Times New Roman" w:cs="Times New Roman" w:eastAsia="Times New Roman" w:hAnsi="Times New Roman"/>
          <w:sz w:val="18"/>
          <w:szCs w:val="18"/>
          <w:color w:val="auto"/>
        </w:rPr>
        <w:t>United recognizes the fair value of derivatives as assets or liabilities in the financial statements. The accounting for the changes in the fair value of a derivative depends on the intended use of the derivative instrument at inception. The change in fair value of instruments used as fair value hedges is accounted for in the net income of the period simultaneous with accounting for the fair value change of the item being hedged. The change in fair value of the effective portion of cash flow hedges is accounted for in other comprehensive income rather than net income. Changes in fair value of derivative instruments that are not designated as a hedge are accounted for in the net income of the period of the change.</w:t>
      </w:r>
    </w:p>
    <w:p>
      <w:pPr>
        <w:spacing w:after="0" w:line="207"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b w:val="1"/>
          <w:bCs w:val="1"/>
          <w:u w:val="single" w:color="auto"/>
          <w:color w:val="auto"/>
        </w:rPr>
        <w:t>Earnings Per Common Share</w:t>
      </w:r>
    </w:p>
    <w:p>
      <w:pPr>
        <w:spacing w:after="0" w:line="229" w:lineRule="exact"/>
        <w:rPr>
          <w:sz w:val="20"/>
          <w:szCs w:val="20"/>
          <w:color w:val="auto"/>
        </w:rPr>
      </w:pPr>
    </w:p>
    <w:p>
      <w:pPr>
        <w:ind w:left="492" w:right="40"/>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net income (loss) available to common shareholders divided by the weighted average number of shares of common stock outstanding during the period. All outstanding unvested share-based payment awards that contain rights to nonforfeitable dividends are considered participating securities for this calculation. Additionally, shares issuable to participants in United’s deferred compensation plan are considered to be participating securities for purposes of calculating basic earnings per share. Diluted earnings per common share includes the dilutive effect of additional potential shares of common stock issuable under stock options, warrants and securities convertible into common stock.</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14" w:right="259" w:bottom="1440" w:gutter="0" w:footer="0" w:header="0"/>
        </w:sectPr>
      </w:pPr>
    </w:p>
    <w:bookmarkStart w:id="76" w:name="page77"/>
    <w:bookmarkEnd w:id="76"/>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right="6660" w:hanging="492"/>
        <w:spacing w:after="0" w:line="519" w:lineRule="auto"/>
        <w:tabs>
          <w:tab w:leader="none" w:pos="49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u w:val="single" w:color="auto"/>
          <w:color w:val="auto"/>
        </w:rPr>
        <w:t>Loss Contingencies</w:t>
      </w:r>
    </w:p>
    <w:p>
      <w:pPr>
        <w:jc w:val="both"/>
        <w:ind w:left="492"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there are such matters that will have a material effect on the financial statements.</w:t>
      </w:r>
    </w:p>
    <w:p>
      <w:pPr>
        <w:spacing w:after="0" w:line="199"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 on Cash</w:t>
      </w:r>
    </w:p>
    <w:p>
      <w:pPr>
        <w:spacing w:after="0" w:line="256"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portion of the cash on hand and on deposit with the Federal Reserve Bank of Atlanta was required to meet regulatory reserve requirements.</w:t>
      </w:r>
    </w:p>
    <w:p>
      <w:pPr>
        <w:spacing w:after="0" w:line="248"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 Restrictions</w:t>
      </w:r>
    </w:p>
    <w:p>
      <w:pPr>
        <w:spacing w:after="0" w:line="256" w:lineRule="exact"/>
        <w:rPr>
          <w:rFonts w:ascii="Times New Roman" w:cs="Times New Roman" w:eastAsia="Times New Roman" w:hAnsi="Times New Roman"/>
          <w:sz w:val="18"/>
          <w:szCs w:val="18"/>
          <w:b w:val="1"/>
          <w:bCs w:val="1"/>
          <w:color w:val="auto"/>
        </w:rPr>
      </w:pPr>
    </w:p>
    <w:p>
      <w:pPr>
        <w:ind w:left="492"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Banking regulations require maintaining certain capital levels and may limit dividends paid by the Bank to United or by United to shareholders. Due to its accumulated deficit, the Bank is currently required to obtain approval of the Georgia Department of Banking and Finance before declaring any dividends to United.</w:t>
      </w:r>
    </w:p>
    <w:p>
      <w:pPr>
        <w:spacing w:after="0" w:line="199"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256" w:lineRule="exact"/>
        <w:rPr>
          <w:rFonts w:ascii="Times New Roman" w:cs="Times New Roman" w:eastAsia="Times New Roman" w:hAnsi="Times New Roman"/>
          <w:sz w:val="18"/>
          <w:szCs w:val="18"/>
          <w:b w:val="1"/>
          <w:bCs w:val="1"/>
          <w:color w:val="auto"/>
        </w:rPr>
      </w:pPr>
    </w:p>
    <w:p>
      <w:pPr>
        <w:ind w:left="492"/>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Fair values of financial instruments are estimated using relevant market information and other assumptions as more fully disclosed in Note 24.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81"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56" w:lineRule="exact"/>
        <w:rPr>
          <w:rFonts w:ascii="Times New Roman" w:cs="Times New Roman" w:eastAsia="Times New Roman" w:hAnsi="Times New Roman"/>
          <w:sz w:val="18"/>
          <w:szCs w:val="18"/>
          <w:b w:val="1"/>
          <w:bCs w:val="1"/>
          <w:color w:val="auto"/>
        </w:rPr>
      </w:pPr>
    </w:p>
    <w:p>
      <w:pPr>
        <w:ind w:left="49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uses the fair value method of recognizing expense for stock-based compensation based on the fair value of option and restricted stock awards at the date of grant.</w:t>
      </w:r>
    </w:p>
    <w:p>
      <w:pPr>
        <w:spacing w:after="0" w:line="184"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Comprehensive Income</w:t>
      </w:r>
    </w:p>
    <w:p>
      <w:pPr>
        <w:spacing w:after="0" w:line="256" w:lineRule="exact"/>
        <w:rPr>
          <w:rFonts w:ascii="Times New Roman" w:cs="Times New Roman" w:eastAsia="Times New Roman" w:hAnsi="Times New Roman"/>
          <w:sz w:val="18"/>
          <w:szCs w:val="18"/>
          <w:b w:val="1"/>
          <w:bCs w:val="1"/>
          <w:color w:val="auto"/>
        </w:rPr>
      </w:pPr>
    </w:p>
    <w:p>
      <w:pPr>
        <w:ind w:left="492"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GAAP normally requires that recognized revenues, expenses, gains and losses be included in net income. In addition to net income, other components of comprehensive income include the after-tax effect of changes in unrealized gains and losses on available-for-sale securities and derivative financial instruments accounted for as cash flow hedges as well as net actuarial gains and losses, prior service costs and related amortization associated with United’s modified retirement plan. These items are reported as a separate component of shareholders’ equity. United presents comprehensive income in a separate statement of comprehensive income.</w:t>
      </w:r>
    </w:p>
    <w:p>
      <w:pPr>
        <w:spacing w:after="0" w:line="206"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Reclassifications and Reverse Stock Split</w:t>
      </w:r>
    </w:p>
    <w:p>
      <w:pPr>
        <w:spacing w:after="0" w:line="256" w:lineRule="exact"/>
        <w:rPr>
          <w:rFonts w:ascii="Times New Roman" w:cs="Times New Roman" w:eastAsia="Times New Roman" w:hAnsi="Times New Roman"/>
          <w:sz w:val="18"/>
          <w:szCs w:val="18"/>
          <w:b w:val="1"/>
          <w:bCs w:val="1"/>
          <w:color w:val="auto"/>
        </w:rPr>
      </w:pPr>
    </w:p>
    <w:p>
      <w:pPr>
        <w:ind w:left="492" w:right="2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2011and 2012 amounts have been reclassified to conform to the 2013 presentation. During the fourth quarter of 2013, United reclassified hedge ineffectiveness gains and losses from other fee revenue to net interest revenue. The impact of the reclassification has been reflected in all periods and was not material to any period. On June 17, 2011, United completed a 1-for-5 reverse stock split, whereby each 5 shares of United’s common stock was reclassified into one share of common stock, and each 5 shares of United’s non-voting common stock was reclassified into one share of non-voting common stock. All share and per share amounts for all periods presented have been adjusted to reflect the reverse split and the hedge ineffectiveness reclassification as though they had occurred prior to the earliest period presented.</w:t>
      </w:r>
    </w:p>
    <w:p>
      <w:pPr>
        <w:spacing w:after="0" w:line="210" w:lineRule="exact"/>
        <w:rPr>
          <w:rFonts w:ascii="Times New Roman" w:cs="Times New Roman" w:eastAsia="Times New Roman" w:hAnsi="Times New Roman"/>
          <w:sz w:val="18"/>
          <w:szCs w:val="18"/>
          <w:b w:val="1"/>
          <w:bCs w:val="1"/>
          <w:color w:val="auto"/>
        </w:rPr>
      </w:pPr>
    </w:p>
    <w:p>
      <w:pPr>
        <w:ind w:left="492" w:hanging="492"/>
        <w:spacing w:after="0"/>
        <w:tabs>
          <w:tab w:leader="none" w:pos="49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Standards Updates</w:t>
      </w:r>
    </w:p>
    <w:p>
      <w:pPr>
        <w:spacing w:after="0" w:line="254" w:lineRule="exact"/>
        <w:rPr>
          <w:rFonts w:ascii="Times New Roman" w:cs="Times New Roman" w:eastAsia="Times New Roman" w:hAnsi="Times New Roman"/>
          <w:sz w:val="18"/>
          <w:szCs w:val="18"/>
          <w:b w:val="1"/>
          <w:bCs w:val="1"/>
          <w:color w:val="auto"/>
        </w:rPr>
      </w:pPr>
    </w:p>
    <w:p>
      <w:pPr>
        <w:ind w:left="492"/>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January 2013, the FASB issued Accounting Standards Update (“ASU”) No. 2013-01, </w:t>
      </w:r>
      <w:r>
        <w:rPr>
          <w:rFonts w:ascii="Times New Roman" w:cs="Times New Roman" w:eastAsia="Times New Roman" w:hAnsi="Times New Roman"/>
          <w:sz w:val="18"/>
          <w:szCs w:val="18"/>
          <w:i w:val="1"/>
          <w:iCs w:val="1"/>
          <w:color w:val="auto"/>
        </w:rPr>
        <w:t>Clarifying the Scope of Disclosures about Offsetting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Liabilities. </w:t>
      </w:r>
      <w:r>
        <w:rPr>
          <w:rFonts w:ascii="Times New Roman" w:cs="Times New Roman" w:eastAsia="Times New Roman" w:hAnsi="Times New Roman"/>
          <w:sz w:val="18"/>
          <w:szCs w:val="18"/>
          <w:color w:val="auto"/>
        </w:rPr>
        <w:t>This ASU limits the scope of the new balance sheet offsetting disclosures to derivatives, repurchase agreements, and securities lending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to the extent that they are (1) offset in the financial statements or (2) subject to an enforceable master netting agreement. The disclosure requirements were effective for annual reporting periods beginning on or after January 1, 2013 and interim periods within those annual periods. This guidance did not have a material impact on United’s financial position or results of operations, and resulted in additional disclosures.</w:t>
      </w:r>
    </w:p>
    <w:p>
      <w:pPr>
        <w:spacing w:after="0" w:line="206" w:lineRule="exact"/>
        <w:rPr>
          <w:rFonts w:ascii="Times New Roman" w:cs="Times New Roman" w:eastAsia="Times New Roman" w:hAnsi="Times New Roman"/>
          <w:sz w:val="18"/>
          <w:szCs w:val="18"/>
          <w:b w:val="1"/>
          <w:bCs w:val="1"/>
          <w:color w:val="auto"/>
        </w:rPr>
      </w:pPr>
    </w:p>
    <w:p>
      <w:pPr>
        <w:ind w:left="492" w:right="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February 2013, the FASB issued ASU No. 2013-02, </w:t>
      </w:r>
      <w:r>
        <w:rPr>
          <w:rFonts w:ascii="Times New Roman" w:cs="Times New Roman" w:eastAsia="Times New Roman" w:hAnsi="Times New Roman"/>
          <w:sz w:val="18"/>
          <w:szCs w:val="18"/>
          <w:i w:val="1"/>
          <w:iCs w:val="1"/>
          <w:color w:val="auto"/>
        </w:rPr>
        <w:t>Reporting of Amounts Reclassified Out of Accumulated Other Comprehensive Income</w:t>
      </w:r>
      <w:r>
        <w:rPr>
          <w:rFonts w:ascii="Times New Roman" w:cs="Times New Roman" w:eastAsia="Times New Roman" w:hAnsi="Times New Roman"/>
          <w:sz w:val="18"/>
          <w:szCs w:val="18"/>
          <w:color w:val="auto"/>
        </w:rPr>
        <w:t>. The amendments in this update require an entity to provide information about the amounts reclassified out of accumulated other comprehensive income by component and by the respective line items of net income. The standard was effective for fiscal years, and interim periods within those years, beginning after December 15, 2012. This guidance did not have a material impact on United’s financial position or results of operations, and resulted in additional disclosures.</w:t>
      </w:r>
    </w:p>
    <w:p>
      <w:pPr>
        <w:spacing w:after="0" w:line="200" w:lineRule="exact"/>
        <w:rPr>
          <w:sz w:val="20"/>
          <w:szCs w:val="20"/>
          <w:color w:val="auto"/>
        </w:rPr>
      </w:pPr>
    </w:p>
    <w:p>
      <w:pPr>
        <w:spacing w:after="0" w:line="2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14" w:right="279" w:bottom="590" w:gutter="0" w:footer="0" w:header="0"/>
        </w:sectPr>
      </w:pPr>
    </w:p>
    <w:bookmarkStart w:id="77" w:name="page78"/>
    <w:bookmarkEnd w:id="7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Standards Updates, continued</w:t>
      </w:r>
    </w:p>
    <w:p>
      <w:pPr>
        <w:spacing w:after="0" w:line="254" w:lineRule="exact"/>
        <w:rPr>
          <w:rFonts w:ascii="Times New Roman" w:cs="Times New Roman" w:eastAsia="Times New Roman" w:hAnsi="Times New Roman"/>
          <w:sz w:val="18"/>
          <w:szCs w:val="18"/>
          <w:b w:val="1"/>
          <w:bCs w:val="1"/>
          <w:color w:val="auto"/>
        </w:rPr>
      </w:pPr>
    </w:p>
    <w:p>
      <w:pPr>
        <w:ind w:left="492"/>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July 2013, the FASB issued ASU No. 2013-10, </w:t>
      </w:r>
      <w:r>
        <w:rPr>
          <w:rFonts w:ascii="Times New Roman" w:cs="Times New Roman" w:eastAsia="Times New Roman" w:hAnsi="Times New Roman"/>
          <w:sz w:val="18"/>
          <w:szCs w:val="18"/>
          <w:i w:val="1"/>
          <w:iCs w:val="1"/>
          <w:color w:val="auto"/>
        </w:rPr>
        <w:t>Inclusion of the Fed Funds Effective Swap Rate (or Overnight Index Swap Rate) as a 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Rate for Hedge Accounting Purposes. </w:t>
      </w:r>
      <w:r>
        <w:rPr>
          <w:rFonts w:ascii="Times New Roman" w:cs="Times New Roman" w:eastAsia="Times New Roman" w:hAnsi="Times New Roman"/>
          <w:sz w:val="18"/>
          <w:szCs w:val="18"/>
          <w:color w:val="auto"/>
        </w:rPr>
        <w:t>The amendments in this update permit the Fed Funds Effective Swap Rate (OIS) to be used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benchmark interest rate for hedge accounting in addition to UST and LIBOR. The amendments also remove the restriction on using different benchmark rates for similar hedges. The standard is effective prospectively for qualifying new or re-designated hedging relationships entered into on or after July 17, 2013. This guidance did not have a material impact on United’s financial position, results of operations or disclosures.</w:t>
      </w:r>
    </w:p>
    <w:p>
      <w:pPr>
        <w:spacing w:after="0" w:line="206" w:lineRule="exact"/>
        <w:rPr>
          <w:rFonts w:ascii="Times New Roman" w:cs="Times New Roman" w:eastAsia="Times New Roman" w:hAnsi="Times New Roman"/>
          <w:sz w:val="18"/>
          <w:szCs w:val="18"/>
          <w:b w:val="1"/>
          <w:bCs w:val="1"/>
          <w:color w:val="auto"/>
        </w:rPr>
      </w:pPr>
    </w:p>
    <w:p>
      <w:pPr>
        <w:ind w:left="492" w:right="14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July 2013, the FASB issued ASU No. 2013-11, </w:t>
      </w:r>
      <w:r>
        <w:rPr>
          <w:rFonts w:ascii="Times New Roman" w:cs="Times New Roman" w:eastAsia="Times New Roman" w:hAnsi="Times New Roman"/>
          <w:sz w:val="18"/>
          <w:szCs w:val="18"/>
          <w:i w:val="1"/>
          <w:iCs w:val="1"/>
          <w:color w:val="auto"/>
        </w:rPr>
        <w:t>Presentation of an Unrecognized Tax Benefit When a Net Operating Loss Carryforward, a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 Loss, or a Tax Credit Carryforward exists. </w:t>
      </w:r>
      <w:r>
        <w:rPr>
          <w:rFonts w:ascii="Times New Roman" w:cs="Times New Roman" w:eastAsia="Times New Roman" w:hAnsi="Times New Roman"/>
          <w:sz w:val="18"/>
          <w:szCs w:val="18"/>
          <w:color w:val="auto"/>
        </w:rPr>
        <w:t>This ASU provides explicit guidance on the financial statement presentation of an unrecognized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when a net operating loss carryforward, a similar tax loss, or a tax credit carryforward exists. The amendments in this update are effective for fiscal years, and interim periods within those years, beginning after December 15, 2013. Since United has both unrecognized tax benefits and net operating loss and tax credit carryforwards, this ASU could have an impact on United’s financial position, results of operations or disclosures; however, United does not expect the impact to be material to United’s financial position, results of operations or disclosures.</w:t>
      </w:r>
    </w:p>
    <w:p>
      <w:pPr>
        <w:spacing w:after="0" w:line="209" w:lineRule="exact"/>
        <w:rPr>
          <w:rFonts w:ascii="Times New Roman" w:cs="Times New Roman" w:eastAsia="Times New Roman" w:hAnsi="Times New Roman"/>
          <w:sz w:val="18"/>
          <w:szCs w:val="18"/>
          <w:b w:val="1"/>
          <w:bCs w:val="1"/>
          <w:color w:val="auto"/>
        </w:rPr>
      </w:pPr>
    </w:p>
    <w:p>
      <w:pPr>
        <w:ind w:left="492" w:right="8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January 2014, the FASB issued ASU No. 2014-1, </w:t>
      </w:r>
      <w:r>
        <w:rPr>
          <w:rFonts w:ascii="Times New Roman" w:cs="Times New Roman" w:eastAsia="Times New Roman" w:hAnsi="Times New Roman"/>
          <w:sz w:val="18"/>
          <w:szCs w:val="18"/>
          <w:i w:val="1"/>
          <w:iCs w:val="1"/>
          <w:color w:val="auto"/>
        </w:rPr>
        <w:t>Accounting for Investments in Qualified Affordable Housing Projects</w:t>
      </w:r>
      <w:r>
        <w:rPr>
          <w:rFonts w:ascii="Times New Roman" w:cs="Times New Roman" w:eastAsia="Times New Roman" w:hAnsi="Times New Roman"/>
          <w:sz w:val="18"/>
          <w:szCs w:val="18"/>
          <w:color w:val="auto"/>
        </w:rPr>
        <w:t>. This ASU is expected to enable more entities to qualify for the proportional amortization method to account for affordable housing project investments than the number of entities that currently qualify for the effective yield method. The guidance is effective for annual periods and interim reporting periods within those annual periods, beginning after December 15, 2014. United has investments in affordable housing projects and is currently evaluating the impact to its disclosures. It is not expected to have a material impact in United’s financial position or results of operations.</w:t>
      </w:r>
    </w:p>
    <w:p>
      <w:pPr>
        <w:spacing w:after="0" w:line="206" w:lineRule="exact"/>
        <w:rPr>
          <w:rFonts w:ascii="Times New Roman" w:cs="Times New Roman" w:eastAsia="Times New Roman" w:hAnsi="Times New Roman"/>
          <w:sz w:val="18"/>
          <w:szCs w:val="18"/>
          <w:b w:val="1"/>
          <w:bCs w:val="1"/>
          <w:color w:val="auto"/>
        </w:rPr>
      </w:pPr>
    </w:p>
    <w:p>
      <w:pPr>
        <w:ind w:left="492"/>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January 2014, the FASB issued ASU No. 2014-04, </w:t>
      </w:r>
      <w:r>
        <w:rPr>
          <w:rFonts w:ascii="Times New Roman" w:cs="Times New Roman" w:eastAsia="Times New Roman" w:hAnsi="Times New Roman"/>
          <w:sz w:val="18"/>
          <w:szCs w:val="18"/>
          <w:i w:val="1"/>
          <w:iCs w:val="1"/>
          <w:color w:val="auto"/>
        </w:rPr>
        <w:t>Reclassification of Residential Real Estate Collateralized Consumer Mortgage Loans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Foreclosure. </w:t>
      </w:r>
      <w:r>
        <w:rPr>
          <w:rFonts w:ascii="Times New Roman" w:cs="Times New Roman" w:eastAsia="Times New Roman" w:hAnsi="Times New Roman"/>
          <w:sz w:val="18"/>
          <w:szCs w:val="18"/>
          <w:color w:val="auto"/>
        </w:rPr>
        <w:t>This ASU clarifies when an in substance repossession or foreclosure has occurred and when a creditor should derecognize the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receivable and recognize the real estate property. The amendments in this update are effective for annual periods, and interim periods within those years, beginning after December 15, 2014. United does not expect the impact of this guidance to be material to United’s financial position, results of operations or disclosures.</w:t>
      </w:r>
    </w:p>
    <w:p>
      <w:pPr>
        <w:spacing w:after="0" w:line="204" w:lineRule="exact"/>
        <w:rPr>
          <w:rFonts w:ascii="Times New Roman" w:cs="Times New Roman" w:eastAsia="Times New Roman" w:hAnsi="Times New Roman"/>
          <w:sz w:val="18"/>
          <w:szCs w:val="18"/>
          <w:b w:val="1"/>
          <w:bCs w:val="1"/>
          <w:color w:val="auto"/>
        </w:rPr>
      </w:pPr>
    </w:p>
    <w:p>
      <w:pPr>
        <w:ind w:left="492" w:hanging="492"/>
        <w:spacing w:after="0"/>
        <w:tabs>
          <w:tab w:leader="none" w:pos="49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Acquisitions</w:t>
      </w:r>
    </w:p>
    <w:p>
      <w:pPr>
        <w:spacing w:after="0" w:line="229" w:lineRule="exact"/>
        <w:rPr>
          <w:rFonts w:ascii="Times New Roman" w:cs="Times New Roman" w:eastAsia="Times New Roman" w:hAnsi="Times New Roman"/>
          <w:sz w:val="18"/>
          <w:szCs w:val="18"/>
          <w:b w:val="1"/>
          <w:bCs w:val="1"/>
          <w:color w:val="auto"/>
        </w:rPr>
      </w:pPr>
    </w:p>
    <w:p>
      <w:pPr>
        <w:ind w:left="492"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19, 2009, the Bank purchased substantially all the assets and assumed substantially all the liabilities of Southern Community Bank (“SCB”) from the FDIC, as Receiver of SCB. UCB and the FDIC entered into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210" w:lineRule="exact"/>
        <w:rPr>
          <w:rFonts w:ascii="Times New Roman" w:cs="Times New Roman" w:eastAsia="Times New Roman" w:hAnsi="Times New Roman"/>
          <w:sz w:val="18"/>
          <w:szCs w:val="18"/>
          <w:b w:val="1"/>
          <w:bCs w:val="1"/>
          <w:color w:val="auto"/>
        </w:rPr>
      </w:pPr>
    </w:p>
    <w:p>
      <w:pPr>
        <w:ind w:left="492" w:right="6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Under the loss sharing agreements, the portion of the losses expected to be indemnified by the FDIC is considered an indemnification asset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indemnification asset, referred to as “estimated loss reimbursement from the FDIC” is included in the balance of “assets covered by loss sharing agreements with the FDIC” on the consolidated balance sheet.</w:t>
      </w:r>
    </w:p>
    <w:p>
      <w:pPr>
        <w:spacing w:after="0" w:line="203" w:lineRule="exact"/>
        <w:rPr>
          <w:rFonts w:ascii="Times New Roman" w:cs="Times New Roman" w:eastAsia="Times New Roman" w:hAnsi="Times New Roman"/>
          <w:sz w:val="18"/>
          <w:szCs w:val="18"/>
          <w:b w:val="1"/>
          <w:bCs w:val="1"/>
          <w:color w:val="auto"/>
        </w:rPr>
      </w:pPr>
    </w:p>
    <w:p>
      <w:pPr>
        <w:ind w:left="492"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Loans, foreclosed property and the estimated FDIC reimbursement resulting from the loss share agreements with the FDIC are reported as “assets covered by loss sharing agreements with the FDIC” in the consolidated balance sheet.</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14" w:right="259" w:bottom="1440" w:gutter="0" w:footer="0" w:header="0"/>
        </w:sectPr>
      </w:pPr>
    </w:p>
    <w:bookmarkStart w:id="78" w:name="page79"/>
    <w:bookmarkEnd w:id="78"/>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652" w:hanging="652"/>
        <w:spacing w:after="0"/>
        <w:tabs>
          <w:tab w:leader="none" w:pos="65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Acquisitions, continued</w:t>
      </w:r>
    </w:p>
    <w:p>
      <w:pPr>
        <w:spacing w:after="0" w:line="254"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table below shows the components of covered assets at December 31, 2013 and 2012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Impaired</w:t>
            </w: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December 31, 2013</w:t>
            </w:r>
          </w:p>
        </w:tc>
        <w:tc>
          <w:tcPr>
            <w:tcW w:w="3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covered loans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Covered foreclosed property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loss reimbursement from the FDIC</w:t>
            </w: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covered assets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2012</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covered loans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Covered foreclosed property</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loss reimbursement from the FDIC</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covered assets</w:t>
            </w: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52" w:hanging="652"/>
        <w:spacing w:after="0"/>
        <w:tabs>
          <w:tab w:leader="none" w:pos="65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Flows</w:t>
      </w:r>
    </w:p>
    <w:p>
      <w:pPr>
        <w:spacing w:after="0" w:line="229" w:lineRule="exact"/>
        <w:rPr>
          <w:rFonts w:ascii="Times New Roman" w:cs="Times New Roman" w:eastAsia="Times New Roman" w:hAnsi="Times New Roman"/>
          <w:sz w:val="18"/>
          <w:szCs w:val="18"/>
          <w:b w:val="1"/>
          <w:bCs w:val="1"/>
          <w:color w:val="auto"/>
        </w:rPr>
      </w:pPr>
    </w:p>
    <w:p>
      <w:pPr>
        <w:jc w:val="both"/>
        <w:ind w:left="652"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2013, 2012 and 2011, non-accrual loans having a value of $22.5 million, $34.0 million and $65.7 million, respectively, were transferred to foreclosed property. Also, during 2013, 2012 and 2011, United financed the sale of foreclosed properties with loans totaling $3.49 million, $9.40 million and $21.1 million, respectively.</w:t>
      </w:r>
    </w:p>
    <w:p>
      <w:pPr>
        <w:spacing w:after="0" w:line="203"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accounts for securities transactions on the trade date. At December 31, 2013, United had sold $4.60 million in securities and purchased $29.6 million in securities that had not settled. At December 31, 2012, United had $5.76 million in securities sales that had not settled.</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14" w:right="259" w:bottom="1440" w:gutter="0" w:footer="0" w:header="0"/>
        </w:sectPr>
      </w:pPr>
    </w:p>
    <w:bookmarkStart w:id="79" w:name="page80"/>
    <w:bookmarkEnd w:id="79"/>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COMMUNITY BANKS, INC. AND SUBSIDIARIES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Offsetting</w:t>
      </w:r>
    </w:p>
    <w:p>
      <w:pPr>
        <w:spacing w:after="0" w:line="31" w:lineRule="exact"/>
        <w:rPr>
          <w:rFonts w:ascii="Times New Roman" w:cs="Times New Roman" w:eastAsia="Times New Roman" w:hAnsi="Times New Roman"/>
          <w:sz w:val="18"/>
          <w:szCs w:val="18"/>
          <w:b w:val="1"/>
          <w:bCs w:val="1"/>
          <w:color w:val="auto"/>
        </w:rPr>
      </w:pPr>
    </w:p>
    <w:p>
      <w:pPr>
        <w:ind w:left="660" w:right="1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United enters into reverse repurchase agreements in order to invest short-term funds. In addition, United enters into repurchase agreements and reverse repurchase agreements and offsetting securities lending transactions with the same counterparty in transactions commonly referred to as collateral swaps that are subject to master netting agreements under which the balances are netted in the balance sheet in accordance with ASC 210-20, </w:t>
      </w:r>
      <w:r>
        <w:rPr>
          <w:rFonts w:ascii="Times New Roman" w:cs="Times New Roman" w:eastAsia="Times New Roman" w:hAnsi="Times New Roman"/>
          <w:sz w:val="18"/>
          <w:szCs w:val="18"/>
          <w:i w:val="1"/>
          <w:iCs w:val="1"/>
          <w:color w:val="auto"/>
        </w:rPr>
        <w:t>Offsetting.</w:t>
      </w:r>
    </w:p>
    <w:p>
      <w:pPr>
        <w:spacing w:after="0" w:line="212" w:lineRule="exact"/>
        <w:rPr>
          <w:rFonts w:ascii="Times New Roman" w:cs="Times New Roman" w:eastAsia="Times New Roman" w:hAnsi="Times New Roman"/>
          <w:sz w:val="18"/>
          <w:szCs w:val="18"/>
          <w:b w:val="1"/>
          <w:bCs w:val="1"/>
          <w:color w:val="auto"/>
        </w:rPr>
      </w:pPr>
    </w:p>
    <w:p>
      <w:pPr>
        <w:ind w:left="6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table presents a summary of amounts outstanding under reverse repurchase agreements, securities lending transactions and derivative financial instruments including those entered into in connection with the same counterparty under master netting agreements as of December 31, 2013 and 2012 </w:t>
      </w:r>
      <w:r>
        <w:rPr>
          <w:rFonts w:ascii="Times New Roman" w:cs="Times New Roman" w:eastAsia="Times New Roman" w:hAnsi="Times New Roman"/>
          <w:sz w:val="18"/>
          <w:szCs w:val="18"/>
          <w:i w:val="1"/>
          <w:iCs w:val="1"/>
          <w:color w:val="auto"/>
        </w:rPr>
        <w:t>(in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Amounts of</w:t>
            </w:r>
          </w:p>
        </w:tc>
        <w:tc>
          <w:tcPr>
            <w:tcW w:w="80" w:type="dxa"/>
            <w:vAlign w:val="bottom"/>
          </w:tcPr>
          <w:p>
            <w:pPr>
              <w:spacing w:after="0"/>
              <w:rPr>
                <w:sz w:val="13"/>
                <w:szCs w:val="13"/>
                <w:color w:val="auto"/>
              </w:rPr>
            </w:pPr>
          </w:p>
        </w:tc>
        <w:tc>
          <w:tcPr>
            <w:tcW w:w="1100" w:type="dxa"/>
            <w:vAlign w:val="bottom"/>
            <w:gridSpan w:val="4"/>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Offset on the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6"/>
          </w:tcPr>
          <w:p>
            <w:pPr>
              <w:jc w:val="right"/>
              <w:ind w:right="580"/>
              <w:spacing w:after="0" w:line="129" w:lineRule="exact"/>
              <w:rPr>
                <w:sz w:val="20"/>
                <w:szCs w:val="20"/>
                <w:color w:val="auto"/>
              </w:rPr>
            </w:pPr>
            <w:r>
              <w:rPr>
                <w:rFonts w:ascii="Times New Roman" w:cs="Times New Roman" w:eastAsia="Times New Roman" w:hAnsi="Times New Roman"/>
                <w:sz w:val="14"/>
                <w:szCs w:val="14"/>
                <w:b w:val="1"/>
                <w:bCs w:val="1"/>
                <w:color w:val="auto"/>
              </w:rPr>
              <w:t>in the Balance Sheet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Net Asset</w:t>
            </w: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24"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7"/>
              <w:spacing w:after="0" w:line="124"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2013</w:t>
            </w: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agreements / reverse repurchase agreements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385,000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(38,982)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23,833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408,833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58,833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(41,894)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12,561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tcBorders>
              <w:top w:val="single" w:sz="8" w:color="CCEEFF"/>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Weighted average interest rate of reverse repurchase</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20" w:type="dxa"/>
            <w:vAlign w:val="bottom"/>
            <w:gridSpan w:val="5"/>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Amounts of</w:t>
            </w:r>
          </w:p>
        </w:tc>
        <w:tc>
          <w:tcPr>
            <w:tcW w:w="1180" w:type="dxa"/>
            <w:vAlign w:val="bottom"/>
            <w:gridSpan w:val="5"/>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Offset on the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6"/>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in the Balance Sheet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220" w:type="dxa"/>
            <w:vAlign w:val="bottom"/>
            <w:gridSpan w:val="5"/>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480"/>
              <w:spacing w:after="0" w:line="124"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440"/>
              <w:spacing w:after="0" w:line="124"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420"/>
              <w:spacing w:after="0" w:line="124"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77"/>
              <w:spacing w:after="0" w:line="124"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Sheet</w:t>
            </w:r>
          </w:p>
        </w:tc>
        <w:tc>
          <w:tcPr>
            <w:tcW w:w="24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agreements / reverse repurchase agreements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(350,000)</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46,232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396,232</w:t>
            </w:r>
          </w:p>
        </w:tc>
        <w:tc>
          <w:tcPr>
            <w:tcW w:w="140" w:type="dxa"/>
            <w:vAlign w:val="bottom"/>
            <w:tcBorders>
              <w:lef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(350,000)</w:t>
            </w: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46,232</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(38,145)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interest rate of repurchase agreements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20" w:type="dxa"/>
            <w:vAlign w:val="bottom"/>
            <w:gridSpan w:val="5"/>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Amounts of</w:t>
            </w:r>
          </w:p>
        </w:tc>
        <w:tc>
          <w:tcPr>
            <w:tcW w:w="1180" w:type="dxa"/>
            <w:vAlign w:val="bottom"/>
            <w:gridSpan w:val="5"/>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Offset on the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6"/>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in the Balance Sheet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220" w:type="dxa"/>
            <w:vAlign w:val="bottom"/>
            <w:gridSpan w:val="5"/>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480"/>
              <w:spacing w:after="0" w:line="124"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460"/>
              <w:spacing w:after="0" w:line="124" w:lineRule="exact"/>
              <w:rPr>
                <w:sz w:val="20"/>
                <w:szCs w:val="20"/>
                <w:color w:val="auto"/>
              </w:rPr>
            </w:pPr>
            <w:r>
              <w:rPr>
                <w:rFonts w:ascii="Times New Roman" w:cs="Times New Roman" w:eastAsia="Times New Roman" w:hAnsi="Times New Roman"/>
                <w:sz w:val="14"/>
                <w:szCs w:val="14"/>
                <w:b w:val="1"/>
                <w:bCs w:val="1"/>
                <w:color w:val="auto"/>
              </w:rPr>
              <w:t>Asset</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460"/>
              <w:spacing w:after="0" w:line="124"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97"/>
              <w:spacing w:after="0" w:line="124"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5"/>
                <w:szCs w:val="15"/>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2012</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agreements / reverse repurchase agreements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325,000</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(265,000)</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(64,443)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lending transactions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8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375,658</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(315,000)</w:t>
            </w:r>
          </w:p>
        </w:tc>
        <w:tc>
          <w:tcPr>
            <w:tcW w:w="14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(64,443)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tcBorders>
              <w:right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Weighted average interest rate of reverse repurchase</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20" w:type="dxa"/>
            <w:vAlign w:val="bottom"/>
            <w:gridSpan w:val="5"/>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Amounts of</w:t>
            </w:r>
          </w:p>
        </w:tc>
        <w:tc>
          <w:tcPr>
            <w:tcW w:w="1180" w:type="dxa"/>
            <w:vAlign w:val="bottom"/>
            <w:gridSpan w:val="5"/>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Offset on the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in the Balance Sheet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220" w:type="dxa"/>
            <w:vAlign w:val="bottom"/>
            <w:gridSpan w:val="5"/>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480"/>
              <w:spacing w:after="0" w:line="124"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460"/>
              <w:spacing w:after="0" w:line="124"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460"/>
              <w:spacing w:after="0" w:line="124"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97"/>
              <w:spacing w:after="0" w:line="124"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Sheet</w:t>
            </w:r>
          </w:p>
        </w:tc>
        <w:tc>
          <w:tcPr>
            <w:tcW w:w="24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agreements / reverse repurchase agreements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265,000</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(265,000)</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lending transactions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8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327,543</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(315,000)</w:t>
            </w:r>
          </w:p>
        </w:tc>
        <w:tc>
          <w:tcPr>
            <w:tcW w:w="14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(11,493)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interest rate of repurchase agreements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w:t>
      </w:r>
    </w:p>
    <w:p>
      <w:pPr>
        <w:spacing w:after="0" w:line="229"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fourth quarter of 2013, securities available-for-sale with a fair value of $301 million were transferred to held-to-maturity. The securities were transferred at their fair value on the date of transfer. The unrealized loss of $8.31 million on the transferred securities is being amortized into interest revenue as an adjustment to the yield on those securities over the remaining life of the transferred securities.</w:t>
      </w:r>
    </w:p>
    <w:p>
      <w:pPr>
        <w:spacing w:after="0" w:line="203" w:lineRule="exact"/>
        <w:rPr>
          <w:rFonts w:ascii="Times New Roman" w:cs="Times New Roman" w:eastAsia="Times New Roman" w:hAnsi="Times New Roman"/>
          <w:sz w:val="18"/>
          <w:szCs w:val="18"/>
          <w:b w:val="1"/>
          <w:bCs w:val="1"/>
          <w:color w:val="auto"/>
        </w:rPr>
      </w:pPr>
    </w:p>
    <w:p>
      <w:pPr>
        <w:jc w:val="both"/>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both December 31, 2013 and 2012, securities with a carrying value of $1.53 billion and $1.40 billion, respectively, were pledged to secure public deposits, derivatives and other secured borrowings. Substantial borrowing capacity remains available under borrowing arrangements with the FHLB with currently pledged securities.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56" w:orient="portrait"/>
          <w:cols w:equalWidth="0" w:num="1">
            <w:col w:w="11420"/>
          </w:cols>
          <w:pgMar w:left="240" w:top="905" w:right="239" w:bottom="0" w:gutter="0" w:footer="0" w:header="0"/>
        </w:sectPr>
      </w:pPr>
    </w:p>
    <w:bookmarkStart w:id="80" w:name="page81"/>
    <w:bookmarkEnd w:id="80"/>
    <w:p>
      <w:pPr>
        <w:jc w:val="center"/>
        <w:ind w:right="-551"/>
        <w:spacing w:after="0"/>
        <w:rPr>
          <w:sz w:val="20"/>
          <w:szCs w:val="20"/>
          <w:color w:val="auto"/>
        </w:rPr>
      </w:pPr>
      <w:r>
        <w:rPr>
          <w:rFonts w:ascii="Times New Roman" w:cs="Times New Roman" w:eastAsia="Times New Roman" w:hAnsi="Times New Roman"/>
          <w:sz w:val="22"/>
          <w:szCs w:val="22"/>
          <w:b w:val="1"/>
          <w:bCs w:val="1"/>
          <w:color w:val="auto"/>
        </w:rPr>
        <w:t>UNITED COMMUNITY BANKS, INC. AND SUBSIDIARIES</w:t>
      </w:r>
    </w:p>
    <w:p>
      <w:pPr>
        <w:spacing w:after="0" w:line="242" w:lineRule="exact"/>
        <w:rPr>
          <w:sz w:val="20"/>
          <w:szCs w:val="20"/>
          <w:color w:val="auto"/>
        </w:rPr>
      </w:pPr>
    </w:p>
    <w:p>
      <w:pPr>
        <w:ind w:left="403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652" w:hanging="652"/>
        <w:spacing w:after="0"/>
        <w:tabs>
          <w:tab w:leader="none" w:pos="65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 continued</w:t>
      </w:r>
    </w:p>
    <w:p>
      <w:pPr>
        <w:spacing w:after="0" w:line="227" w:lineRule="exact"/>
        <w:rPr>
          <w:rFonts w:ascii="Times New Roman" w:cs="Times New Roman" w:eastAsia="Times New Roman" w:hAnsi="Times New Roman"/>
          <w:sz w:val="18"/>
          <w:szCs w:val="18"/>
          <w:b w:val="1"/>
          <w:bCs w:val="1"/>
          <w:color w:val="auto"/>
        </w:rPr>
      </w:pPr>
    </w:p>
    <w:p>
      <w:pPr>
        <w:ind w:left="652" w:right="14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cost basis, unrealized gains and losses, and fair value of securities held-to-maturity at December 31, 2013 and 2012 are listed below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57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6"/>
        </w:trPr>
        <w:tc>
          <w:tcPr>
            <w:tcW w:w="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As of December 31, 2013</w:t>
            </w:r>
          </w:p>
        </w:tc>
        <w:tc>
          <w:tcPr>
            <w:tcW w:w="25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9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54,409</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25"/>
                <w:szCs w:val="25"/>
                <w:color w:val="auto"/>
                <w:vertAlign w:val="superscript"/>
              </w:rPr>
              <w:t>(1)</w:t>
            </w:r>
          </w:p>
        </w:tc>
        <w:tc>
          <w:tcPr>
            <w:tcW w:w="1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428,009</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431,176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479,742</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485,585</w:t>
            </w:r>
          </w:p>
        </w:tc>
        <w:tc>
          <w:tcPr>
            <w:tcW w:w="120" w:type="dxa"/>
            <w:vAlign w:val="bottom"/>
            <w:shd w:val="clear" w:color="auto" w:fill="CCEEFF"/>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4340" w:type="dxa"/>
            <w:vAlign w:val="bottom"/>
            <w:tcBorders>
              <w:top w:val="single" w:sz="8" w:color="CCEEFF"/>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As of December 31, 2012</w:t>
            </w:r>
          </w:p>
        </w:tc>
        <w:tc>
          <w:tcPr>
            <w:tcW w:w="17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9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25"/>
                <w:szCs w:val="25"/>
                <w:color w:val="auto"/>
                <w:vertAlign w:val="superscript"/>
              </w:rPr>
              <w:t>(1)</w:t>
            </w:r>
          </w:p>
        </w:tc>
        <w:tc>
          <w:tcPr>
            <w:tcW w:w="1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192,404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203,865</w:t>
            </w:r>
          </w:p>
        </w:tc>
        <w:tc>
          <w:tcPr>
            <w:tcW w:w="1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244,184</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261,131</w:t>
            </w:r>
          </w:p>
        </w:tc>
        <w:tc>
          <w:tcPr>
            <w:tcW w:w="12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9" w:lineRule="exact"/>
        <w:rPr>
          <w:sz w:val="20"/>
          <w:szCs w:val="20"/>
          <w:color w:val="auto"/>
        </w:rPr>
      </w:pPr>
    </w:p>
    <w:p>
      <w:pPr>
        <w:ind w:left="752" w:hanging="178"/>
        <w:spacing w:after="0"/>
        <w:tabs>
          <w:tab w:leader="none" w:pos="752"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All are residential type mortgage-backed securities</w:t>
      </w:r>
    </w:p>
    <w:p>
      <w:pPr>
        <w:spacing w:after="0" w:line="223" w:lineRule="exact"/>
        <w:rPr>
          <w:sz w:val="20"/>
          <w:szCs w:val="20"/>
          <w:color w:val="auto"/>
        </w:rPr>
      </w:pPr>
    </w:p>
    <w:p>
      <w:pPr>
        <w:ind w:left="652" w:right="60"/>
        <w:spacing w:after="0" w:line="284" w:lineRule="auto"/>
        <w:rPr>
          <w:sz w:val="20"/>
          <w:szCs w:val="20"/>
          <w:color w:val="auto"/>
        </w:rPr>
      </w:pPr>
      <w:r>
        <w:rPr>
          <w:rFonts w:ascii="Times New Roman" w:cs="Times New Roman" w:eastAsia="Times New Roman" w:hAnsi="Times New Roman"/>
          <w:sz w:val="18"/>
          <w:szCs w:val="18"/>
          <w:color w:val="auto"/>
        </w:rPr>
        <w:t xml:space="preserve">The cost basis, unrealized gains and losses, and fair value of securities available-for-sale at December 31, 2013 and 2012 are listed below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p>
    <w:p>
      <w:pPr>
        <w:spacing w:after="0" w:line="183" w:lineRule="exact"/>
        <w:rPr>
          <w:sz w:val="20"/>
          <w:szCs w:val="20"/>
          <w:color w:val="auto"/>
        </w:rPr>
      </w:pPr>
    </w:p>
    <w:tbl>
      <w:tblPr>
        <w:tblLayout w:type="fixed"/>
        <w:tblInd w:w="57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6"/>
        </w:trPr>
        <w:tc>
          <w:tcPr>
            <w:tcW w:w="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As of December 31, 2013</w:t>
            </w:r>
          </w:p>
        </w:tc>
        <w:tc>
          <w:tcPr>
            <w:tcW w:w="4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22,558</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1,145,800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250,296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410,633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1,835,459</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1,832,217</w:t>
            </w:r>
          </w:p>
        </w:tc>
        <w:tc>
          <w:tcPr>
            <w:tcW w:w="120" w:type="dxa"/>
            <w:vAlign w:val="bottom"/>
            <w:shd w:val="clear" w:color="auto" w:fill="CCEEFF"/>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020" w:type="dxa"/>
            <w:vAlign w:val="bottom"/>
            <w:tcBorders>
              <w:top w:val="single" w:sz="8" w:color="CCEEFF"/>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As of December 31, 2012</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27,717</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1,408,042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1,428,502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210,556</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1,817,774</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26,852</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1,834,593</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left="752" w:hanging="178"/>
        <w:spacing w:after="0"/>
        <w:tabs>
          <w:tab w:leader="none" w:pos="752"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All are residential type mortgage-backed securities</w:t>
      </w:r>
    </w:p>
    <w:p>
      <w:pPr>
        <w:spacing w:after="0" w:line="200" w:lineRule="exact"/>
        <w:rPr>
          <w:sz w:val="20"/>
          <w:szCs w:val="20"/>
          <w:color w:val="auto"/>
        </w:rPr>
      </w:pPr>
    </w:p>
    <w:p>
      <w:pPr>
        <w:spacing w:after="0" w:line="241"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52"/>
          </w:cols>
          <w:pgMar w:left="248" w:top="905" w:right="79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 continued</w:t>
      </w:r>
    </w:p>
    <w:p>
      <w:pPr>
        <w:spacing w:after="0" w:line="229" w:lineRule="exact"/>
        <w:rPr>
          <w:rFonts w:ascii="Times New Roman" w:cs="Times New Roman" w:eastAsia="Times New Roman" w:hAnsi="Times New Roman"/>
          <w:sz w:val="18"/>
          <w:szCs w:val="18"/>
          <w:b w:val="1"/>
          <w:bCs w:val="1"/>
          <w:color w:val="auto"/>
        </w:rPr>
      </w:pPr>
    </w:p>
    <w:p>
      <w:pPr>
        <w:ind w:left="500" w:righ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There were no held-to-maturity securities in an unrealized loss position as of December 31, 2012. The following summarizes securities held-to-maturity in an unrealized loss position as of December 31, 2013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5"/>
                <w:szCs w:val="15"/>
                <w:color w:val="auto"/>
              </w:rPr>
            </w:pPr>
          </w:p>
        </w:tc>
        <w:tc>
          <w:tcPr>
            <w:tcW w:w="2100" w:type="dxa"/>
            <w:vAlign w:val="bottom"/>
            <w:gridSpan w:val="4"/>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7"/>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7"/>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As of December 31, 2013</w:t>
            </w: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40" w:type="dxa"/>
            <w:vAlign w:val="bottom"/>
            <w:tcBorders>
              <w:top w:val="single" w:sz="8" w:color="auto"/>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259,870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259,870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261,465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following summarizes securities available-for-sale in an unrealized loss position as of December 31, 2013 and 2012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5"/>
                <w:szCs w:val="15"/>
                <w:color w:val="auto"/>
              </w:rPr>
            </w:pPr>
          </w:p>
        </w:tc>
        <w:tc>
          <w:tcPr>
            <w:tcW w:w="25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80" w:type="dxa"/>
            <w:vAlign w:val="bottom"/>
          </w:tcPr>
          <w:p>
            <w:pPr>
              <w:spacing w:after="0"/>
              <w:rPr>
                <w:sz w:val="15"/>
                <w:szCs w:val="15"/>
                <w:color w:val="auto"/>
              </w:rPr>
            </w:pPr>
          </w:p>
        </w:tc>
        <w:tc>
          <w:tcPr>
            <w:tcW w:w="134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3"/>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3"/>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3"/>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As of December 31, 2013</w:t>
            </w: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40" w:type="dxa"/>
            <w:vAlign w:val="bottom"/>
            <w:tcBorders>
              <w:top w:val="single" w:sz="8" w:color="auto"/>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334,996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175,865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7,269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510,861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137,318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164,933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 of December 31, 2012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40" w:type="dxa"/>
            <w:vAlign w:val="bottom"/>
            <w:tcBorders>
              <w:top w:val="single" w:sz="8" w:color="auto"/>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326,485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326,485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21,248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7,037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433,595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right="120"/>
        <w:spacing w:after="0" w:line="256" w:lineRule="auto"/>
        <w:rPr>
          <w:sz w:val="20"/>
          <w:szCs w:val="20"/>
          <w:color w:val="auto"/>
        </w:rPr>
      </w:pPr>
      <w:r>
        <w:rPr>
          <w:rFonts w:ascii="Times New Roman" w:cs="Times New Roman" w:eastAsia="Times New Roman" w:hAnsi="Times New Roman"/>
          <w:sz w:val="18"/>
          <w:szCs w:val="18"/>
          <w:color w:val="auto"/>
        </w:rPr>
        <w:t>At December 31, 2013, there were 142 available-for-sale securities and 38 held-to-maturity securities that were in an unrealized loss position. United does not intend to sell nor believes it will be required to sell securities in an unrealized loss position prior to the recovery of its amortized cost basis. Unrealized losses at December 31, 2013 were primarily attributable to changes in interest rates. Unrealized losses at December 31, 2012 are primarily related to changes in interest rates, however the unrealized losses in corporate bonds also reflect downgrades in the underlying securities ratings. The bonds remain above investment grade and United does not consider them to be impaired. Much of the 2012 unrealized loss on corporate bonds was recovered in 2013.</w:t>
      </w:r>
    </w:p>
    <w:p>
      <w:pPr>
        <w:spacing w:after="0" w:line="215" w:lineRule="exact"/>
        <w:rPr>
          <w:sz w:val="20"/>
          <w:szCs w:val="20"/>
          <w:color w:val="auto"/>
        </w:rPr>
      </w:pPr>
    </w:p>
    <w:p>
      <w:pPr>
        <w:ind w:left="500" w:right="200"/>
        <w:spacing w:after="0" w:line="258" w:lineRule="auto"/>
        <w:rPr>
          <w:sz w:val="20"/>
          <w:szCs w:val="20"/>
          <w:color w:val="auto"/>
        </w:rPr>
      </w:pPr>
      <w:r>
        <w:rPr>
          <w:rFonts w:ascii="Times New Roman" w:cs="Times New Roman" w:eastAsia="Times New Roman" w:hAnsi="Times New Roman"/>
          <w:sz w:val="18"/>
          <w:szCs w:val="18"/>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2013, 2012 or 2011.</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Realized gains and losses are derived using the specific identification method for determining the cost of the securities sold.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82" w:name="page83"/>
    <w:bookmarkEnd w:id="8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 continued</w:t>
      </w:r>
    </w:p>
    <w:p>
      <w:pPr>
        <w:spacing w:after="0" w:line="2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summarizes securities sales activities for the years ended December 31, 2013, 2012 and 2011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39,731</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469,167</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128,217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Gross gains on sales</w:t>
            </w:r>
          </w:p>
        </w:tc>
        <w:tc>
          <w:tcPr>
            <w:tcW w:w="1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7,364</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losses on sales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gains on sales of securities</w:t>
            </w:r>
          </w:p>
        </w:tc>
        <w:tc>
          <w:tcPr>
            <w:tcW w:w="1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7,078</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attributable to sales</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right="300"/>
        <w:spacing w:after="0" w:line="282" w:lineRule="auto"/>
        <w:rPr>
          <w:sz w:val="20"/>
          <w:szCs w:val="20"/>
          <w:color w:val="auto"/>
        </w:rPr>
      </w:pPr>
      <w:r>
        <w:rPr>
          <w:rFonts w:ascii="Times New Roman" w:cs="Times New Roman" w:eastAsia="Times New Roman" w:hAnsi="Times New Roman"/>
          <w:sz w:val="18"/>
          <w:szCs w:val="18"/>
          <w:color w:val="auto"/>
        </w:rPr>
        <w:t>At year-end 2013 and 2012, there were no holdings of securities of any one issuer, other than the U.S. Government and its agencies, in an amount greater than 10% of shareholders’ equity.</w:t>
      </w:r>
    </w:p>
    <w:p>
      <w:pPr>
        <w:spacing w:after="0" w:line="189"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 xml:space="preserve">The amortized cost and fair value of available-for-sale and held-to-maturity securities at December 31, 2013, by contractual maturity, are presented in the following table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10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Within 1 year</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12,463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13,234</w:t>
            </w: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26,062</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27,408</w:t>
            </w: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51,733</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54,409</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201,504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255,316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250,296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271,418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49,777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409,086</w:t>
            </w: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410,633</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securities other than mortgage-backed securities: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Within 1 year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12,463</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13,234</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475,529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26,062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27,408</w:t>
            </w: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13,208</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13,767</w:t>
            </w: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1,145,800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428,009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1,835,459</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1,832,217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479,742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485,585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right="300"/>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and borrowers may have the right to call or prepay obligations with or without call or prepayment penalties.</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14" w:right="379" w:bottom="1440" w:gutter="0" w:footer="0" w:header="0"/>
        </w:sectPr>
      </w:pPr>
    </w:p>
    <w:bookmarkStart w:id="83" w:name="page84"/>
    <w:bookmarkEnd w:id="8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Allowance for Credit Losses</w:t>
      </w:r>
    </w:p>
    <w:p>
      <w:pPr>
        <w:spacing w:after="0" w:line="2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Major classifications of loans at December 31, 2013 and 2012 are summarized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1,756,710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1,813,365</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471,961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458,246</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154,769</w:t>
            </w:r>
          </w:p>
        </w:tc>
      </w:tr>
      <w:tr>
        <w:trPr>
          <w:trHeight w:val="27"/>
        </w:trPr>
        <w:tc>
          <w:tcPr>
            <w:tcW w:w="20" w:type="dxa"/>
            <w:vAlign w:val="bottom"/>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commercial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2,377,574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2,426,380</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1,315,964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1,214,203</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328,579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381,677</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307,149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152,748</w:t>
            </w:r>
          </w:p>
        </w:tc>
      </w:tr>
      <w:tr>
        <w:trPr>
          <w:trHeight w:val="27"/>
        </w:trPr>
        <w:tc>
          <w:tcPr>
            <w:tcW w:w="20" w:type="dxa"/>
            <w:vAlign w:val="bottom"/>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4,329,266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4,175,008</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(76,762)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(107,137)</w:t>
            </w:r>
          </w:p>
        </w:tc>
      </w:tr>
      <w:tr>
        <w:trPr>
          <w:trHeight w:val="27"/>
        </w:trPr>
        <w:tc>
          <w:tcPr>
            <w:tcW w:w="20" w:type="dxa"/>
            <w:vAlign w:val="bottom"/>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net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4,252,504</w:t>
            </w:r>
          </w:p>
        </w:tc>
        <w:tc>
          <w:tcPr>
            <w:tcW w:w="20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4,067,871</w:t>
            </w: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500" w:right="120"/>
        <w:spacing w:after="0" w:line="282" w:lineRule="auto"/>
        <w:rPr>
          <w:sz w:val="20"/>
          <w:szCs w:val="20"/>
          <w:color w:val="auto"/>
        </w:rPr>
      </w:pPr>
      <w:r>
        <w:rPr>
          <w:rFonts w:ascii="Times New Roman" w:cs="Times New Roman" w:eastAsia="Times New Roman" w:hAnsi="Times New Roman"/>
          <w:sz w:val="18"/>
          <w:szCs w:val="18"/>
          <w:color w:val="auto"/>
        </w:rPr>
        <w:t>At December 31, 2013 and 2012, $977,000 and $942,000, respectively, in overdrawn deposit accounts were reclassified as commercial and industrial loans. No specific allowance for loan losses was deemed necessary for these accounts at December 31, 2013 and 2012.</w:t>
      </w:r>
    </w:p>
    <w:p>
      <w:pPr>
        <w:spacing w:after="0" w:line="189" w:lineRule="exact"/>
        <w:rPr>
          <w:sz w:val="20"/>
          <w:szCs w:val="20"/>
          <w:color w:val="auto"/>
        </w:rPr>
      </w:pPr>
    </w:p>
    <w:p>
      <w:pPr>
        <w:jc w:val="both"/>
        <w:ind w:left="500" w:right="100"/>
        <w:spacing w:after="0" w:line="266" w:lineRule="auto"/>
        <w:rPr>
          <w:sz w:val="20"/>
          <w:szCs w:val="20"/>
          <w:color w:val="auto"/>
        </w:rPr>
      </w:pPr>
      <w:r>
        <w:rPr>
          <w:rFonts w:ascii="Times New Roman" w:cs="Times New Roman" w:eastAsia="Times New Roman" w:hAnsi="Times New Roman"/>
          <w:sz w:val="18"/>
          <w:szCs w:val="18"/>
          <w:color w:val="auto"/>
        </w:rPr>
        <w:t>Home equity lines of credit are included in the residential mortgage category and are primarily responsible for the growth in that loan class compared to prior periods. Indirect auto loans are included in the consumer installment category above and contributed to the significant growth in that class of loans.</w:t>
      </w:r>
    </w:p>
    <w:p>
      <w:pPr>
        <w:spacing w:after="0" w:line="203" w:lineRule="exact"/>
        <w:rPr>
          <w:sz w:val="20"/>
          <w:szCs w:val="20"/>
          <w:color w:val="auto"/>
        </w:rPr>
      </w:pPr>
    </w:p>
    <w:p>
      <w:pPr>
        <w:ind w:left="500"/>
        <w:spacing w:after="0" w:line="255" w:lineRule="auto"/>
        <w:rPr>
          <w:sz w:val="20"/>
          <w:szCs w:val="20"/>
          <w:color w:val="auto"/>
        </w:rPr>
      </w:pPr>
      <w:r>
        <w:rPr>
          <w:rFonts w:ascii="Times New Roman" w:cs="Times New Roman" w:eastAsia="Times New Roman" w:hAnsi="Times New Roman"/>
          <w:sz w:val="18"/>
          <w:szCs w:val="18"/>
          <w:color w:val="auto"/>
        </w:rPr>
        <w:t xml:space="preserve">During the second quarter of 2013, United executed a plan to accelerate the disposition of classified assets including performing classified loans, nonperforming loans and foreclosed properties. The purpose of the accelerated classified asset disposition plan was to resolve legacy credit problems remaining from the recent financial crisis and to accelerate the improvement of United’s credit measures toward pre-crisis levels. The classified asset sales included individual note and foreclosed property sales and a large bulk sale of classified assets to a single investor. The bulk sale included performing and nonperforming classified loans and foreclosed properties. The assets were divided into four separate pools that were bid for separately by potential buyers. A single purchaser was the high bidder for each of the four pools. The table below shows the allocation among impaired loans, loans that were not considered impaired and foreclosed properties, including United’s recorded investment in those assets, the sales proceeds and the resulting net charge-offs of assets sold in the bulk sale transaction </w:t>
      </w:r>
      <w:r>
        <w:rPr>
          <w:rFonts w:ascii="Times New Roman" w:cs="Times New Roman" w:eastAsia="Times New Roman" w:hAnsi="Times New Roman"/>
          <w:sz w:val="18"/>
          <w:szCs w:val="18"/>
          <w:i w:val="1"/>
          <w:i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3"/>
                <w:szCs w:val="13"/>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80"/>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Charge-Off</w:t>
            </w:r>
          </w:p>
        </w:tc>
        <w:tc>
          <w:tcPr>
            <w:tcW w:w="1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considered impaired</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96,829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(40,531)</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Loans not considered impaired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15,227</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(10,460)</w:t>
            </w:r>
          </w:p>
        </w:tc>
      </w:tr>
      <w:tr>
        <w:trPr>
          <w:trHeight w:val="223"/>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Foreclosed properties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8,398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5,933</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(2,465)</w:t>
            </w: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sold</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130,914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77,458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(53,456)</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right="20"/>
        <w:spacing w:after="0" w:line="261" w:lineRule="auto"/>
        <w:rPr>
          <w:sz w:val="20"/>
          <w:szCs w:val="20"/>
          <w:color w:val="auto"/>
        </w:rPr>
      </w:pPr>
      <w:r>
        <w:rPr>
          <w:rFonts w:ascii="Times New Roman" w:cs="Times New Roman" w:eastAsia="Times New Roman" w:hAnsi="Times New Roman"/>
          <w:sz w:val="18"/>
          <w:szCs w:val="18"/>
          <w:color w:val="auto"/>
        </w:rPr>
        <w:t>The loans considered impaired in the table above were assigned specific reserves of $6.86 million in the most recent analysis of the allowance for loan losses prior to the sale. Because the assets were sold at liquidation prices in a bulk transaction with no recourse, the sales price was generally lower than the appraised value of the foreclosed properties and loan collateral. Although the classified asset sales increased charge-offs during the second quarter of 2013, they accomplished management’s goal of moving classified asset levels toward the pre-crisis range.</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14" w:right="29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Allowance for Credit Losses, continued</w:t>
      </w:r>
    </w:p>
    <w:p>
      <w:pPr>
        <w:spacing w:after="0" w:line="229" w:lineRule="exact"/>
        <w:rPr>
          <w:rFonts w:ascii="Times New Roman" w:cs="Times New Roman" w:eastAsia="Times New Roman" w:hAnsi="Times New Roman"/>
          <w:sz w:val="18"/>
          <w:szCs w:val="18"/>
          <w:b w:val="1"/>
          <w:bCs w:val="1"/>
          <w:color w:val="auto"/>
        </w:rPr>
      </w:pPr>
    </w:p>
    <w:p>
      <w:pPr>
        <w:ind w:left="50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allowance for loan losses represents management’s estimate of probable incurred losses in the loan portfolio as of year-end. In 2013, United established an allowance for unfunded commitments separate from the allowance for loan losses due to significant growth in unfunded loan commitments. The allowance for unfunded commitments is included in other liabilities in the consolidated balance sheet. Combined, the allowance for loan losses and allowance for unfunded commitments are referred to as the allowance for credit losses.</w:t>
      </w:r>
    </w:p>
    <w:p>
      <w:pPr>
        <w:spacing w:after="0" w:line="207" w:lineRule="exact"/>
        <w:rPr>
          <w:sz w:val="20"/>
          <w:szCs w:val="20"/>
          <w:color w:val="auto"/>
        </w:rPr>
      </w:pPr>
    </w:p>
    <w:p>
      <w:pPr>
        <w:ind w:left="500" w:right="24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the balance and activity in the allowance for credit losses by portfolio segment for the years ended December 31, 2013, 2012 and 2011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00" w:type="dxa"/>
            <w:vAlign w:val="bottom"/>
          </w:tcPr>
          <w:p>
            <w:pPr>
              <w:spacing w:after="0"/>
              <w:rPr>
                <w:sz w:val="13"/>
                <w:szCs w:val="13"/>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3"/>
                <w:szCs w:val="13"/>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Offs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Year Ended December 31, 2013</w:t>
            </w:r>
          </w:p>
        </w:tc>
        <w:tc>
          <w:tcPr>
            <w:tcW w:w="1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27,847</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31,016</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24,338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18,016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Commercial construction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mortgage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20,974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8,746</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12,532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installment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Unallocated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(99,654)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63,335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76,762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Borders>
              <w:top w:val="single" w:sz="8" w:color="CCEEFF"/>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7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(99,654)</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00" w:type="dxa"/>
            <w:vAlign w:val="bottom"/>
          </w:tcPr>
          <w:p>
            <w:pPr>
              <w:spacing w:after="0"/>
              <w:rPr>
                <w:sz w:val="24"/>
                <w:szCs w:val="24"/>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Offs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Year Ended December 31, 2012</w:t>
            </w:r>
          </w:p>
        </w:tc>
        <w:tc>
          <w:tcPr>
            <w:tcW w:w="1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31,644</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18,573</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27,847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Commercial construction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7,592</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mortgage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26,642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1,272</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19,271</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26,662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installment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Unallocated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114,468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(74,633)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4,802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Borders>
              <w:top w:val="single" w:sz="8" w:color="CCEEFF"/>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7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00" w:type="dxa"/>
            <w:vAlign w:val="bottom"/>
          </w:tcPr>
          <w:p>
            <w:pPr>
              <w:spacing w:after="0"/>
              <w:rPr>
                <w:sz w:val="24"/>
                <w:szCs w:val="24"/>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Offs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Year Ended December 31, 2011</w:t>
            </w:r>
          </w:p>
        </w:tc>
        <w:tc>
          <w:tcPr>
            <w:tcW w:w="7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31,191</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59,473</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31,644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22,024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Commercial construction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(55,730)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54,844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mortgage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(53,707)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59,740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29,076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92,571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(118,916)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1,678</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55,046</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30,379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installment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Unallocated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(316,305)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5,078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251,000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114,468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Borders>
              <w:top w:val="single" w:sz="8" w:color="CCEEFF"/>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7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(316,305)</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238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1440" w:gutter="0" w:footer="0" w:header="0"/>
        </w:sectPr>
      </w:pPr>
    </w:p>
    <w:bookmarkStart w:id="85" w:name="page86"/>
    <w:bookmarkEnd w:id="85"/>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Allowance for Credit Losses, continued</w:t>
      </w:r>
    </w:p>
    <w:p>
      <w:pPr>
        <w:spacing w:after="0" w:line="229" w:lineRule="exact"/>
        <w:rPr>
          <w:rFonts w:ascii="Times New Roman" w:cs="Times New Roman" w:eastAsia="Times New Roman" w:hAnsi="Times New Roman"/>
          <w:sz w:val="18"/>
          <w:szCs w:val="18"/>
          <w:b w:val="1"/>
          <w:bCs w:val="1"/>
          <w:color w:val="auto"/>
        </w:rPr>
      </w:pPr>
    </w:p>
    <w:p>
      <w:pPr>
        <w:ind w:left="50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table presents the recorded investment in loans by portfolio segment and the balance of the allowance for loan losses assigned to each segment based on the method of evaluating the loans for impairment as of December 31, 2013 and December 31, 2012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Allowance for Loan Losses</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2013</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2012</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34"/>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180" w:type="dxa"/>
            <w:vAlign w:val="bottom"/>
          </w:tcPr>
          <w:p>
            <w:pPr>
              <w:spacing w:after="0"/>
              <w:rPr>
                <w:sz w:val="10"/>
                <w:szCs w:val="10"/>
                <w:color w:val="auto"/>
              </w:rPr>
            </w:pPr>
          </w:p>
        </w:tc>
        <w:tc>
          <w:tcPr>
            <w:tcW w:w="10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tcPr>
          <w:p>
            <w:pPr>
              <w:spacing w:after="0"/>
              <w:rPr>
                <w:sz w:val="10"/>
                <w:szCs w:val="10"/>
                <w:color w:val="auto"/>
              </w:rPr>
            </w:pPr>
          </w:p>
        </w:tc>
        <w:tc>
          <w:tcPr>
            <w:tcW w:w="10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18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21,741</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6,461</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18,055</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20,974</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24,477</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26,037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2,255</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70,740</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76,762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95,493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unfunded commitments</w:t>
            </w: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2,165</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95,493</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tbl>
      <w:tblPr>
        <w:tblLayout w:type="fixed"/>
        <w:tblInd w:w="5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Loans Outstanding</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2013</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2012</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5"/>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15"/>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1,696,502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1,756,710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1,708,956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114,619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4,214,647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4,329,266</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252,810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3,922,198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line="254" w:lineRule="auto"/>
        <w:rPr>
          <w:sz w:val="20"/>
          <w:szCs w:val="20"/>
          <w:color w:val="auto"/>
        </w:rPr>
      </w:pPr>
      <w:r>
        <w:rPr>
          <w:rFonts w:ascii="Times New Roman" w:cs="Times New Roman" w:eastAsia="Times New Roman" w:hAnsi="Times New Roman"/>
          <w:sz w:val="18"/>
          <w:szCs w:val="18"/>
          <w:color w:val="auto"/>
        </w:rPr>
        <w:t>United considers all loans that are on nonaccrual with a balance of $500,000 or greater and all TDRs to be impaired. In addition, United reviews all accruing substandard loans greater than $2 million to determine if the loan is impaired. A loan is considered impaired when, based on current events and circumstances, it is probable that all amounts due, according to the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Interest payments received on impaired nonaccrual loans are applied as a reduction of the outstanding principal balance.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14" w:right="439" w:bottom="1440" w:gutter="0" w:footer="0" w:header="0"/>
        </w:sectPr>
      </w:pPr>
    </w:p>
    <w:bookmarkStart w:id="86" w:name="page87"/>
    <w:bookmarkEnd w:id="86"/>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32" w:hanging="432"/>
        <w:spacing w:after="0"/>
        <w:tabs>
          <w:tab w:leader="none" w:pos="43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Allowance for Credit Losses, continued</w:t>
      </w:r>
    </w:p>
    <w:p>
      <w:pPr>
        <w:spacing w:after="0" w:line="229" w:lineRule="exact"/>
        <w:rPr>
          <w:sz w:val="20"/>
          <w:szCs w:val="20"/>
          <w:color w:val="auto"/>
        </w:rPr>
      </w:pPr>
    </w:p>
    <w:p>
      <w:pPr>
        <w:ind w:left="492" w:right="40"/>
        <w:spacing w:after="0" w:line="253" w:lineRule="auto"/>
        <w:rPr>
          <w:sz w:val="20"/>
          <w:szCs w:val="20"/>
          <w:color w:val="auto"/>
        </w:rPr>
      </w:pPr>
      <w:r>
        <w:rPr>
          <w:rFonts w:ascii="Times New Roman" w:cs="Times New Roman" w:eastAsia="Times New Roman" w:hAnsi="Times New Roman"/>
          <w:sz w:val="18"/>
          <w:szCs w:val="18"/>
          <w:color w:val="auto"/>
        </w:rPr>
        <w:t>Each quarter, United’s management prepares an analysis of the allowance for credit losses to determine the appropriate balance that measures and quantifies the amount of probable incurred loss in the loan portfolio. The allowance is comprised of specific reserves which are determined as described above, general reserves which are determined based on historical loss experience as adjusted for current trends and economic conditions and an unallocated portion. United uses eight quarters of historical loss experience weighted toward the most recent quarters to determine the loss factors to be used in the reserve calculation for loans evaluated in the aggregate.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The weighted average is accomplished by multiplying each quarter’s annualized historical net charge-off rate by 1 through 8, with 8 representing the most recent quarter and 1 representing the oldest quarter. United uses annualized charge-off rates under the broad assumption that losses inherent in the loan portfolio will generally be resolved within twelve months. Problem loans that are not resolved within twelve months are generally larger loans that are more complex in nature requiring more time to either rehabilitate or work out of the bank. These credits are generally subject to impairment testing and are separately evaluated for specific reserves.</w:t>
      </w:r>
    </w:p>
    <w:p>
      <w:pPr>
        <w:spacing w:after="0" w:line="220" w:lineRule="exact"/>
        <w:rPr>
          <w:sz w:val="20"/>
          <w:szCs w:val="20"/>
          <w:color w:val="auto"/>
        </w:rPr>
      </w:pPr>
    </w:p>
    <w:p>
      <w:pPr>
        <w:ind w:left="492"/>
        <w:spacing w:after="0" w:line="261" w:lineRule="auto"/>
        <w:rPr>
          <w:sz w:val="20"/>
          <w:szCs w:val="20"/>
          <w:color w:val="auto"/>
        </w:rPr>
      </w:pPr>
      <w:r>
        <w:rPr>
          <w:rFonts w:ascii="Times New Roman" w:cs="Times New Roman" w:eastAsia="Times New Roman" w:hAnsi="Times New Roman"/>
          <w:sz w:val="18"/>
          <w:szCs w:val="18"/>
          <w:color w:val="auto"/>
        </w:rPr>
        <w:t>The weighted loss factor results for each quarter are added together and divided by 36 (the sum of 1,2,3,4,5,6,7 and 8) to arrive at the weighted average historical loss factor for each category of loans. United calculates loss factors for each major category of loans (commercial real estate, commercial &amp; industrial, commercial construction, residential construction and consumer installment) except residential real estate loans which are further divided into home equity first lien, home equity junior lien and all other residential real estate loans and a loss factor is calculated for each category.</w:t>
      </w:r>
    </w:p>
    <w:p>
      <w:pPr>
        <w:spacing w:after="0" w:line="207" w:lineRule="exact"/>
        <w:rPr>
          <w:sz w:val="20"/>
          <w:szCs w:val="20"/>
          <w:color w:val="auto"/>
        </w:rPr>
      </w:pPr>
    </w:p>
    <w:p>
      <w:pPr>
        <w:ind w:left="492" w:right="80"/>
        <w:spacing w:after="0" w:line="266" w:lineRule="auto"/>
        <w:rPr>
          <w:sz w:val="20"/>
          <w:szCs w:val="20"/>
          <w:color w:val="auto"/>
        </w:rPr>
      </w:pPr>
      <w:r>
        <w:rPr>
          <w:rFonts w:ascii="Times New Roman" w:cs="Times New Roman" w:eastAsia="Times New Roman" w:hAnsi="Times New Roman"/>
          <w:sz w:val="18"/>
          <w:szCs w:val="18"/>
          <w:color w:val="auto"/>
        </w:rPr>
        <w:t>On junior lien home equity loans, United has limited ability to monitor the delinquency status of the first lien unless the first lien is also held by United. As a result, United applies the weighted average historical loss factor for this category and appropriately adjusts it to reflect the increased risk of loss from these credits.</w:t>
      </w:r>
    </w:p>
    <w:p>
      <w:pPr>
        <w:spacing w:after="0" w:line="203" w:lineRule="exact"/>
        <w:rPr>
          <w:sz w:val="20"/>
          <w:szCs w:val="20"/>
          <w:color w:val="auto"/>
        </w:rPr>
      </w:pPr>
    </w:p>
    <w:p>
      <w:pPr>
        <w:ind w:left="492" w:right="320"/>
        <w:spacing w:after="0" w:line="261" w:lineRule="auto"/>
        <w:rPr>
          <w:sz w:val="20"/>
          <w:szCs w:val="20"/>
          <w:color w:val="auto"/>
        </w:rPr>
      </w:pPr>
      <w:r>
        <w:rPr>
          <w:rFonts w:ascii="Times New Roman" w:cs="Times New Roman" w:eastAsia="Times New Roman" w:hAnsi="Times New Roman"/>
          <w:sz w:val="18"/>
          <w:szCs w:val="18"/>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acceleration or delays in timing of recognition of losses that may render the use of annualized charge-off rates to be inappropriate, and other macro environmental factors such as changes in unemployment rates, lease vacancy rates and trends in property values and absorption rates.</w:t>
      </w:r>
    </w:p>
    <w:p>
      <w:pPr>
        <w:spacing w:after="0" w:line="207" w:lineRule="exact"/>
        <w:rPr>
          <w:sz w:val="20"/>
          <w:szCs w:val="20"/>
          <w:color w:val="auto"/>
        </w:rPr>
      </w:pPr>
    </w:p>
    <w:p>
      <w:pPr>
        <w:ind w:left="492" w:right="40"/>
        <w:spacing w:after="0" w:line="282" w:lineRule="auto"/>
        <w:rPr>
          <w:sz w:val="20"/>
          <w:szCs w:val="20"/>
          <w:color w:val="auto"/>
        </w:rPr>
      </w:pPr>
      <w:r>
        <w:rPr>
          <w:rFonts w:ascii="Times New Roman" w:cs="Times New Roman" w:eastAsia="Times New Roman" w:hAnsi="Times New Roman"/>
          <w:sz w:val="18"/>
          <w:szCs w:val="18"/>
          <w:color w:val="auto"/>
        </w:rPr>
        <w:t>United’s management believes that its method of determining the balance of the allowance for credit losses provides a reasonable and reliable basis for measuring and reporting losses that are incurred in the loan portfolio as of the reporting date.</w:t>
      </w:r>
    </w:p>
    <w:p>
      <w:pPr>
        <w:spacing w:after="0" w:line="189" w:lineRule="exact"/>
        <w:rPr>
          <w:sz w:val="20"/>
          <w:szCs w:val="20"/>
          <w:color w:val="auto"/>
        </w:rPr>
      </w:pPr>
    </w:p>
    <w:p>
      <w:pPr>
        <w:ind w:left="492" w:right="420"/>
        <w:spacing w:after="0" w:line="261" w:lineRule="auto"/>
        <w:rPr>
          <w:sz w:val="20"/>
          <w:szCs w:val="20"/>
          <w:color w:val="auto"/>
        </w:rPr>
      </w:pPr>
      <w:r>
        <w:rPr>
          <w:rFonts w:ascii="Times New Roman" w:cs="Times New Roman" w:eastAsia="Times New Roman" w:hAnsi="Times New Roman"/>
          <w:sz w:val="18"/>
          <w:szCs w:val="18"/>
          <w:color w:val="auto"/>
        </w:rPr>
        <w:t>When a loan officer determines that a loan is uncollectible, he or she is responsible for recommending that the loan be charged off. Full or partial charge-offs may also be recommended by the Collections Department, the Special Assets Department and the Foreclosure/OREO</w:t>
      </w:r>
    </w:p>
    <w:p>
      <w:pPr>
        <w:ind w:left="492" w:right="300"/>
        <w:spacing w:after="0" w:line="261" w:lineRule="auto"/>
        <w:rPr>
          <w:sz w:val="20"/>
          <w:szCs w:val="20"/>
          <w:color w:val="auto"/>
        </w:rPr>
      </w:pPr>
      <w:r>
        <w:rPr>
          <w:rFonts w:ascii="Times New Roman" w:cs="Times New Roman" w:eastAsia="Times New Roman" w:hAnsi="Times New Roman"/>
          <w:sz w:val="18"/>
          <w:szCs w:val="18"/>
          <w:color w:val="auto"/>
        </w:rPr>
        <w:t>Department. Nonaccrual real estate loans that are collateral dependent are generally charged down to 80% of the appraised value of the underlying collateral at the time they are placed on nonaccrual status.</w:t>
      </w:r>
    </w:p>
    <w:p>
      <w:pPr>
        <w:spacing w:after="0" w:line="207" w:lineRule="exact"/>
        <w:rPr>
          <w:sz w:val="20"/>
          <w:szCs w:val="20"/>
          <w:color w:val="auto"/>
        </w:rPr>
      </w:pPr>
    </w:p>
    <w:p>
      <w:pPr>
        <w:ind w:left="492" w:right="260"/>
        <w:spacing w:after="0" w:line="282" w:lineRule="auto"/>
        <w:rPr>
          <w:sz w:val="20"/>
          <w:szCs w:val="20"/>
          <w:color w:val="auto"/>
        </w:rPr>
      </w:pPr>
      <w:r>
        <w:rPr>
          <w:rFonts w:ascii="Times New Roman" w:cs="Times New Roman" w:eastAsia="Times New Roman" w:hAnsi="Times New Roman"/>
          <w:sz w:val="18"/>
          <w:szCs w:val="18"/>
          <w:color w:val="auto"/>
        </w:rPr>
        <w:t>A committee consisting of the Chief Risk Officer, Senior Risk Officer and the Senior Credit Officers meets monthly to review charge-offs that have occurred during the previous month.</w:t>
      </w:r>
    </w:p>
    <w:p>
      <w:pPr>
        <w:spacing w:after="0" w:line="189" w:lineRule="exact"/>
        <w:rPr>
          <w:sz w:val="20"/>
          <w:szCs w:val="20"/>
          <w:color w:val="auto"/>
        </w:rPr>
      </w:pPr>
    </w:p>
    <w:p>
      <w:pPr>
        <w:ind w:left="492" w:right="340"/>
        <w:spacing w:after="0" w:line="266" w:lineRule="auto"/>
        <w:rPr>
          <w:sz w:val="20"/>
          <w:szCs w:val="20"/>
          <w:color w:val="auto"/>
        </w:rPr>
      </w:pPr>
      <w:r>
        <w:rPr>
          <w:rFonts w:ascii="Times New Roman" w:cs="Times New Roman" w:eastAsia="Times New Roman" w:hAnsi="Times New Roman"/>
          <w:sz w:val="18"/>
          <w:szCs w:val="18"/>
          <w:color w:val="auto"/>
        </w:rPr>
        <w:t>Generally, closed-end retail loans (installment and residential mortgage loans) past due 90 cumulative days are charged off unless the loan is well secured and in process of collection (within the next 90 days). Open-end (revolving) retail loans which are past due 90 cumulative days from their contractual due date are generally charged off.</w:t>
      </w:r>
    </w:p>
    <w:p>
      <w:pPr>
        <w:spacing w:after="0" w:line="203" w:lineRule="exact"/>
        <w:rPr>
          <w:sz w:val="20"/>
          <w:szCs w:val="20"/>
          <w:color w:val="auto"/>
        </w:rPr>
      </w:pPr>
    </w:p>
    <w:p>
      <w:pPr>
        <w:ind w:left="492"/>
        <w:spacing w:after="0" w:line="282" w:lineRule="auto"/>
        <w:rPr>
          <w:sz w:val="20"/>
          <w:szCs w:val="20"/>
          <w:color w:val="auto"/>
        </w:rPr>
      </w:pPr>
      <w:r>
        <w:rPr>
          <w:rFonts w:ascii="Times New Roman" w:cs="Times New Roman" w:eastAsia="Times New Roman" w:hAnsi="Times New Roman"/>
          <w:sz w:val="18"/>
          <w:szCs w:val="18"/>
          <w:color w:val="auto"/>
        </w:rPr>
        <w:t>At December 31, 2013and 2012, loans with a carrying value of $1.77 billion and $1.90 billion were pledged as collateral to secure FHLB advances and other contingent funding sources.</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14" w:right="25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Allowance for Credit Losses, continued</w:t>
      </w:r>
    </w:p>
    <w:p>
      <w:pPr>
        <w:spacing w:after="0" w:line="229" w:lineRule="exact"/>
        <w:rPr>
          <w:rFonts w:ascii="Times New Roman" w:cs="Times New Roman" w:eastAsia="Times New Roman" w:hAnsi="Times New Roman"/>
          <w:sz w:val="18"/>
          <w:szCs w:val="18"/>
          <w:b w:val="1"/>
          <w:bCs w:val="1"/>
          <w:color w:val="auto"/>
        </w:rPr>
      </w:pPr>
    </w:p>
    <w:p>
      <w:pPr>
        <w:ind w:left="50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ordinary course of business, the Bank grants loans to executive officers, and directors of the holding company and the Bank, including their immediate families and companies with which they are associated. Management believes that such loans are made on substantially the same terms, including interest rate and collateral, as those prevailing at the time for comparable transactions with other customers. The following is a summary of such loans outstanding and the activity in these loans for the year ended December 31, 2013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2012</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New loans and advances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w:t>
            </w: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changes in executive officers and directors</w:t>
            </w:r>
          </w:p>
        </w:tc>
        <w:tc>
          <w:tcPr>
            <w:tcW w:w="3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(3,576)</w:t>
            </w:r>
          </w:p>
        </w:tc>
      </w:tr>
      <w:tr>
        <w:trPr>
          <w:trHeight w:val="257"/>
        </w:trPr>
        <w:tc>
          <w:tcPr>
            <w:tcW w:w="5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Balances at December 31, 2013</w:t>
            </w: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500" w:right="120"/>
        <w:spacing w:after="0" w:line="282" w:lineRule="auto"/>
        <w:rPr>
          <w:sz w:val="20"/>
          <w:szCs w:val="20"/>
          <w:color w:val="auto"/>
        </w:rPr>
      </w:pPr>
      <w:r>
        <w:rPr>
          <w:rFonts w:ascii="Times New Roman" w:cs="Times New Roman" w:eastAsia="Times New Roman" w:hAnsi="Times New Roman"/>
          <w:sz w:val="18"/>
          <w:szCs w:val="18"/>
          <w:color w:val="auto"/>
        </w:rPr>
        <w:t xml:space="preserve">The average balances of impaired loans and income recognized on impaired loans while they were considered impaired is presented below for the last three years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5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2011</w:t>
            </w: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 Basis</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0"/>
                <w:szCs w:val="10"/>
                <w:color w:val="auto"/>
              </w:rPr>
            </w:pPr>
          </w:p>
        </w:tc>
        <w:tc>
          <w:tcPr>
            <w:tcW w:w="9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 Basis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 Basis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8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6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Commercial (secured by</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59,724</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3,553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3,807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114,556</w:t>
            </w:r>
          </w:p>
        </w:tc>
        <w:tc>
          <w:tcPr>
            <w:tcW w:w="10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4,994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5,270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48,712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1,588</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45,233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2,523</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24,329</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13,946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633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45,489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1,268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13,126</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Total commercial</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78,279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4,587</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5,392</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205,278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9,061</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86,167</w:t>
            </w:r>
          </w:p>
        </w:tc>
        <w:tc>
          <w:tcPr>
            <w:tcW w:w="12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1,835</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21,413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1,114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1,088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23,926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9,575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14,558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993</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46,410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2,054</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30,797</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114,633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6,715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7,524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276,178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12,332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126,640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2,662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following table presents loans individually evaluated for impairment by class of loans as of December 31, 2013 and 2012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ind w:right="73"/>
              <w:spacing w:after="0" w:line="124"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93"/>
              <w:spacing w:after="0" w:line="124"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Loan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 Loan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26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Commercial (secured by real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estate)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30,361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24,205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74,066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62,609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74,572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49,572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23,938</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17,305</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2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commercial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27,431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172,576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129,486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10,336</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8,383</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35,439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19,093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268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Total with no related allowance</w:t>
            </w: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0" w:type="dxa"/>
            <w:vAlign w:val="bottom"/>
          </w:tcPr>
          <w:p>
            <w:pPr>
              <w:spacing w:after="0"/>
              <w:rPr>
                <w:sz w:val="20"/>
                <w:szCs w:val="20"/>
                <w:color w:val="auto"/>
              </w:rPr>
            </w:pPr>
          </w:p>
        </w:tc>
        <w:tc>
          <w:tcPr>
            <w:tcW w:w="2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recorded</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38,872</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218,351</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156,962</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26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Commercial (secured by real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estate)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36,003</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44,395</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41,800</w:t>
            </w: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12,741</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23,746</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22,863</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2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commercial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51,154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50,709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70,311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66,592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8,835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17,038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14,267</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13,864</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15,412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268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Total with an allowance</w:t>
            </w: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recorded</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78,246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75,747</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100,431</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95,848</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20" w:type="dxa"/>
            <w:vAlign w:val="bottom"/>
            <w:shd w:val="clear" w:color="auto" w:fill="CCEEFF"/>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2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125,791</w:t>
            </w:r>
          </w:p>
        </w:tc>
        <w:tc>
          <w:tcPr>
            <w:tcW w:w="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114,619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318,782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252,810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00" w:type="dxa"/>
            <w:vAlign w:val="bottom"/>
            <w:tcBorders>
              <w:bottom w:val="single" w:sz="8" w:color="DCDCDC"/>
            </w:tcBorders>
          </w:tcPr>
          <w:p>
            <w:pPr>
              <w:spacing w:after="0"/>
              <w:rPr>
                <w:sz w:val="24"/>
                <w:szCs w:val="24"/>
                <w:color w:val="auto"/>
              </w:rPr>
            </w:pPr>
          </w:p>
        </w:tc>
        <w:tc>
          <w:tcPr>
            <w:tcW w:w="26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306" w:gutter="0" w:footer="0" w:header="0"/>
        </w:sectPr>
      </w:pPr>
    </w:p>
    <w:bookmarkStart w:id="88" w:name="page89"/>
    <w:bookmarkEnd w:id="88"/>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Allowance for Credit Losses, continued</w:t>
      </w:r>
    </w:p>
    <w:p>
      <w:pPr>
        <w:spacing w:after="0" w:line="229" w:lineRule="exact"/>
        <w:rPr>
          <w:rFonts w:ascii="Times New Roman" w:cs="Times New Roman" w:eastAsia="Times New Roman" w:hAnsi="Times New Roman"/>
          <w:sz w:val="18"/>
          <w:szCs w:val="18"/>
          <w:b w:val="1"/>
          <w:bCs w:val="1"/>
          <w:color w:val="auto"/>
        </w:rPr>
      </w:pPr>
    </w:p>
    <w:p>
      <w:pPr>
        <w:ind w:left="492"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loans more than 90 days past due and still accruing interest at December 31, 2013 and 2012. Nonaccrual loans at December 31, 2013 and 2012 were $26.8 million and $110 million, respectively.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14"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recorded investment (unpaid principal less amounts charged-off) in nonaccrual loans by loan class as of December 31,</w:t>
      </w:r>
    </w:p>
    <w:p>
      <w:pPr>
        <w:spacing w:after="0" w:line="27"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2013 and 2012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5" w:lineRule="exact"/>
        <w:rPr>
          <w:sz w:val="20"/>
          <w:szCs w:val="20"/>
          <w:color w:val="auto"/>
        </w:rPr>
      </w:pPr>
    </w:p>
    <w:tbl>
      <w:tblPr>
        <w:tblLayout w:type="fixed"/>
        <w:tblInd w:w="2292"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22,148</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31,817</w:t>
            </w: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commercial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77,808</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12,589</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18,702</w:t>
            </w: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109,894</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7"/>
          <w:szCs w:val="17"/>
          <w:color w:val="auto"/>
        </w:rPr>
        <w:t xml:space="preserve">The following table presents the aging of the recorded investment in past due loans as of December 31, 2013 and 2012 by class of loans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327" w:lineRule="exact"/>
        <w:rPr>
          <w:sz w:val="20"/>
          <w:szCs w:val="20"/>
          <w:color w:val="auto"/>
        </w:rPr>
      </w:pPr>
    </w:p>
    <w:tbl>
      <w:tblPr>
        <w:tblLayout w:type="fixed"/>
        <w:tblInd w:w="492"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Loans Past Due</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Loans Not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2013</w:t>
            </w:r>
          </w:p>
        </w:tc>
        <w:tc>
          <w:tcPr>
            <w:tcW w:w="14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30 - 59 Days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60 - 89 Days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&gt; 90 Days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6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1,745,642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2,660</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469,301</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148,384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commercial</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14,247</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2,363,327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19,410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1,296,554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3,298</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325,281</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305,417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38,687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4,290,579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1,794,551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2,861</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455,385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6,706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148,063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154,769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commercial</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28,381</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2,397,999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19,566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1,194,637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9,326</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372,351</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150,894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23,129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59,127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4,115,881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92" w:right="200"/>
        <w:spacing w:after="0" w:line="266" w:lineRule="auto"/>
        <w:rPr>
          <w:sz w:val="20"/>
          <w:szCs w:val="20"/>
          <w:color w:val="auto"/>
        </w:rPr>
      </w:pPr>
      <w:r>
        <w:rPr>
          <w:rFonts w:ascii="Times New Roman" w:cs="Times New Roman" w:eastAsia="Times New Roman" w:hAnsi="Times New Roman"/>
          <w:sz w:val="18"/>
          <w:szCs w:val="18"/>
          <w:color w:val="auto"/>
        </w:rPr>
        <w:t>As of December 31, 2013 and 2012, United has allocated $5.64 million and $9.50 million, respectively, of specific reserves to customers whose loan terms have been modified in TDRs. United committed to lend additional amounts totaling up to $6,000 and $689,000 as of December 31, 2013 and 2012, respectively, to customers with outstanding loans that are classified as TDRs.</w:t>
      </w: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14" w:right="25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Allowance for Credit Losses, continued</w:t>
      </w:r>
    </w:p>
    <w:p>
      <w:pPr>
        <w:spacing w:after="0" w:line="229" w:lineRule="exact"/>
        <w:rPr>
          <w:rFonts w:ascii="Times New Roman" w:cs="Times New Roman" w:eastAsia="Times New Roman" w:hAnsi="Times New Roman"/>
          <w:sz w:val="18"/>
          <w:szCs w:val="18"/>
          <w:b w:val="1"/>
          <w:bCs w:val="1"/>
          <w:color w:val="auto"/>
        </w:rPr>
      </w:pPr>
    </w:p>
    <w:p>
      <w:pPr>
        <w:ind w:left="50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modification of the terms of TDRs included one or a combination of the following: a reduction of the stated interest rate of the loan or an extension of the amortization period that would not otherwise be considered in the current market for new debt with similar risk characteristics; a permanent reduction of the principal amount; a restructuring of the borrower’s debt into an A/B note structure where the A note would fall within the borrower’s ability to pay and the remainder would be included in the B note, or a mandated bankruptcy restructuring.</w:t>
      </w:r>
    </w:p>
    <w:p>
      <w:pPr>
        <w:spacing w:after="0" w:line="207" w:lineRule="exact"/>
        <w:rPr>
          <w:rFonts w:ascii="Times New Roman" w:cs="Times New Roman" w:eastAsia="Times New Roman" w:hAnsi="Times New Roman"/>
          <w:sz w:val="18"/>
          <w:szCs w:val="18"/>
          <w:b w:val="1"/>
          <w:bCs w:val="1"/>
          <w:color w:val="auto"/>
        </w:rPr>
      </w:pPr>
    </w:p>
    <w:p>
      <w:pPr>
        <w:ind w:left="50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Loans modified under the terms of a TDR during the twelve months ended December 31, 2013 and 2012 are presented in the table below. In addition, the following table presents loans modified under the terms of a TDR that became 90 days or more delinquent during the twelve months ended December 31, 2013 and 2012, that were initially restructured within one year prior to becoming delinquent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Troubled Debt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Restructurings That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Post-</w:t>
            </w:r>
          </w:p>
        </w:tc>
        <w:tc>
          <w:tcPr>
            <w:tcW w:w="2560" w:type="dxa"/>
            <w:vAlign w:val="bottom"/>
            <w:gridSpan w:val="6"/>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Have Subsequently</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256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Defaulted Within the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5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Previous Twelve Months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gridSpan w:val="6"/>
          </w:tcPr>
          <w:p>
            <w:pPr>
              <w:ind w:left="500"/>
              <w:spacing w:after="0" w:line="135" w:lineRule="exact"/>
              <w:rPr>
                <w:sz w:val="20"/>
                <w:szCs w:val="20"/>
                <w:color w:val="auto"/>
              </w:rPr>
            </w:pPr>
            <w:r>
              <w:rPr>
                <w:rFonts w:ascii="Times New Roman" w:cs="Times New Roman" w:eastAsia="Times New Roman" w:hAnsi="Times New Roman"/>
                <w:sz w:val="14"/>
                <w:szCs w:val="14"/>
                <w:b w:val="1"/>
                <w:bCs w:val="1"/>
                <w:color w:val="auto"/>
              </w:rPr>
              <w:t>Troubled Debt Restructurings for the Year</w:t>
            </w:r>
          </w:p>
        </w:tc>
        <w:tc>
          <w:tcPr>
            <w:tcW w:w="12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200" w:type="dxa"/>
            <w:vAlign w:val="bottom"/>
            <w:tcBorders>
              <w:top w:val="single" w:sz="8" w:color="auto"/>
            </w:tcBorders>
            <w:gridSpan w:val="2"/>
          </w:tcPr>
          <w:p>
            <w:pPr>
              <w:jc w:val="right"/>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1"/>
              <w:spacing w:after="0" w:line="135"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2660" w:type="dxa"/>
            <w:vAlign w:val="bottom"/>
            <w:tcBorders>
              <w:top w:val="single" w:sz="8" w:color="auto"/>
            </w:tcBorders>
            <w:gridSpan w:val="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ended December 31, 2013</w:t>
            </w:r>
          </w:p>
        </w:tc>
        <w:tc>
          <w:tcPr>
            <w:tcW w:w="1420" w:type="dxa"/>
            <w:vAlign w:val="bottom"/>
          </w:tcPr>
          <w:p>
            <w:pPr>
              <w:spacing w:after="0"/>
              <w:rPr>
                <w:sz w:val="11"/>
                <w:szCs w:val="11"/>
                <w:color w:val="auto"/>
              </w:rPr>
            </w:pPr>
          </w:p>
        </w:tc>
        <w:tc>
          <w:tcPr>
            <w:tcW w:w="12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20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Contracts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11,384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Total commercial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13,008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6,573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Total loans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23,701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21,676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gridSpan w:val="6"/>
          </w:tcPr>
          <w:p>
            <w:pPr>
              <w:ind w:left="500"/>
              <w:spacing w:after="0" w:line="202" w:lineRule="exact"/>
              <w:rPr>
                <w:sz w:val="20"/>
                <w:szCs w:val="20"/>
                <w:color w:val="auto"/>
              </w:rPr>
            </w:pPr>
            <w:r>
              <w:rPr>
                <w:rFonts w:ascii="Times New Roman" w:cs="Times New Roman" w:eastAsia="Times New Roman" w:hAnsi="Times New Roman"/>
                <w:sz w:val="18"/>
                <w:szCs w:val="18"/>
                <w:b w:val="1"/>
                <w:bCs w:val="1"/>
                <w:color w:val="auto"/>
              </w:rPr>
              <w:t>Year ended December 31, 2012</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34,450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32,928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3,616</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33,934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commercial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70,478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0" w:type="dxa"/>
            <w:vAlign w:val="bottom"/>
          </w:tcPr>
          <w:p>
            <w:pPr>
              <w:spacing w:after="0"/>
              <w:rPr>
                <w:sz w:val="22"/>
                <w:szCs w:val="22"/>
                <w:color w:val="auto"/>
              </w:rPr>
            </w:pPr>
          </w:p>
        </w:tc>
        <w:tc>
          <w:tcPr>
            <w:tcW w:w="40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loans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107,458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102,509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13,999</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08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Year ended December 31, 2011</w:t>
            </w:r>
          </w:p>
        </w:tc>
        <w:tc>
          <w:tcPr>
            <w:tcW w:w="108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56,981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56,031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16,243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Total commercial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73,041</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10,444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21,821</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4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Total loans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107,788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105,506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00" w:type="dxa"/>
            <w:vAlign w:val="bottom"/>
            <w:tcBorders>
              <w:bottom w:val="single" w:sz="8" w:color="DCDCDC"/>
            </w:tcBorders>
          </w:tcPr>
          <w:p>
            <w:pPr>
              <w:spacing w:after="0"/>
              <w:rPr>
                <w:sz w:val="24"/>
                <w:szCs w:val="24"/>
                <w:color w:val="auto"/>
              </w:rPr>
            </w:pPr>
          </w:p>
        </w:tc>
        <w:tc>
          <w:tcPr>
            <w:tcW w:w="156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420" w:type="dxa"/>
            <w:vAlign w:val="bottom"/>
            <w:tcBorders>
              <w:bottom w:val="single" w:sz="8" w:color="DCDCDC"/>
            </w:tcBorders>
          </w:tcPr>
          <w:p>
            <w:pPr>
              <w:spacing w:after="0"/>
              <w:rPr>
                <w:sz w:val="24"/>
                <w:szCs w:val="24"/>
                <w:color w:val="auto"/>
              </w:rPr>
            </w:pPr>
          </w:p>
        </w:tc>
        <w:tc>
          <w:tcPr>
            <w:tcW w:w="1280" w:type="dxa"/>
            <w:vAlign w:val="bottom"/>
            <w:tcBorders>
              <w:bottom w:val="single" w:sz="8" w:color="DCDCD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1440" w:gutter="0" w:footer="0" w:header="0"/>
        </w:sectPr>
      </w:pPr>
    </w:p>
    <w:bookmarkStart w:id="90" w:name="page91"/>
    <w:bookmarkEnd w:id="90"/>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Allowance for Credit Losses, continued</w:t>
      </w:r>
    </w:p>
    <w:p>
      <w:pPr>
        <w:spacing w:after="0" w:line="229" w:lineRule="exact"/>
        <w:rPr>
          <w:rFonts w:ascii="Times New Roman" w:cs="Times New Roman" w:eastAsia="Times New Roman" w:hAnsi="Times New Roman"/>
          <w:sz w:val="18"/>
          <w:szCs w:val="18"/>
          <w:b w:val="1"/>
          <w:bCs w:val="1"/>
          <w:color w:val="auto"/>
        </w:rPr>
      </w:pPr>
    </w:p>
    <w:p>
      <w:pPr>
        <w:ind w:left="492"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table presents additional information on TDRs including the number of loan contracts restructured and the pre- and post-modification recorded investment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492"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Pre-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37"/>
              <w:spacing w:after="0" w:line="124" w:lineRule="exact"/>
              <w:rPr>
                <w:sz w:val="20"/>
                <w:szCs w:val="20"/>
                <w:color w:val="auto"/>
              </w:rPr>
            </w:pPr>
            <w:r>
              <w:rPr>
                <w:rFonts w:ascii="Times New Roman" w:cs="Times New Roman" w:eastAsia="Times New Roman" w:hAnsi="Times New Roman"/>
                <w:sz w:val="14"/>
                <w:szCs w:val="14"/>
                <w:b w:val="1"/>
                <w:bCs w:val="1"/>
                <w:color w:val="auto"/>
              </w:rPr>
              <w:t>Post-</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Pre-</w:t>
            </w:r>
          </w:p>
        </w:tc>
        <w:tc>
          <w:tcPr>
            <w:tcW w:w="140" w:type="dxa"/>
            <w:vAlign w:val="bottom"/>
          </w:tcPr>
          <w:p>
            <w:pPr>
              <w:spacing w:after="0"/>
              <w:rPr>
                <w:sz w:val="10"/>
                <w:szCs w:val="10"/>
                <w:color w:val="auto"/>
              </w:rPr>
            </w:pPr>
          </w:p>
        </w:tc>
        <w:tc>
          <w:tcPr>
            <w:tcW w:w="1020" w:type="dxa"/>
            <w:vAlign w:val="bottom"/>
          </w:tcPr>
          <w:p>
            <w:pPr>
              <w:jc w:val="center"/>
              <w:ind w:right="57"/>
              <w:spacing w:after="0" w:line="124" w:lineRule="exact"/>
              <w:rPr>
                <w:sz w:val="20"/>
                <w:szCs w:val="20"/>
                <w:color w:val="auto"/>
              </w:rPr>
            </w:pPr>
            <w:r>
              <w:rPr>
                <w:rFonts w:ascii="Times New Roman" w:cs="Times New Roman" w:eastAsia="Times New Roman" w:hAnsi="Times New Roman"/>
                <w:sz w:val="14"/>
                <w:szCs w:val="14"/>
                <w:b w:val="1"/>
                <w:bCs w:val="1"/>
                <w:color w:val="auto"/>
              </w:rPr>
              <w:t>Post-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44,964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40,667</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80,261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7,492</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13,042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37,537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commercial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56,954</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125,290</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19,357</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20,323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10,452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25,822</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94,897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86,966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172,727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160,763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92" w:right="60"/>
        <w:spacing w:after="0" w:line="266" w:lineRule="auto"/>
        <w:rPr>
          <w:sz w:val="20"/>
          <w:szCs w:val="20"/>
          <w:color w:val="auto"/>
        </w:rPr>
      </w:pPr>
      <w:r>
        <w:rPr>
          <w:rFonts w:ascii="Times New Roman" w:cs="Times New Roman" w:eastAsia="Times New Roman" w:hAnsi="Times New Roman"/>
          <w:sz w:val="18"/>
          <w:szCs w:val="18"/>
          <w:color w:val="auto"/>
        </w:rPr>
        <w:t>Collateral dependent TDRs that subsequently default or are placed on nonaccrual are charged down to the fair value of the collateral consistent with United’s policy for nonaccrual loans. Impairment on TDRs that are not collateral dependent continues to be measured based on discounted cash flows regardless of whether the loan has subsequently defaulted.</w:t>
      </w:r>
    </w:p>
    <w:p>
      <w:pPr>
        <w:spacing w:after="0" w:line="19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229" w:lineRule="exact"/>
        <w:rPr>
          <w:sz w:val="20"/>
          <w:szCs w:val="20"/>
          <w:color w:val="auto"/>
        </w:rPr>
      </w:pPr>
    </w:p>
    <w:p>
      <w:pPr>
        <w:ind w:left="492"/>
        <w:spacing w:after="0" w:line="261" w:lineRule="auto"/>
        <w:rPr>
          <w:sz w:val="20"/>
          <w:szCs w:val="20"/>
          <w:color w:val="auto"/>
        </w:rPr>
      </w:pPr>
      <w:r>
        <w:rPr>
          <w:rFonts w:ascii="Times New Roman" w:cs="Times New Roman" w:eastAsia="Times New Roman" w:hAnsi="Times New Roman"/>
          <w:sz w:val="18"/>
          <w:szCs w:val="18"/>
          <w:color w:val="auto"/>
        </w:rPr>
        <w:t>United categorizes loans into risk categories based on relevant information about the ability of borrowers to service their debt such as: current financial information, historical payment experience, credit documentation, public information, current industry and economic trends, among other factors. United analyzes loans individually by classifying the loans as to credit risk. This analysis is performed on a continuous basis. United uses the following definitions for its risk ratings:</w:t>
      </w:r>
    </w:p>
    <w:p>
      <w:pPr>
        <w:spacing w:after="0" w:line="203" w:lineRule="exact"/>
        <w:rPr>
          <w:sz w:val="20"/>
          <w:szCs w:val="20"/>
          <w:color w:val="auto"/>
        </w:rPr>
      </w:pPr>
    </w:p>
    <w:p>
      <w:pPr>
        <w:ind w:left="492" w:right="20"/>
        <w:spacing w:after="0" w:line="268" w:lineRule="auto"/>
        <w:rPr>
          <w:sz w:val="20"/>
          <w:szCs w:val="20"/>
          <w:color w:val="auto"/>
        </w:rPr>
      </w:pPr>
      <w:r>
        <w:rPr>
          <w:rFonts w:ascii="Times New Roman" w:cs="Times New Roman" w:eastAsia="Times New Roman" w:hAnsi="Times New Roman"/>
          <w:sz w:val="18"/>
          <w:szCs w:val="18"/>
          <w:b w:val="1"/>
          <w:bCs w:val="1"/>
          <w:color w:val="auto"/>
        </w:rPr>
        <w:t>Watch</w:t>
      </w:r>
      <w:r>
        <w:rPr>
          <w:rFonts w:ascii="Times New Roman" w:cs="Times New Roman" w:eastAsia="Times New Roman" w:hAnsi="Times New Roman"/>
          <w:sz w:val="18"/>
          <w:szCs w:val="18"/>
          <w:color w:val="auto"/>
        </w:rPr>
        <w:t>. Loans in this category are presently protected from apparent loss; however weaknesses exist that could cause future impairment,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98"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w:t>
      </w:r>
    </w:p>
    <w:p>
      <w:pPr>
        <w:spacing w:after="0" w:line="31" w:lineRule="exact"/>
        <w:rPr>
          <w:sz w:val="20"/>
          <w:szCs w:val="20"/>
          <w:color w:val="auto"/>
        </w:rPr>
      </w:pPr>
    </w:p>
    <w:p>
      <w:pPr>
        <w:ind w:left="492" w:right="220"/>
        <w:spacing w:after="0" w:line="255" w:lineRule="auto"/>
        <w:rPr>
          <w:sz w:val="20"/>
          <w:szCs w:val="20"/>
          <w:color w:val="auto"/>
        </w:rPr>
      </w:pPr>
      <w:r>
        <w:rPr>
          <w:rFonts w:ascii="Times New Roman" w:cs="Times New Roman" w:eastAsia="Times New Roman" w:hAnsi="Times New Roman"/>
          <w:sz w:val="18"/>
          <w:szCs w:val="18"/>
          <w:color w:val="auto"/>
        </w:rPr>
        <w:t>pledged. Specific and 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9" w:lineRule="exact"/>
        <w:rPr>
          <w:sz w:val="20"/>
          <w:szCs w:val="20"/>
          <w:color w:val="auto"/>
        </w:rPr>
      </w:pPr>
    </w:p>
    <w:p>
      <w:pPr>
        <w:ind w:left="492" w:right="1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improbable. There is no reliable secondary source of full repayment.</w:t>
      </w:r>
    </w:p>
    <w:p>
      <w:pPr>
        <w:spacing w:after="0" w:line="182" w:lineRule="exact"/>
        <w:rPr>
          <w:sz w:val="20"/>
          <w:szCs w:val="20"/>
          <w:color w:val="auto"/>
        </w:rPr>
      </w:pPr>
    </w:p>
    <w:p>
      <w:pPr>
        <w:ind w:left="492"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charged-off.</w:t>
      </w:r>
    </w:p>
    <w:p>
      <w:pPr>
        <w:spacing w:after="0" w:line="186"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6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14" w:right="27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Allowance for Credit Losses, continued</w:t>
      </w:r>
    </w:p>
    <w:p>
      <w:pPr>
        <w:spacing w:after="0" w:line="227" w:lineRule="exact"/>
        <w:rPr>
          <w:rFonts w:ascii="Times New Roman" w:cs="Times New Roman" w:eastAsia="Times New Roman" w:hAnsi="Times New Roman"/>
          <w:sz w:val="18"/>
          <w:szCs w:val="18"/>
          <w:b w:val="1"/>
          <w:bCs w:val="1"/>
          <w:color w:val="auto"/>
        </w:rPr>
      </w:pPr>
    </w:p>
    <w:p>
      <w:pPr>
        <w:ind w:left="500" w:right="42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of December 31, 2013 and 2012, and based on the most recent analysis performed, the risk category of loans by class of loans is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Doubtful /</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Pass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Watch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40" w:type="dxa"/>
            <w:vAlign w:val="bottom"/>
          </w:tcPr>
          <w:p>
            <w:pPr>
              <w:spacing w:after="0"/>
              <w:rPr>
                <w:sz w:val="19"/>
                <w:szCs w:val="19"/>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2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2013</w:t>
            </w: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Commercial (secured by real</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estate)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1,630,521</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40,124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77,725</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456,563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commercial</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2,207,936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1,219,433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51,989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13,178</w:t>
            </w:r>
          </w:p>
        </w:tc>
        <w:tc>
          <w:tcPr>
            <w:tcW w:w="240" w:type="dxa"/>
            <w:vAlign w:val="bottom"/>
          </w:tcPr>
          <w:p>
            <w:pPr>
              <w:spacing w:after="0"/>
              <w:rPr>
                <w:sz w:val="18"/>
                <w:szCs w:val="18"/>
                <w:color w:val="auto"/>
              </w:rPr>
            </w:pP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298,685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4,264</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2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loans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4,029,187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4,329,266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2012</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Commercial (secured by real</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estate)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1,592,677</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80,997</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117,543</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22,148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402,548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31,817</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154,769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commercial</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2,099,521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2,426,380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1,102,746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12,589</w:t>
            </w:r>
          </w:p>
        </w:tc>
        <w:tc>
          <w:tcPr>
            <w:tcW w:w="240" w:type="dxa"/>
            <w:vAlign w:val="bottom"/>
          </w:tcPr>
          <w:p>
            <w:pPr>
              <w:spacing w:after="0"/>
              <w:rPr>
                <w:sz w:val="18"/>
                <w:szCs w:val="18"/>
                <w:color w:val="auto"/>
              </w:rPr>
            </w:pP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292,264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18,702</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loans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3,641,745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261,941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109,894</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4,175,008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Foreclosed Property</w:t>
      </w:r>
    </w:p>
    <w:p>
      <w:pPr>
        <w:spacing w:after="0" w:line="2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Major classifications of foreclosed properties at December 31, 2013 and 2012 are summarized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commercial</w:t>
            </w:r>
          </w:p>
        </w:tc>
        <w:tc>
          <w:tcPr>
            <w:tcW w:w="1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foreclosed property</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25,218</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(6,954)</w:t>
            </w:r>
          </w:p>
        </w:tc>
      </w:tr>
      <w:tr>
        <w:trPr>
          <w:trHeight w:val="27"/>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Foreclosed property, net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1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a percentage of original loan unpaid principal</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r>
    </w:tbl>
    <w:p>
      <w:pPr>
        <w:spacing w:after="0" w:line="189" w:lineRule="exact"/>
        <w:rPr>
          <w:sz w:val="20"/>
          <w:szCs w:val="20"/>
          <w:color w:val="auto"/>
        </w:rPr>
      </w:pPr>
    </w:p>
    <w:p>
      <w:pPr>
        <w:ind w:left="500" w:right="980"/>
        <w:spacing w:after="0" w:line="258" w:lineRule="auto"/>
        <w:rPr>
          <w:sz w:val="20"/>
          <w:szCs w:val="20"/>
          <w:color w:val="auto"/>
        </w:rPr>
      </w:pPr>
      <w:r>
        <w:rPr>
          <w:rFonts w:ascii="Times New Roman" w:cs="Times New Roman" w:eastAsia="Times New Roman" w:hAnsi="Times New Roman"/>
          <w:sz w:val="22"/>
          <w:szCs w:val="22"/>
          <w:color w:val="auto"/>
        </w:rPr>
        <w:t>In the second quarter of 2013, United completed the accelerated sales of $172 million of classified assets including performing and nonperforming classified loans and foreclosed properties.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 xml:space="preserve">Activity in the valuation allowance for foreclosed property is presented in the following table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22"/>
          <w:szCs w:val="22"/>
          <w:color w:val="auto"/>
        </w:rPr>
        <w: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18,982</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 upon disposition</w:t>
            </w:r>
          </w:p>
        </w:tc>
        <w:tc>
          <w:tcPr>
            <w:tcW w:w="1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(18,979)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Balance at end of year</w:t>
            </w:r>
          </w:p>
        </w:tc>
        <w:tc>
          <w:tcPr>
            <w:tcW w:w="2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1160" w:type="dxa"/>
            <w:vAlign w:val="bottom"/>
            <w:tcBorders>
              <w:bottom w:val="single" w:sz="8" w:color="DCDCDC"/>
            </w:tcBorders>
          </w:tcPr>
          <w:p>
            <w:pPr>
              <w:spacing w:after="0"/>
              <w:rPr>
                <w:sz w:val="24"/>
                <w:szCs w:val="24"/>
                <w:color w:val="auto"/>
              </w:rPr>
            </w:pPr>
          </w:p>
        </w:tc>
        <w:tc>
          <w:tcPr>
            <w:tcW w:w="3300" w:type="dxa"/>
            <w:vAlign w:val="bottom"/>
            <w:tcBorders>
              <w:bottom w:val="single" w:sz="8" w:color="DCDCDC"/>
            </w:tcBorders>
          </w:tcPr>
          <w:p>
            <w:pPr>
              <w:spacing w:after="0"/>
              <w:rPr>
                <w:sz w:val="24"/>
                <w:szCs w:val="24"/>
                <w:color w:val="auto"/>
              </w:rPr>
            </w:pPr>
          </w:p>
        </w:tc>
        <w:tc>
          <w:tcPr>
            <w:tcW w:w="1860" w:type="dxa"/>
            <w:vAlign w:val="bottom"/>
            <w:tcBorders>
              <w:bottom w:val="single" w:sz="8" w:color="DCDCDC"/>
            </w:tcBorders>
            <w:vMerge w:val="continue"/>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5"/>
              </w:rPr>
              <w:t>(8)</w:t>
            </w:r>
          </w:p>
        </w:tc>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Foreclosed Property, continued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Expenses related to foreclosed assets include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on sales</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unrealized losses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57,368</w:t>
            </w:r>
          </w:p>
        </w:tc>
        <w:tc>
          <w:tcPr>
            <w:tcW w:w="100" w:type="dxa"/>
            <w:vAlign w:val="bottom"/>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net of rental income</w:t>
            </w: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foreclosed property expense</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13,993</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78,905</w:t>
            </w:r>
          </w:p>
        </w:tc>
        <w:tc>
          <w:tcPr>
            <w:tcW w:w="100" w:type="dxa"/>
            <w:vAlign w:val="bottom"/>
          </w:tcPr>
          <w:p>
            <w:pPr>
              <w:spacing w:after="0"/>
              <w:rPr>
                <w:sz w:val="18"/>
                <w:szCs w:val="18"/>
                <w:color w:val="auto"/>
              </w:rPr>
            </w:pPr>
          </w:p>
        </w:tc>
      </w:tr>
      <w:tr>
        <w:trPr>
          <w:trHeight w:val="21"/>
        </w:trPr>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500" w:hanging="492"/>
        <w:spacing w:after="0"/>
        <w:tabs>
          <w:tab w:leader="none" w:pos="5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Premises and Equipment</w:t>
      </w:r>
    </w:p>
    <w:p>
      <w:pPr>
        <w:spacing w:after="0" w:line="2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Premises and equipment at December 31, 2013 and 2012 are summarized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80,845</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63,015</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258,418</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(94,829)</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(94,225)</w:t>
            </w: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163,589</w:t>
            </w:r>
          </w:p>
        </w:tc>
        <w:tc>
          <w:tcPr>
            <w:tcW w:w="1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168,920</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was $9.40 million, $9.26 million and $9.83 million for 2013, 2012 and 2011, respectively.</w:t>
      </w:r>
    </w:p>
    <w:p>
      <w:pPr>
        <w:spacing w:after="0" w:line="252" w:lineRule="exact"/>
        <w:rPr>
          <w:sz w:val="20"/>
          <w:szCs w:val="20"/>
          <w:color w:val="auto"/>
        </w:rPr>
      </w:pPr>
    </w:p>
    <w:p>
      <w:pPr>
        <w:jc w:val="both"/>
        <w:ind w:left="500" w:right="280"/>
        <w:spacing w:after="0" w:line="266" w:lineRule="auto"/>
        <w:rPr>
          <w:sz w:val="20"/>
          <w:szCs w:val="20"/>
          <w:color w:val="auto"/>
        </w:rPr>
      </w:pPr>
      <w:r>
        <w:rPr>
          <w:rFonts w:ascii="Times New Roman" w:cs="Times New Roman" w:eastAsia="Times New Roman" w:hAnsi="Times New Roman"/>
          <w:sz w:val="18"/>
          <w:szCs w:val="18"/>
          <w:color w:val="auto"/>
        </w:rPr>
        <w:t xml:space="preserve">United leases certain branch properties and equipment under operating leases. Rent expense was $2.34 million, $2.30 million and $2.25 million for 2013, 2012 and 2011, respectively. United does not have any capital leases. Rent commitments under operating leases, before considering renewal options that generally are present,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Pr>
          <w:p>
            <w:pPr>
              <w:spacing w:after="0"/>
              <w:rPr>
                <w:sz w:val="19"/>
                <w:szCs w:val="19"/>
                <w:color w:val="auto"/>
              </w:rPr>
            </w:pPr>
          </w:p>
        </w:tc>
      </w:tr>
      <w:tr>
        <w:trPr>
          <w:trHeight w:val="257"/>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ind w:left="500" w:hanging="492"/>
        <w:spacing w:after="0"/>
        <w:tabs>
          <w:tab w:leader="none" w:pos="5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rFonts w:ascii="Times New Roman" w:cs="Times New Roman" w:eastAsia="Times New Roman" w:hAnsi="Times New Roman"/>
          <w:sz w:val="18"/>
          <w:szCs w:val="18"/>
          <w:b w:val="1"/>
          <w:bCs w:val="1"/>
          <w:color w:val="auto"/>
        </w:rPr>
      </w:pPr>
    </w:p>
    <w:p>
      <w:pPr>
        <w:ind w:left="50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United has finite-lived intangible assets capitalized on its balance sheet in the form of core deposit intangibles. These intangible assets are amortized over their estimated useful lives of no more than 10 years. A summary of core deposit intangible assets as of December 31, 2013 and 2012 is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3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32,652</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32,652</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29,172</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carrying amount</w:t>
            </w:r>
          </w:p>
        </w:tc>
        <w:tc>
          <w:tcPr>
            <w:tcW w:w="3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669"/>
        </w:trPr>
        <w:tc>
          <w:tcPr>
            <w:tcW w:w="1160" w:type="dxa"/>
            <w:vAlign w:val="bottom"/>
            <w:tcBorders>
              <w:bottom w:val="single" w:sz="8" w:color="DCDCDC"/>
            </w:tcBorders>
          </w:tcPr>
          <w:p>
            <w:pPr>
              <w:spacing w:after="0"/>
              <w:rPr>
                <w:sz w:val="24"/>
                <w:szCs w:val="24"/>
                <w:color w:val="auto"/>
              </w:rPr>
            </w:pPr>
          </w:p>
        </w:tc>
        <w:tc>
          <w:tcPr>
            <w:tcW w:w="3340" w:type="dxa"/>
            <w:vAlign w:val="bottom"/>
            <w:tcBorders>
              <w:top w:val="single" w:sz="8" w:color="CCEEFF"/>
              <w:bottom w:val="single" w:sz="8" w:color="DCDCDC"/>
            </w:tcBorders>
          </w:tcPr>
          <w:p>
            <w:pPr>
              <w:spacing w:after="0"/>
              <w:rPr>
                <w:sz w:val="24"/>
                <w:szCs w:val="24"/>
                <w:color w:val="auto"/>
              </w:rPr>
            </w:pPr>
          </w:p>
        </w:tc>
        <w:tc>
          <w:tcPr>
            <w:tcW w:w="3180" w:type="dxa"/>
            <w:vAlign w:val="bottom"/>
            <w:tcBorders>
              <w:top w:val="single" w:sz="8" w:color="CCEEFF"/>
              <w:bottom w:val="single" w:sz="8" w:color="DCDCDC"/>
            </w:tcBorders>
          </w:tcPr>
          <w:p>
            <w:pPr>
              <w:jc w:val="right"/>
              <w:ind w:right="1790"/>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Borders>
              <w:top w:val="single" w:sz="8" w:color="auto"/>
              <w:bottom w:val="single" w:sz="8" w:color="DCDCDC"/>
            </w:tcBorders>
          </w:tcPr>
          <w:p>
            <w:pPr>
              <w:spacing w:after="0"/>
              <w:rPr>
                <w:sz w:val="24"/>
                <w:szCs w:val="24"/>
                <w:color w:val="auto"/>
              </w:rPr>
            </w:pPr>
          </w:p>
        </w:tc>
        <w:tc>
          <w:tcPr>
            <w:tcW w:w="860" w:type="dxa"/>
            <w:vAlign w:val="bottom"/>
            <w:tcBorders>
              <w:top w:val="single" w:sz="8" w:color="auto"/>
              <w:bottom w:val="single" w:sz="8" w:color="DCDCDC"/>
            </w:tcBorders>
          </w:tcPr>
          <w:p>
            <w:pPr>
              <w:spacing w:after="0"/>
              <w:rPr>
                <w:sz w:val="24"/>
                <w:szCs w:val="24"/>
                <w:color w:val="auto"/>
              </w:rPr>
            </w:pPr>
          </w:p>
        </w:tc>
        <w:tc>
          <w:tcPr>
            <w:tcW w:w="180" w:type="dxa"/>
            <w:vAlign w:val="bottom"/>
            <w:tcBorders>
              <w:top w:val="single" w:sz="8" w:color="CCEEFF"/>
              <w:bottom w:val="single" w:sz="8" w:color="DCDCDC"/>
            </w:tcBorders>
          </w:tcPr>
          <w:p>
            <w:pPr>
              <w:spacing w:after="0"/>
              <w:rPr>
                <w:sz w:val="24"/>
                <w:szCs w:val="24"/>
                <w:color w:val="auto"/>
              </w:rPr>
            </w:pPr>
          </w:p>
        </w:tc>
        <w:tc>
          <w:tcPr>
            <w:tcW w:w="300" w:type="dxa"/>
            <w:vAlign w:val="bottom"/>
            <w:tcBorders>
              <w:top w:val="single" w:sz="8" w:color="auto"/>
              <w:bottom w:val="single" w:sz="8" w:color="DCDCDC"/>
            </w:tcBorders>
          </w:tcPr>
          <w:p>
            <w:pPr>
              <w:spacing w:after="0"/>
              <w:rPr>
                <w:sz w:val="24"/>
                <w:szCs w:val="24"/>
                <w:color w:val="auto"/>
              </w:rPr>
            </w:pPr>
          </w:p>
        </w:tc>
        <w:tc>
          <w:tcPr>
            <w:tcW w:w="88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CCEEFF"/>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87" w:right="2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continued</w:t>
      </w:r>
    </w:p>
    <w:p>
      <w:pPr>
        <w:spacing w:after="0" w:line="229" w:lineRule="exact"/>
        <w:rPr>
          <w:sz w:val="20"/>
          <w:szCs w:val="20"/>
          <w:color w:val="auto"/>
        </w:rPr>
      </w:pPr>
    </w:p>
    <w:p>
      <w:pPr>
        <w:ind w:left="500" w:right="340"/>
        <w:spacing w:after="0" w:line="282" w:lineRule="auto"/>
        <w:rPr>
          <w:sz w:val="20"/>
          <w:szCs w:val="20"/>
          <w:color w:val="auto"/>
        </w:rPr>
      </w:pPr>
      <w:r>
        <w:rPr>
          <w:rFonts w:ascii="Times New Roman" w:cs="Times New Roman" w:eastAsia="Times New Roman" w:hAnsi="Times New Roman"/>
          <w:sz w:val="18"/>
          <w:szCs w:val="18"/>
          <w:color w:val="auto"/>
        </w:rPr>
        <w:t xml:space="preserve">Amortization expense on finite-lived intangible assets was $2.03 million in 2013, $2.92 million for 2012 and $3.02 million for 2011. Amortization expense for each of the years 2014 through 2018 is estimated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96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2014</w:t>
            </w:r>
          </w:p>
        </w:tc>
        <w:tc>
          <w:tcPr>
            <w:tcW w:w="3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1,349</w:t>
            </w:r>
          </w:p>
        </w:tc>
      </w:tr>
      <w:tr>
        <w:trPr>
          <w:trHeight w:val="216"/>
        </w:trPr>
        <w:tc>
          <w:tcPr>
            <w:tcW w:w="296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2015</w:t>
            </w:r>
          </w:p>
        </w:tc>
        <w:tc>
          <w:tcPr>
            <w:tcW w:w="30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956</w:t>
            </w:r>
          </w:p>
        </w:tc>
      </w:tr>
      <w:tr>
        <w:trPr>
          <w:trHeight w:val="216"/>
        </w:trPr>
        <w:tc>
          <w:tcPr>
            <w:tcW w:w="296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2016</w:t>
            </w:r>
          </w:p>
        </w:tc>
        <w:tc>
          <w:tcPr>
            <w:tcW w:w="3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879</w:t>
            </w:r>
          </w:p>
        </w:tc>
      </w:tr>
      <w:tr>
        <w:trPr>
          <w:trHeight w:val="216"/>
        </w:trPr>
        <w:tc>
          <w:tcPr>
            <w:tcW w:w="296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2017</w:t>
            </w:r>
          </w:p>
        </w:tc>
        <w:tc>
          <w:tcPr>
            <w:tcW w:w="30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296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2018</w:t>
            </w:r>
          </w:p>
        </w:tc>
        <w:tc>
          <w:tcPr>
            <w:tcW w:w="3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bl>
    <w:p>
      <w:pPr>
        <w:spacing w:after="0" w:line="221" w:lineRule="exact"/>
        <w:rPr>
          <w:sz w:val="20"/>
          <w:szCs w:val="20"/>
          <w:color w:val="auto"/>
        </w:rPr>
      </w:pPr>
    </w:p>
    <w:p>
      <w:pPr>
        <w:ind w:left="500" w:hanging="492"/>
        <w:spacing w:after="0"/>
        <w:tabs>
          <w:tab w:leader="none" w:pos="5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Deposits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At December 31, 2013, the contractual maturities of time deposits are summarized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Maturing In: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1,098,425</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232,625</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118,261</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15,353</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21,191</w:t>
            </w:r>
          </w:p>
        </w:tc>
      </w:tr>
      <w:tr>
        <w:trPr>
          <w:trHeight w:val="223"/>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7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1,754,815</w:t>
            </w:r>
          </w:p>
        </w:tc>
        <w:tc>
          <w:tcPr>
            <w:tcW w:w="100" w:type="dxa"/>
            <w:vAlign w:val="bottom"/>
          </w:tcPr>
          <w:p>
            <w:pPr>
              <w:spacing w:after="0"/>
              <w:rPr>
                <w:sz w:val="18"/>
                <w:szCs w:val="18"/>
                <w:color w:val="auto"/>
              </w:rPr>
            </w:pPr>
          </w:p>
        </w:tc>
      </w:tr>
      <w:tr>
        <w:trPr>
          <w:trHeight w:val="21"/>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right="100"/>
        <w:spacing w:after="0" w:line="255" w:lineRule="auto"/>
        <w:rPr>
          <w:sz w:val="20"/>
          <w:szCs w:val="20"/>
          <w:color w:val="auto"/>
        </w:rPr>
      </w:pPr>
      <w:r>
        <w:rPr>
          <w:rFonts w:ascii="Times New Roman" w:cs="Times New Roman" w:eastAsia="Times New Roman" w:hAnsi="Times New Roman"/>
          <w:sz w:val="18"/>
          <w:szCs w:val="18"/>
          <w:color w:val="auto"/>
        </w:rPr>
        <w:t>At December 31, 2013, United held $273 million in certificates of deposit obtained through the efforts of third party brokers. At December 31, 2012, United had $155 million of brokered certificates of deposit. The daily average balance of these brokered deposits totaled $219 million and $156 million in 2013 and 2012, respectively. The brokered certificates of deposit at December 31, 2013 had maturities ranging from 15 to 20 years and are callable by United. Most of the brokered certificates of deposit have been swapped in fair value hedging relationships to 90 day LIBOR minus a basis point spread that currently exceeds LIBOR, thereby resulting in a negative yield. United also has certain market-linked brokered deposits that are considered hybrid instruments that contain embedded derivatives that have been bifurcated from the host contract leaving host instruments paying a rate of 90 day LIBOR minus a basis point spread that also result in a negative yield.</w:t>
      </w:r>
    </w:p>
    <w:p>
      <w:pPr>
        <w:spacing w:after="0" w:line="212" w:lineRule="exact"/>
        <w:rPr>
          <w:sz w:val="20"/>
          <w:szCs w:val="20"/>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Home Loan Bank Advances</w:t>
      </w:r>
    </w:p>
    <w:p>
      <w:pPr>
        <w:spacing w:after="0" w:line="229" w:lineRule="exact"/>
        <w:rPr>
          <w:rFonts w:ascii="Times New Roman" w:cs="Times New Roman" w:eastAsia="Times New Roman" w:hAnsi="Times New Roman"/>
          <w:sz w:val="18"/>
          <w:szCs w:val="18"/>
          <w:b w:val="1"/>
          <w:bCs w:val="1"/>
          <w:color w:val="auto"/>
        </w:rPr>
      </w:pPr>
    </w:p>
    <w:p>
      <w:pPr>
        <w:ind w:left="50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2013, United had advances totaling $120 million from the FHLB all of which were fixed rate advances. At December 31, 2012, United had advances totaling $40.1 million from the FHLB all of which were fixed rate advances. With the exception of $125,000 that matures in 2016, the advances outstanding at December 31, 2013 had maturities of no more than 30 days with interest rates up to 0.20%. At December 31, 2013, the weighted average interest rate on FHLB advances was .19%, compared to .18% as of December 31, 2012. The FHLB advances are collateralized by commercial (secured by real estate) and residential mortgage loans, investment securities and FHLB stock.</w:t>
      </w:r>
    </w:p>
    <w:p>
      <w:pPr>
        <w:spacing w:after="0" w:line="208"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December 31, 2013, the maturities and current rates of outstanding advances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0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Maturing In:</w:t>
            </w:r>
          </w:p>
        </w:tc>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Maturing</w:t>
            </w:r>
          </w:p>
        </w:tc>
        <w:tc>
          <w:tcPr>
            <w:tcW w:w="300" w:type="dxa"/>
            <w:vAlign w:val="bottom"/>
          </w:tcPr>
          <w:p>
            <w:pPr>
              <w:spacing w:after="0"/>
              <w:rPr>
                <w:sz w:val="17"/>
                <w:szCs w:val="17"/>
                <w:color w:val="auto"/>
              </w:rPr>
            </w:pPr>
          </w:p>
        </w:tc>
        <w:tc>
          <w:tcPr>
            <w:tcW w:w="21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Current Rate Range</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4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3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0.17% - 0.20%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4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120,125</w:t>
            </w:r>
          </w:p>
        </w:tc>
        <w:tc>
          <w:tcPr>
            <w:tcW w:w="30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1160" w:type="dxa"/>
            <w:vAlign w:val="bottom"/>
            <w:tcBorders>
              <w:bottom w:val="single" w:sz="8" w:color="DCDCDC"/>
            </w:tcBorders>
          </w:tcPr>
          <w:p>
            <w:pPr>
              <w:spacing w:after="0"/>
              <w:rPr>
                <w:sz w:val="24"/>
                <w:szCs w:val="24"/>
                <w:color w:val="auto"/>
              </w:rPr>
            </w:pPr>
          </w:p>
        </w:tc>
        <w:tc>
          <w:tcPr>
            <w:tcW w:w="1140" w:type="dxa"/>
            <w:vAlign w:val="bottom"/>
            <w:tcBorders>
              <w:top w:val="single" w:sz="8" w:color="CCEEFF"/>
              <w:bottom w:val="single" w:sz="8" w:color="DCDCDC"/>
            </w:tcBorders>
          </w:tcPr>
          <w:p>
            <w:pPr>
              <w:spacing w:after="0"/>
              <w:rPr>
                <w:sz w:val="24"/>
                <w:szCs w:val="24"/>
                <w:color w:val="auto"/>
              </w:rPr>
            </w:pPr>
          </w:p>
        </w:tc>
        <w:tc>
          <w:tcPr>
            <w:tcW w:w="4380" w:type="dxa"/>
            <w:vAlign w:val="bottom"/>
            <w:tcBorders>
              <w:top w:val="single" w:sz="8" w:color="CCEEFF"/>
              <w:bottom w:val="single" w:sz="8" w:color="DCDCDC"/>
            </w:tcBorders>
          </w:tcPr>
          <w:p>
            <w:pPr>
              <w:jc w:val="right"/>
              <w:ind w:right="790"/>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top w:val="single" w:sz="8" w:color="auto"/>
              <w:bottom w:val="single" w:sz="8" w:color="DCDCDC"/>
            </w:tcBorders>
          </w:tcPr>
          <w:p>
            <w:pPr>
              <w:spacing w:after="0"/>
              <w:rPr>
                <w:sz w:val="24"/>
                <w:szCs w:val="24"/>
                <w:color w:val="auto"/>
              </w:rPr>
            </w:pPr>
          </w:p>
        </w:tc>
        <w:tc>
          <w:tcPr>
            <w:tcW w:w="940" w:type="dxa"/>
            <w:vAlign w:val="bottom"/>
            <w:tcBorders>
              <w:top w:val="single" w:sz="8" w:color="auto"/>
              <w:bottom w:val="single" w:sz="8" w:color="DCDCDC"/>
            </w:tcBorders>
          </w:tcPr>
          <w:p>
            <w:pPr>
              <w:spacing w:after="0"/>
              <w:rPr>
                <w:sz w:val="24"/>
                <w:szCs w:val="24"/>
                <w:color w:val="auto"/>
              </w:rPr>
            </w:pPr>
          </w:p>
        </w:tc>
        <w:tc>
          <w:tcPr>
            <w:tcW w:w="300" w:type="dxa"/>
            <w:vAlign w:val="bottom"/>
            <w:tcBorders>
              <w:top w:val="single" w:sz="8" w:color="CCEEFF"/>
              <w:bottom w:val="single" w:sz="8" w:color="DCDCDC"/>
            </w:tcBorders>
          </w:tcPr>
          <w:p>
            <w:pPr>
              <w:spacing w:after="0"/>
              <w:rPr>
                <w:sz w:val="24"/>
                <w:szCs w:val="24"/>
                <w:color w:val="auto"/>
              </w:rPr>
            </w:pPr>
          </w:p>
        </w:tc>
        <w:tc>
          <w:tcPr>
            <w:tcW w:w="2060" w:type="dxa"/>
            <w:vAlign w:val="bottom"/>
            <w:tcBorders>
              <w:top w:val="single" w:sz="8" w:color="CCEEFF"/>
              <w:bottom w:val="single" w:sz="8" w:color="DCDCDC"/>
            </w:tcBorders>
          </w:tcPr>
          <w:p>
            <w:pPr>
              <w:spacing w:after="0"/>
              <w:rPr>
                <w:sz w:val="24"/>
                <w:szCs w:val="24"/>
                <w:color w:val="auto"/>
              </w:rPr>
            </w:pPr>
          </w:p>
        </w:tc>
        <w:tc>
          <w:tcPr>
            <w:tcW w:w="100" w:type="dxa"/>
            <w:vAlign w:val="bottom"/>
            <w:tcBorders>
              <w:top w:val="single" w:sz="8" w:color="CCEEFF"/>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Borrowings</w:t>
      </w:r>
    </w:p>
    <w:p>
      <w:pPr>
        <w:spacing w:after="0" w:line="229" w:lineRule="exact"/>
        <w:rPr>
          <w:rFonts w:ascii="Times New Roman" w:cs="Times New Roman" w:eastAsia="Times New Roman" w:hAnsi="Times New Roman"/>
          <w:sz w:val="18"/>
          <w:szCs w:val="18"/>
          <w:b w:val="1"/>
          <w:bCs w:val="1"/>
          <w:color w:val="auto"/>
        </w:rPr>
      </w:pPr>
    </w:p>
    <w:p>
      <w:pPr>
        <w:ind w:left="50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uses a number of sources of short-term borrowings to meet its liquidity needs including federal funds purchased, repurchase agreements and Federal Reserve discount window borrowings. As of December 31, 2013 and 2012, the balance of short-term borrowings consisted of repurchase agreements totaling $53.2 million and $52.6 million, respectively.</w:t>
      </w:r>
    </w:p>
    <w:p>
      <w:pPr>
        <w:spacing w:after="0" w:line="199"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Long-term debt at December 31, 2013 and 2012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Stated</w:t>
            </w:r>
          </w:p>
        </w:tc>
        <w:tc>
          <w:tcPr>
            <w:tcW w:w="32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Earliest</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Call</w:t>
            </w: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34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 senior debentures</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6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2015</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2012 senior debentures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2017</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senior debentures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2003 subordinated debentures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2010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subordinated debentures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United Community Capital Trust</w:t>
            </w: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21,650</w:t>
            </w:r>
          </w:p>
        </w:tc>
        <w:tc>
          <w:tcPr>
            <w:tcW w:w="2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21,650</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1998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2008</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Community Statutory Trust I</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6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2010</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United Community Capital Trust II</w:t>
            </w: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10,309</w:t>
            </w:r>
          </w:p>
        </w:tc>
        <w:tc>
          <w:tcPr>
            <w:tcW w:w="2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10,309</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2010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Southern Bancorp Capital Trust I</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6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2009</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Prime + 1.00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United Community Statutory Trust II</w:t>
            </w: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12,131</w:t>
            </w:r>
          </w:p>
        </w:tc>
        <w:tc>
          <w:tcPr>
            <w:tcW w:w="2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12,077</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2013</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Community Statutory Trust III</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3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6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2013</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Prime + 3.00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trust preferred securities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124,805</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is paid semiannually for all senior debentures, subordinated debentures and trust preferred securities.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Senior Debentures</w:t>
      </w:r>
    </w:p>
    <w:p>
      <w:pPr>
        <w:spacing w:after="0" w:line="27" w:lineRule="exact"/>
        <w:rPr>
          <w:sz w:val="20"/>
          <w:szCs w:val="20"/>
          <w:color w:val="auto"/>
        </w:rPr>
      </w:pPr>
    </w:p>
    <w:p>
      <w:pPr>
        <w:ind w:left="500" w:right="80"/>
        <w:spacing w:after="0" w:line="255" w:lineRule="auto"/>
        <w:rPr>
          <w:sz w:val="20"/>
          <w:szCs w:val="20"/>
          <w:color w:val="auto"/>
        </w:rPr>
      </w:pPr>
      <w:r>
        <w:rPr>
          <w:rFonts w:ascii="Times New Roman" w:cs="Times New Roman" w:eastAsia="Times New Roman" w:hAnsi="Times New Roman"/>
          <w:sz w:val="18"/>
          <w:szCs w:val="18"/>
          <w:color w:val="auto"/>
        </w:rPr>
        <w:t>The 2013 senior debentures are redeemable on or after August 13, 2015, at a redemption price equal to 100% of the principal amount plus any accrued and unpaid interest, and will mature on August 13, 2018 if not redeemed prior to that date. The 2012 senior debentures are not redeemable prior to maturity and will mature on October 15, 2017.</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Subordinated Debentures</w:t>
      </w:r>
    </w:p>
    <w:p>
      <w:pPr>
        <w:spacing w:after="0" w:line="27" w:lineRule="exact"/>
        <w:rPr>
          <w:sz w:val="20"/>
          <w:szCs w:val="20"/>
          <w:color w:val="auto"/>
        </w:rPr>
      </w:pPr>
    </w:p>
    <w:p>
      <w:pPr>
        <w:ind w:left="500" w:right="60"/>
        <w:spacing w:after="0" w:line="261" w:lineRule="auto"/>
        <w:rPr>
          <w:sz w:val="20"/>
          <w:szCs w:val="20"/>
          <w:color w:val="auto"/>
        </w:rPr>
      </w:pPr>
      <w:r>
        <w:rPr>
          <w:rFonts w:ascii="Times New Roman" w:cs="Times New Roman" w:eastAsia="Times New Roman" w:hAnsi="Times New Roman"/>
          <w:sz w:val="18"/>
          <w:szCs w:val="18"/>
          <w:color w:val="auto"/>
        </w:rPr>
        <w:t>The 2003 subordinated debentures were redeemed on September 30, 2013 at a redemption price equal to $35.0 million (100% of the principal amount) plus all accrued and unpaid interest as of that date.</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Trust Preferred Securities</w:t>
      </w:r>
    </w:p>
    <w:p>
      <w:pPr>
        <w:spacing w:after="0" w:line="27" w:lineRule="exact"/>
        <w:rPr>
          <w:sz w:val="20"/>
          <w:szCs w:val="20"/>
          <w:color w:val="auto"/>
        </w:rPr>
      </w:pPr>
    </w:p>
    <w:p>
      <w:pPr>
        <w:ind w:left="500" w:right="280"/>
        <w:spacing w:after="0" w:line="261" w:lineRule="auto"/>
        <w:rPr>
          <w:sz w:val="20"/>
          <w:szCs w:val="20"/>
          <w:color w:val="auto"/>
        </w:rPr>
      </w:pPr>
      <w:r>
        <w:rPr>
          <w:rFonts w:ascii="Times New Roman" w:cs="Times New Roman" w:eastAsia="Times New Roman" w:hAnsi="Times New Roman"/>
          <w:sz w:val="18"/>
          <w:szCs w:val="18"/>
          <w:color w:val="auto"/>
        </w:rPr>
        <w:t>Trust preferred securities qualify as Tier 1 capital under risk based capital guidelines subject to certain limitations. The trust preferred securities are mandatorily redeemable upon maturity, or upon earlier redemption at a premium as provided in the indentures.</w:t>
      </w:r>
    </w:p>
    <w:p>
      <w:pPr>
        <w:spacing w:after="0" w:line="207" w:lineRule="exact"/>
        <w:rPr>
          <w:sz w:val="20"/>
          <w:szCs w:val="20"/>
          <w:color w:val="auto"/>
        </w:rPr>
      </w:pPr>
    </w:p>
    <w:p>
      <w:pPr>
        <w:jc w:val="both"/>
        <w:ind w:left="500" w:right="160"/>
        <w:spacing w:after="0" w:line="266" w:lineRule="auto"/>
        <w:rPr>
          <w:sz w:val="20"/>
          <w:szCs w:val="20"/>
          <w:color w:val="auto"/>
        </w:rPr>
      </w:pPr>
      <w:r>
        <w:rPr>
          <w:rFonts w:ascii="Times New Roman" w:cs="Times New Roman" w:eastAsia="Times New Roman" w:hAnsi="Times New Roman"/>
          <w:sz w:val="18"/>
          <w:szCs w:val="18"/>
          <w:color w:val="auto"/>
        </w:rPr>
        <w:t>The trust preferred securities issued under United Community Statutory Trust II and United Community Statutory Trust III had attached warrants that allow the holder to redeem the trust preferred securities in exchange for common stock at the exercise price of $100 per share. The warrants expired unexercised on October 31, 2013.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Reclassifications Out of Accumulated Other Comprehensive Income</w:t>
      </w:r>
    </w:p>
    <w:p>
      <w:pPr>
        <w:spacing w:after="0" w:line="229" w:lineRule="exact"/>
        <w:rPr>
          <w:sz w:val="20"/>
          <w:szCs w:val="20"/>
          <w:color w:val="auto"/>
        </w:rPr>
      </w:pPr>
    </w:p>
    <w:p>
      <w:pPr>
        <w:ind w:left="500" w:right="200"/>
        <w:spacing w:after="0" w:line="282" w:lineRule="auto"/>
        <w:rPr>
          <w:sz w:val="20"/>
          <w:szCs w:val="20"/>
          <w:color w:val="auto"/>
        </w:rPr>
      </w:pPr>
      <w:r>
        <w:rPr>
          <w:rFonts w:ascii="Times New Roman" w:cs="Times New Roman" w:eastAsia="Times New Roman" w:hAnsi="Times New Roman"/>
          <w:sz w:val="18"/>
          <w:szCs w:val="18"/>
          <w:color w:val="auto"/>
        </w:rPr>
        <w:t xml:space="preserve">The following presents the details regarding amounts reclassified out of accumulated other comprehensive income for the years ended December 31, 2013, 2012 and 2011 </w:t>
      </w:r>
      <w:r>
        <w:rPr>
          <w:rFonts w:ascii="Times New Roman" w:cs="Times New Roman" w:eastAsia="Times New Roman" w:hAnsi="Times New Roman"/>
          <w:sz w:val="18"/>
          <w:szCs w:val="18"/>
          <w:i w:val="1"/>
          <w:i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Reclassified from Accumulated</w:t>
            </w:r>
          </w:p>
        </w:tc>
        <w:tc>
          <w:tcPr>
            <w:tcW w:w="120" w:type="dxa"/>
            <w:vAlign w:val="bottom"/>
          </w:tcPr>
          <w:p>
            <w:pPr>
              <w:spacing w:after="0"/>
              <w:rPr>
                <w:sz w:val="13"/>
                <w:szCs w:val="13"/>
                <w:color w:val="auto"/>
              </w:rPr>
            </w:pPr>
          </w:p>
        </w:tc>
        <w:tc>
          <w:tcPr>
            <w:tcW w:w="3180" w:type="dxa"/>
            <w:vAlign w:val="bottom"/>
          </w:tcPr>
          <w:p>
            <w:pPr>
              <w:spacing w:after="0"/>
              <w:rPr>
                <w:sz w:val="13"/>
                <w:szCs w:val="13"/>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8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80"/>
        </w:trPr>
        <w:tc>
          <w:tcPr>
            <w:tcW w:w="424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rPr>
              <w:t>Details about Accumulated Other</w:t>
            </w:r>
          </w:p>
        </w:tc>
        <w:tc>
          <w:tcPr>
            <w:tcW w:w="8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Affected Line Item in the Statement</w:t>
            </w:r>
          </w:p>
        </w:tc>
      </w:tr>
      <w:tr>
        <w:trPr>
          <w:trHeight w:val="156"/>
        </w:trPr>
        <w:tc>
          <w:tcPr>
            <w:tcW w:w="41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Components</w:t>
            </w: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3"/>
                <w:szCs w:val="13"/>
                <w:color w:val="auto"/>
              </w:rPr>
            </w:pPr>
          </w:p>
        </w:tc>
        <w:tc>
          <w:tcPr>
            <w:tcW w:w="318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Where Net Income is Presented</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gains on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7,078</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gains,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(expense) or benefit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8"/>
                <w:szCs w:val="18"/>
                <w:color w:val="auto"/>
              </w:rPr>
            </w:pP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360" w:type="dxa"/>
            <w:vAlign w:val="bottom"/>
            <w:gridSpan w:val="3"/>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Amortization of gains included in net income on available-for-sale securities transferred to held to maturity:</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1,988</w:t>
            </w: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2,177</w:t>
            </w: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securities interest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(846)</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(expense) or benefit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1,331</w:t>
            </w: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CCEEFF"/>
            </w:tcBorders>
            <w:gridSpan w:val="2"/>
          </w:tcPr>
          <w:p>
            <w:pPr>
              <w:spacing w:after="0"/>
              <w:rPr>
                <w:sz w:val="18"/>
                <w:szCs w:val="18"/>
                <w:color w:val="auto"/>
              </w:rPr>
            </w:pPr>
          </w:p>
        </w:tc>
        <w:tc>
          <w:tcPr>
            <w:tcW w:w="118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included in net income on derivative financial instruments accounted for as cash flow hedges: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Effective portion of interest rate contracts</w:t>
            </w:r>
          </w:p>
        </w:tc>
        <w:tc>
          <w:tcPr>
            <w:tcW w:w="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3,475</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10,152</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interest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Ineffective portion of interest rate contracts</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4,964</w:t>
            </w: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 interest revenue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15,116</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(5,880)</w:t>
            </w: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(expense) or benefit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18"/>
                <w:szCs w:val="18"/>
                <w:color w:val="auto"/>
              </w:rPr>
            </w:pP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9,236</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360" w:type="dxa"/>
            <w:vAlign w:val="bottom"/>
            <w:gridSpan w:val="3"/>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Amortization of prior service cost and actuarial losses included in net periodic pension cost for defined benefit pension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Prior service cost</w:t>
            </w:r>
          </w:p>
        </w:tc>
        <w:tc>
          <w:tcPr>
            <w:tcW w:w="6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w:t>
            </w: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Actuarial losses</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shd w:val="clear" w:color="auto" w:fill="CCEEFF"/>
          </w:tcPr>
          <w:p>
            <w:pPr>
              <w:ind w:left="640"/>
              <w:spacing w:after="0" w:line="198" w:lineRule="exact"/>
              <w:rPr>
                <w:sz w:val="20"/>
                <w:szCs w:val="20"/>
                <w:color w:val="auto"/>
              </w:rPr>
            </w:pPr>
            <w:r>
              <w:rPr>
                <w:rFonts w:ascii="Times New Roman" w:cs="Times New Roman" w:eastAsia="Times New Roman" w:hAnsi="Times New Roman"/>
                <w:sz w:val="18"/>
                <w:szCs w:val="18"/>
                <w:color w:val="auto"/>
              </w:rPr>
              <w:t>Reclassification of unamortized prior service</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cost and actuarial gains and losses</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4,750</w:t>
            </w: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4,750</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(1,848)</w:t>
            </w: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(expense) or benefit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2,902</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1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13,983</w:t>
            </w: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shown above in parentheses reduce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ind w:left="500" w:hanging="492"/>
        <w:spacing w:after="0"/>
        <w:tabs>
          <w:tab w:leader="none" w:pos="5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50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is required to report on the face of the statement of operations, earnings (loss) per common share with and without the dilutive effects of potential common stock issuances from instruments such as options, convertible securities and warrants. Basic earnings per common share is based on the weighted average number of shares of common stock outstanding during the period while the effects of potential shares of common stock outstanding during the period are included in diluted earnings per common share.</w:t>
      </w:r>
    </w:p>
    <w:p>
      <w:pPr>
        <w:spacing w:after="0" w:line="207" w:lineRule="exact"/>
        <w:rPr>
          <w:rFonts w:ascii="Times New Roman" w:cs="Times New Roman" w:eastAsia="Times New Roman" w:hAnsi="Times New Roman"/>
          <w:sz w:val="18"/>
          <w:szCs w:val="18"/>
          <w:b w:val="1"/>
          <w:bCs w:val="1"/>
          <w:color w:val="auto"/>
        </w:rPr>
      </w:pPr>
    </w:p>
    <w:p>
      <w:pPr>
        <w:ind w:left="5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2013, 2012 and 2011, United accrued dividends on preferred stock, including accretion of discounts, as shown in the following table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8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A - 6% fixed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B - 5% fixed until December 6, 2013, 9% thereafter </w:t>
            </w:r>
            <w:r>
              <w:rPr>
                <w:rFonts w:ascii="Times New Roman" w:cs="Times New Roman" w:eastAsia="Times New Roman" w:hAnsi="Times New Roman"/>
                <w:sz w:val="25"/>
                <w:szCs w:val="25"/>
                <w:color w:val="auto"/>
                <w:vertAlign w:val="superscript"/>
              </w:rPr>
              <w:t>(1)(2)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D - LIBOR plus 9.6875%, resets quarterly </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preferred stock dividends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All preferred stock dividends are payable quarterly.</w:t>
      </w:r>
    </w:p>
    <w:p>
      <w:pPr>
        <w:spacing w:after="0" w:line="27" w:lineRule="exact"/>
        <w:rPr>
          <w:rFonts w:ascii="Times New Roman" w:cs="Times New Roman" w:eastAsia="Times New Roman" w:hAnsi="Times New Roman"/>
          <w:sz w:val="14"/>
          <w:szCs w:val="14"/>
          <w:color w:val="auto"/>
        </w:rPr>
      </w:pPr>
    </w:p>
    <w:p>
      <w:pPr>
        <w:ind w:left="460" w:hanging="452"/>
        <w:spacing w:after="0"/>
        <w:tabs>
          <w:tab w:leader="none" w:pos="4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Series B preferred stock was issued at a discount. Dividend amounts shown include discount accretion for each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806" w:gutter="0" w:footer="0" w:header="0"/>
        </w:sectPr>
      </w:pPr>
    </w:p>
    <w:bookmarkStart w:id="96" w:name="page97"/>
    <w:bookmarkEnd w:id="96"/>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 continued</w:t>
      </w:r>
    </w:p>
    <w:p>
      <w:pPr>
        <w:spacing w:after="0" w:line="229" w:lineRule="exact"/>
        <w:rPr>
          <w:rFonts w:ascii="Times New Roman" w:cs="Times New Roman" w:eastAsia="Times New Roman" w:hAnsi="Times New Roman"/>
          <w:sz w:val="18"/>
          <w:szCs w:val="18"/>
          <w:b w:val="1"/>
          <w:bCs w:val="1"/>
          <w:color w:val="auto"/>
        </w:rPr>
      </w:pPr>
    </w:p>
    <w:p>
      <w:pPr>
        <w:ind w:left="492"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preferred stock dividends were subtracted from net income (loss) in order to arrive at net income (loss) available to common shareholders. There is no dilution from dilutive securities for the year ended December 31, 2011, due to the anti-dilutive effect of the net loss for that period. There were no dilutive securities outstanding at December 31, 2012.</w:t>
      </w:r>
    </w:p>
    <w:p>
      <w:pPr>
        <w:spacing w:after="0" w:line="201" w:lineRule="exact"/>
        <w:rPr>
          <w:rFonts w:ascii="Times New Roman" w:cs="Times New Roman" w:eastAsia="Times New Roman" w:hAnsi="Times New Roman"/>
          <w:sz w:val="18"/>
          <w:szCs w:val="18"/>
          <w:b w:val="1"/>
          <w:bCs w:val="1"/>
          <w:color w:val="auto"/>
        </w:rPr>
      </w:pPr>
    </w:p>
    <w:p>
      <w:pPr>
        <w:ind w:left="492" w:right="10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table sets forth the computation of basic and diluted loss per common share for the years ended December 31, 2013, 2012 and 2011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per share data)</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852"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2012</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261,062</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(238,584)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common share: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Warrants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57,857</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92" w:right="60"/>
        <w:spacing w:after="0" w:line="258" w:lineRule="auto"/>
        <w:rPr>
          <w:sz w:val="20"/>
          <w:szCs w:val="20"/>
          <w:color w:val="auto"/>
        </w:rPr>
      </w:pPr>
      <w:r>
        <w:rPr>
          <w:rFonts w:ascii="Times New Roman" w:cs="Times New Roman" w:eastAsia="Times New Roman" w:hAnsi="Times New Roman"/>
          <w:sz w:val="18"/>
          <w:szCs w:val="18"/>
          <w:color w:val="auto"/>
        </w:rPr>
        <w:t>At December 31, 2013, United had the following potentially dilutive stock options and warrants outstanding: a warrant to purchase 219,909 shares of common stock at $61.40 per share; 371,449 shares of common stock issuable upon exercise of stock options granted to employees with a weighted average exercise price of $98.54; 1,073,259 shares of common stock issuable upon completion of vesting of restricted stock awards; and warrants to purchase shares of common stock equivalent junior preferred stock at a price equivalent to $21.25 per share that would be convertible into 1,411,765 shares of common stock, which were granted to Fletcher International Ltd. (“Fletcher”) in connection with a 2010 asset purchase and sale agreement.</w:t>
      </w:r>
    </w:p>
    <w:p>
      <w:pPr>
        <w:spacing w:after="0" w:line="211"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At December 31, 2012, United had the following potentially dilutive stock options and warrants outstanding: a warrant to purchase 219,909 shares of</w:t>
      </w:r>
    </w:p>
    <w:p>
      <w:pPr>
        <w:spacing w:after="0" w:line="27"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common stock at $61.40 per share; warrants that are attached to trust preferred securities to purchase 129,670 shares of common stock at $100 per</w:t>
      </w:r>
    </w:p>
    <w:p>
      <w:pPr>
        <w:spacing w:after="0" w:line="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share; 482,528 shares of common stock issuable upon exercise of stock options granted to employees with a weighted average exercise price of</w:t>
      </w:r>
    </w:p>
    <w:p>
      <w:pPr>
        <w:spacing w:after="0" w:line="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7"/>
          <w:szCs w:val="17"/>
          <w:color w:val="auto"/>
        </w:rPr>
        <w:t>$97.73; 485,584 shares of common stock issuable upon completion of vesting of restricted stock awards; warrants to purchase shares of common stock</w:t>
      </w:r>
    </w:p>
    <w:p>
      <w:pPr>
        <w:spacing w:after="0" w:line="21"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equivalent junior preferred stock at a price equivalent to $21.25 per share that would be convertible into 1,411,765 shares of common stock, which</w:t>
      </w:r>
    </w:p>
    <w:p>
      <w:pPr>
        <w:spacing w:after="0" w:line="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were granted to Fletcher in connection with a 2010 asset purchase and sale agreement; and warrants to purchase 1,551,126 shares of common stock at</w:t>
      </w:r>
    </w:p>
    <w:p>
      <w:pPr>
        <w:spacing w:after="0" w:line="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$12.50 per share.</w:t>
      </w:r>
    </w:p>
    <w:p>
      <w:pPr>
        <w:spacing w:after="0" w:line="234"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At December 31, 2011, United had of the following potentially dilutive stock options and warrants outstanding: a warrant to purchase 219,909 shares</w:t>
      </w:r>
    </w:p>
    <w:p>
      <w:pPr>
        <w:spacing w:after="0" w:line="27"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of common stock at $61.40 per share; warrants that are attached to trust preferred securities to purchase 129,670 shares of common stock at $100 per</w:t>
      </w:r>
    </w:p>
    <w:p>
      <w:pPr>
        <w:spacing w:after="0" w:line="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share; 583,647 shares of common stock issuable upon exercise of stock options granted to employees with a weighted average exercise price of</w:t>
      </w:r>
    </w:p>
    <w:p>
      <w:pPr>
        <w:spacing w:after="0" w:line="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7"/>
          <w:szCs w:val="17"/>
          <w:color w:val="auto"/>
        </w:rPr>
        <w:t>$94.48; 414,644 shares of common stock issuable upon completion of vesting of restricted stock awards; warrants to purchase shares of common stock</w:t>
      </w:r>
    </w:p>
    <w:p>
      <w:pPr>
        <w:spacing w:after="0" w:line="21"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equivalent junior preferred stock at a price equivalent to $21.25 per share that would be convertible into 1,411,765 shares of common stock, which</w:t>
      </w:r>
    </w:p>
    <w:p>
      <w:pPr>
        <w:spacing w:after="0" w:line="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were granted to Fletcher in connection with a 2010 asset purchase and sale agreement; 2,476,191 shares of common stock issuable upon conversion of</w:t>
      </w:r>
    </w:p>
    <w:p>
      <w:pPr>
        <w:spacing w:after="0" w:line="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shares of common stock equivalent junior preferred stock or Series C convertible preferred stock that may have been purchased by Fletcher at a</w:t>
      </w:r>
    </w:p>
    <w:p>
      <w:pPr>
        <w:spacing w:after="0" w:line="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conversion price of $26.25 per share (such conversion price may be higher in certain circumstances); warrants to purchase 1,162,791 shares of</w:t>
      </w:r>
    </w:p>
    <w:p>
      <w:pPr>
        <w:spacing w:after="0" w:line="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common stock at a price equivalent to $30.10 per share, which would be granted to Fletcher upon exercise of its option to purchase shares of Series C</w:t>
      </w:r>
    </w:p>
    <w:p>
      <w:pPr>
        <w:spacing w:after="0" w:line="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convertible preferred stock; and warrants to purchase 1,551,126 shares of common stock at $12.50 per share.</w:t>
      </w:r>
    </w:p>
    <w:p>
      <w:pPr>
        <w:spacing w:after="0" w:line="200" w:lineRule="exact"/>
        <w:rPr>
          <w:sz w:val="20"/>
          <w:szCs w:val="20"/>
          <w:color w:val="auto"/>
        </w:rPr>
      </w:pPr>
    </w:p>
    <w:p>
      <w:pPr>
        <w:spacing w:after="0" w:line="25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914" w:right="29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 continued</w:t>
      </w:r>
    </w:p>
    <w:p>
      <w:pPr>
        <w:spacing w:after="0" w:line="229" w:lineRule="exact"/>
        <w:rPr>
          <w:rFonts w:ascii="Times New Roman" w:cs="Times New Roman" w:eastAsia="Times New Roman" w:hAnsi="Times New Roman"/>
          <w:sz w:val="18"/>
          <w:szCs w:val="18"/>
          <w:b w:val="1"/>
          <w:bCs w:val="1"/>
          <w:color w:val="auto"/>
        </w:rPr>
      </w:pPr>
    </w:p>
    <w:p>
      <w:pPr>
        <w:ind w:left="500" w:right="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United has received purported partial warrant exercise notices from Fletcher with respect to its warrants to purchase shares of common stock equivalent junior preferred stock that would be convertible into 1,411,765 shares of common stock that include incorrect calculations of the number of settlement shares Fletcher would receive upon exercise. On June 17, 2011, United completed a reclassification of its common stock in the form of 1-for-5 reverse stock split, or recombination. United believes that any current exercise of Fletcher’s warrants would not result in the issuance of any settlement shares because the warrants may only be exercised for net shares via a cashless exercise formula, and the reverse stock split-adjusted market price component of that formula does not exceed the exercise price to yield any net shares. Fletcher has also claimed that it is entitled to penalties under its contracts with United for a “registration failure” it claims occurred in 2012. United also believes that no registration failure penalty is</w:t>
      </w:r>
    </w:p>
    <w:p>
      <w:pPr>
        <w:spacing w:after="0" w:line="2" w:lineRule="exact"/>
        <w:rPr>
          <w:rFonts w:ascii="Times New Roman" w:cs="Times New Roman" w:eastAsia="Times New Roman" w:hAnsi="Times New Roman"/>
          <w:sz w:val="18"/>
          <w:szCs w:val="18"/>
          <w:b w:val="1"/>
          <w:bCs w:val="1"/>
          <w:color w:val="auto"/>
        </w:rPr>
      </w:pPr>
    </w:p>
    <w:p>
      <w:pPr>
        <w:ind w:left="500" w:right="6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due. As a result, United has responded to Fletcher with United’s calculations related to its warrants and denied any liability for any such penalty. United may consider repurchasing the warrants based on their fair value in connection with the resolution of any purported claims that Fletcher maintains. United has also established litigation reserves associated with claims that may be made against United by Fletcher.</w:t>
      </w:r>
    </w:p>
    <w:p>
      <w:pPr>
        <w:spacing w:after="0" w:line="209"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Income tax expense (benefit) for the years ended December 31, 2013, 2012 and 2011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15"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(265,440)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(9,446)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(238,188)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140"/>
        <w:spacing w:after="0" w:line="282" w:lineRule="auto"/>
        <w:rPr>
          <w:sz w:val="20"/>
          <w:szCs w:val="20"/>
          <w:color w:val="auto"/>
        </w:rPr>
      </w:pPr>
      <w:r>
        <w:rPr>
          <w:rFonts w:ascii="Times New Roman" w:cs="Times New Roman" w:eastAsia="Times New Roman" w:hAnsi="Times New Roman"/>
          <w:sz w:val="18"/>
          <w:szCs w:val="18"/>
          <w:color w:val="auto"/>
        </w:rPr>
        <w:t xml:space="preserve">The differences between the provision for income taxes and the amount computed by applying the statutory federal income tax rate of 35% to income (loss) before income taxes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 at statutory rates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(80,755)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owned life insurance earnings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 to reserve for uncertain tax positions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Tax-exempt interest revenue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Nondeductible interest expense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compensation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credits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state statutory tax rate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Disproportionate tax effects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increase in valuation allowance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(265,440)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(238,188)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1160" w:type="dxa"/>
            <w:vAlign w:val="bottom"/>
            <w:tcBorders>
              <w:bottom w:val="single" w:sz="8" w:color="DCDCDC"/>
            </w:tcBorders>
          </w:tcPr>
          <w:p>
            <w:pPr>
              <w:spacing w:after="0"/>
              <w:rPr>
                <w:sz w:val="24"/>
                <w:szCs w:val="24"/>
                <w:color w:val="auto"/>
              </w:rPr>
            </w:pPr>
          </w:p>
        </w:tc>
        <w:tc>
          <w:tcPr>
            <w:tcW w:w="406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vMerge w:val="continue"/>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1440" w:gutter="0" w:footer="0" w:header="0"/>
        </w:sectPr>
      </w:pPr>
    </w:p>
    <w:bookmarkStart w:id="98" w:name="page99"/>
    <w:bookmarkEnd w:id="98"/>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229" w:lineRule="exact"/>
        <w:rPr>
          <w:rFonts w:ascii="Times New Roman" w:cs="Times New Roman" w:eastAsia="Times New Roman" w:hAnsi="Times New Roman"/>
          <w:sz w:val="18"/>
          <w:szCs w:val="18"/>
          <w:b w:val="1"/>
          <w:bCs w:val="1"/>
          <w:color w:val="auto"/>
        </w:rPr>
      </w:pPr>
    </w:p>
    <w:p>
      <w:pPr>
        <w:ind w:left="49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summarizes the sources and expected tax consequences of future taxable deductions (revenue) which comprise the net deferred tax asset at December 31, 2013 and 2012, which is included in other assets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1132"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Allowances for loan losses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Reserve for losses on foreclosed properties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Nonqualified share 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 low income housing tax credit partnerships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Unamortized pension actuarial losses and prior service cost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losses on securities available-for-sale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losses on cash flow hedges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271,839</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 on securities available-for-sale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gains on cash flow hedges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Premises and 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 origination costs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from acquisition of Southern Community Bank</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deferred tax asset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258,518</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92" w:right="40"/>
        <w:spacing w:after="0" w:line="258" w:lineRule="auto"/>
        <w:rPr>
          <w:sz w:val="20"/>
          <w:szCs w:val="20"/>
          <w:color w:val="auto"/>
        </w:rPr>
      </w:pPr>
      <w:r>
        <w:rPr>
          <w:rFonts w:ascii="Times New Roman" w:cs="Times New Roman" w:eastAsia="Times New Roman" w:hAnsi="Times New Roman"/>
          <w:sz w:val="18"/>
          <w:szCs w:val="18"/>
          <w:color w:val="auto"/>
        </w:rPr>
        <w:t xml:space="preserve">The valuation allowance on deferred tax assets was $4.10 million and $270 million, respectively, at December 31, 2013 and 2012. Management assesses the valuation allowance recorded against deferred tax assets at each reporting period. The determination of whether a valuation allowance for deferred tax assets is appropriate is subject to considerable judgment and requires an evaluation of all the positive and negative evidence. Accounting Standards Codification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that companies assess whether a valuation allowance should be established against their deferred tax assets based on the consideration of all available evidence using a “more likely than not” standard.</w:t>
      </w:r>
    </w:p>
    <w:p>
      <w:pPr>
        <w:spacing w:after="0" w:line="211" w:lineRule="exact"/>
        <w:rPr>
          <w:sz w:val="20"/>
          <w:szCs w:val="20"/>
          <w:color w:val="auto"/>
        </w:rPr>
      </w:pPr>
    </w:p>
    <w:p>
      <w:pPr>
        <w:ind w:left="492" w:right="60"/>
        <w:spacing w:after="0" w:line="282" w:lineRule="auto"/>
        <w:rPr>
          <w:sz w:val="20"/>
          <w:szCs w:val="20"/>
          <w:color w:val="auto"/>
        </w:rPr>
      </w:pPr>
      <w:r>
        <w:rPr>
          <w:rFonts w:ascii="Times New Roman" w:cs="Times New Roman" w:eastAsia="Times New Roman" w:hAnsi="Times New Roman"/>
          <w:sz w:val="18"/>
          <w:szCs w:val="18"/>
          <w:color w:val="auto"/>
        </w:rPr>
        <w:t>In the second quarter of 2013, United reversed $272 million of its valuation on its net deferred tax asset. United established a full valuation allowance on its deferred tax asset in 2010 due to the realization of significant losses and uncertainty about United’s future earnings forecasts.</w:t>
      </w:r>
    </w:p>
    <w:p>
      <w:pPr>
        <w:spacing w:after="0" w:line="189" w:lineRule="exact"/>
        <w:rPr>
          <w:sz w:val="20"/>
          <w:szCs w:val="20"/>
          <w:color w:val="auto"/>
        </w:rPr>
      </w:pPr>
    </w:p>
    <w:p>
      <w:pPr>
        <w:ind w:left="492" w:right="180"/>
        <w:spacing w:after="0" w:line="261" w:lineRule="auto"/>
        <w:rPr>
          <w:sz w:val="20"/>
          <w:szCs w:val="20"/>
          <w:color w:val="auto"/>
        </w:rPr>
      </w:pPr>
      <w:r>
        <w:rPr>
          <w:rFonts w:ascii="Times New Roman" w:cs="Times New Roman" w:eastAsia="Times New Roman" w:hAnsi="Times New Roman"/>
          <w:sz w:val="18"/>
          <w:szCs w:val="18"/>
          <w:color w:val="auto"/>
        </w:rPr>
        <w:t>United evaluated the need for a valuation allowance again at December 31, 2013. Based on the assessment of all the positive and negative evidence, management concluded that it is more likely than not that nearly all of the net deferred tax asset will be realized based upon future taxable</w:t>
      </w:r>
    </w:p>
    <w:p>
      <w:pPr>
        <w:ind w:left="492"/>
        <w:spacing w:after="0" w:line="252" w:lineRule="auto"/>
        <w:rPr>
          <w:sz w:val="20"/>
          <w:szCs w:val="20"/>
          <w:color w:val="auto"/>
        </w:rPr>
      </w:pPr>
      <w:r>
        <w:rPr>
          <w:rFonts w:ascii="Times New Roman" w:cs="Times New Roman" w:eastAsia="Times New Roman" w:hAnsi="Times New Roman"/>
          <w:sz w:val="18"/>
          <w:szCs w:val="18"/>
          <w:color w:val="auto"/>
        </w:rPr>
        <w:t>income. The remaining valuation allowance of $4.10 million is related to specific state income tax credits that have short carryforward periods and are expected to expire unused. The positive evidence considered by management in arriving at the conclusion that a full valuation allowance is not necessary included six consecutive profitable quarters beginning with the fourth quarter of 2011, United’s strong pre-crisis earnings history and growth in pre-tax, pre-credit earnings, which demonstrate demand for United’s products and services, and United’s significant improvement in credit measures, which improve both the sustainability of profitability and management’s ability to forecast future credit losses. The negative evidence considered by management included the fact that United remains in a three-year cumulative loss position.</w:t>
      </w:r>
    </w:p>
    <w:p>
      <w:pPr>
        <w:spacing w:after="0" w:line="200" w:lineRule="exact"/>
        <w:rPr>
          <w:sz w:val="20"/>
          <w:szCs w:val="20"/>
          <w:color w:val="auto"/>
        </w:rPr>
      </w:pPr>
    </w:p>
    <w:p>
      <w:pPr>
        <w:spacing w:after="0" w:line="23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887" w:right="279" w:bottom="1440" w:gutter="0" w:footer="0" w:header="0"/>
        </w:sectPr>
      </w:pPr>
    </w:p>
    <w:bookmarkStart w:id="99" w:name="page100"/>
    <w:bookmarkEnd w:id="9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229" w:lineRule="exact"/>
        <w:rPr>
          <w:rFonts w:ascii="Times New Roman" w:cs="Times New Roman" w:eastAsia="Times New Roman" w:hAnsi="Times New Roman"/>
          <w:sz w:val="18"/>
          <w:szCs w:val="18"/>
          <w:b w:val="1"/>
          <w:bCs w:val="1"/>
          <w:color w:val="auto"/>
        </w:rPr>
      </w:pPr>
    </w:p>
    <w:p>
      <w:pPr>
        <w:ind w:left="49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expects to realize $259 million in net deferred tax assets well in advance of the statutory carryforward period. At December 31, 2013, $43 million of existing deferred tax assets were not related to net operating losses or credits, and therefore, have no expiration date. At December 31, 2013, United had state net operating loss carryforwards of approximately $32 million that begin to expire in 2023, and approximately $666 million that begin to expire in 2028, if not previously utilized. United has $528 million in federal net operating loss carryforwards that begin to expire in 2029, if not previously utilized. United has $2.6 million of federal general business tax credits that begin to expire in 2028, if not previously utilized as well as $3.1 million in federal alternative minimum tax credits which have no expiration date.</w:t>
      </w:r>
    </w:p>
    <w:p>
      <w:pPr>
        <w:spacing w:after="0" w:line="214" w:lineRule="exact"/>
        <w:rPr>
          <w:rFonts w:ascii="Times New Roman" w:cs="Times New Roman" w:eastAsia="Times New Roman" w:hAnsi="Times New Roman"/>
          <w:sz w:val="18"/>
          <w:szCs w:val="18"/>
          <w:b w:val="1"/>
          <w:bCs w:val="1"/>
          <w:color w:val="auto"/>
        </w:rPr>
      </w:pPr>
    </w:p>
    <w:p>
      <w:pPr>
        <w:ind w:left="492"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valuation allowance could fluctuate in future periods based on the assessment of the positive and negative evidence. Management’s conclusion at December 31, 2013 that it was more likely than not that the net deferred tax assets of $259 million will be realized is based on management’s estimate of future taxable income. Management’s estimate of future taxable income is based on internal forecasts which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the deferred tax asset. Such an increase to the deferred tax asset valuation allowance could have a material adverse effect on United’s financial condition and results of operations.</w:t>
      </w:r>
    </w:p>
    <w:p>
      <w:pPr>
        <w:spacing w:after="0" w:line="214"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reconciliation of the beginning and ending unrecognized tax benefit related to uncertain tax positions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15" w:lineRule="exact"/>
        <w:rPr>
          <w:sz w:val="20"/>
          <w:szCs w:val="20"/>
          <w:color w:val="auto"/>
        </w:rPr>
      </w:pPr>
    </w:p>
    <w:tbl>
      <w:tblPr>
        <w:tblLayout w:type="fixed"/>
        <w:tblInd w:w="852"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5,069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5,985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based on tax positions related to prior years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resulting from a lapse in the applicable statute of limitations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Decreases based on settlements with taxing authorities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0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4,503</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5,069</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92" w:right="100"/>
        <w:spacing w:after="0" w:line="282" w:lineRule="auto"/>
        <w:rPr>
          <w:sz w:val="20"/>
          <w:szCs w:val="20"/>
          <w:color w:val="auto"/>
        </w:rPr>
      </w:pPr>
      <w:r>
        <w:rPr>
          <w:rFonts w:ascii="Times New Roman" w:cs="Times New Roman" w:eastAsia="Times New Roman" w:hAnsi="Times New Roman"/>
          <w:sz w:val="18"/>
          <w:szCs w:val="18"/>
          <w:color w:val="auto"/>
        </w:rPr>
        <w:t>Approximately $3.6 million of this amount would increase income from continuing operations, and thus affect United’s effective tax rate, if ultimately recognized into income.</w:t>
      </w:r>
    </w:p>
    <w:p>
      <w:pPr>
        <w:spacing w:after="0" w:line="189" w:lineRule="exact"/>
        <w:rPr>
          <w:sz w:val="20"/>
          <w:szCs w:val="20"/>
          <w:color w:val="auto"/>
        </w:rPr>
      </w:pPr>
    </w:p>
    <w:p>
      <w:pPr>
        <w:ind w:left="492" w:right="80"/>
        <w:spacing w:after="0" w:line="258" w:lineRule="auto"/>
        <w:rPr>
          <w:sz w:val="20"/>
          <w:szCs w:val="20"/>
          <w:color w:val="auto"/>
        </w:rPr>
      </w:pPr>
      <w:r>
        <w:rPr>
          <w:rFonts w:ascii="Times New Roman" w:cs="Times New Roman" w:eastAsia="Times New Roman" w:hAnsi="Times New Roman"/>
          <w:sz w:val="18"/>
          <w:szCs w:val="18"/>
          <w:color w:val="auto"/>
        </w:rPr>
        <w:t>It is United’s policy to recognize interest and penalties accrued relative to unrecognized tax benefits in their respective federal or state income taxes accounts. In 2013, 2012 and 2011, United reversed $59,000, $120,000 and $1.27 million, respectively, in previously recorded penalties and interest as a result of statute expiration on affected returns, settlement with a state taxing authority and a change in estimate relating to prior year tax positions. The amount accrued for interest and penalties at December 31, 2012 was $85,000. No amounts were accrued for interest and penalties at December 31, 2013.</w:t>
      </w:r>
    </w:p>
    <w:p>
      <w:pPr>
        <w:spacing w:after="0" w:line="211" w:lineRule="exact"/>
        <w:rPr>
          <w:sz w:val="20"/>
          <w:szCs w:val="20"/>
          <w:color w:val="auto"/>
        </w:rPr>
      </w:pPr>
    </w:p>
    <w:p>
      <w:pPr>
        <w:ind w:left="492" w:right="220"/>
        <w:spacing w:after="0" w:line="282" w:lineRule="auto"/>
        <w:rPr>
          <w:sz w:val="20"/>
          <w:szCs w:val="20"/>
          <w:color w:val="auto"/>
        </w:rPr>
      </w:pPr>
      <w:r>
        <w:rPr>
          <w:rFonts w:ascii="Times New Roman" w:cs="Times New Roman" w:eastAsia="Times New Roman" w:hAnsi="Times New Roman"/>
          <w:sz w:val="18"/>
          <w:szCs w:val="18"/>
          <w:color w:val="auto"/>
        </w:rPr>
        <w:t>United and its subsidiaries file a consolidated U.S. federal income tax return, as well as file various returns in the states where its banking offices are located. United’s federal and state income tax returns are no longer subject to examination by taxing authorities for years before 2010.</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14"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Employee Benefit Plans</w:t>
      </w:r>
    </w:p>
    <w:p>
      <w:pPr>
        <w:spacing w:after="0" w:line="229" w:lineRule="exact"/>
        <w:rPr>
          <w:rFonts w:ascii="Times New Roman" w:cs="Times New Roman" w:eastAsia="Times New Roman" w:hAnsi="Times New Roman"/>
          <w:sz w:val="18"/>
          <w:szCs w:val="18"/>
          <w:b w:val="1"/>
          <w:bCs w:val="1"/>
          <w:color w:val="auto"/>
        </w:rPr>
      </w:pPr>
    </w:p>
    <w:p>
      <w:pPr>
        <w:ind w:left="500" w:right="1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offers a defined contribution 401(k) and Profit Sharing Plan (the “401(k) Plan”) that covers substantially all employees meeting certain minimum service requirements. The Plan allows employees to make pre-tax contributions to the 401(k) Plan and United matches these employee contributions up to 5% of eligible compensation, subject to Plan and regulatory limits. United may also elect to make discretionary profit sharing contributions of up to 3.5% of eligible compensation based on earnings performance. Employees begin to receive matching contributions after completing one year of service and benefits vest after three years of service. United’s Plan is administered in accordance with applicable laws and regulations. Through March 31, 2012, United matched employee 401(k) Plan contributions dollar-for-dollar up to 5% of eligible compensation. Effective April 1, 2012, the matching contribution was reduced in half to 50% of employee contributions up to 5% of eligible compensation. Compensation expense from continuing operations related to the 401(k) Plan totaled $1.24 million, $1.66 million and $2.86 million in 2013, 2012 and 2011, respectively. The 401(k) Plan allows employees to choose to invest among a number of investment options, including United’s common stock. During 2013, 2012 and 2011, the 401(k) Plan purchased 48,996, 86,350 and 372,363 common shares, respectively, directly from United at the average of the high and low stock price on the date of purchase.</w:t>
      </w:r>
    </w:p>
    <w:p>
      <w:pPr>
        <w:spacing w:after="0" w:line="219" w:lineRule="exact"/>
        <w:rPr>
          <w:rFonts w:ascii="Times New Roman" w:cs="Times New Roman" w:eastAsia="Times New Roman" w:hAnsi="Times New Roman"/>
          <w:sz w:val="18"/>
          <w:szCs w:val="18"/>
          <w:b w:val="1"/>
          <w:bCs w:val="1"/>
          <w:color w:val="auto"/>
        </w:rPr>
      </w:pPr>
    </w:p>
    <w:p>
      <w:pPr>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sponsors a non-qualified deferred compensation plan for its executive officers, certain other key employees and members of United’s Board of Directors and its community banks’ advisory boards of directors. The deferred compensation plan provides for the pre-tax deferral of compensation, fees and other specified benefits. The deferred compensation plan also permits each employee participant to elect to defer a portion of his or her base salary or bonus and permits each director participant to elect to defer all or a portion of his or her director’s fees. Further, the deferred compensation plan allows for additional contributions by an employee, with matching contributions by United, for amounts that exceed the allowable amounts under the 401(k) Plan. During 2013, 2012 and 2010, United recognized $24,000, $24,000 and $24,000, respectively, in matching contributions for this provision of the deferred compensation plan. The Board of Directors may also elect to make a discretionary contribution to any or all participants. The Board of Directors elected to make a discretionary contribution of 25,000 shares of United’s common stock in 2013 to the deferred compensation plan. No discretionary contributions were made in 2012 or 2011.</w:t>
      </w:r>
    </w:p>
    <w:p>
      <w:pPr>
        <w:spacing w:after="0" w:line="216" w:lineRule="exact"/>
        <w:rPr>
          <w:rFonts w:ascii="Times New Roman" w:cs="Times New Roman" w:eastAsia="Times New Roman" w:hAnsi="Times New Roman"/>
          <w:sz w:val="18"/>
          <w:szCs w:val="18"/>
          <w:b w:val="1"/>
          <w:bCs w:val="1"/>
          <w:color w:val="auto"/>
        </w:rPr>
      </w:pPr>
    </w:p>
    <w:p>
      <w:pPr>
        <w:ind w:left="50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also has an unfunded noncontributory defined benefit pension plan (“Modified Retirement Plan”) that covers certain executive officers and other key employees. The Modified Retirement Plan provides a fixed annual retirement benefit to plan participants. Expenses incurred for these post-retirement benefits were approximately $1.60 million, $1.87 million, and a net credit of $160,000, for 2013, 2012 and 2011, respectively. The $160,000 credit in 2011 was due to a one-time $2.24 million credit adjustment for reclassification of unamortized actuarial gains and losses and prior service costs to other comprehensive income.</w:t>
      </w:r>
    </w:p>
    <w:p>
      <w:pPr>
        <w:spacing w:after="0" w:line="210"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Weighted-average assumptions used to determine pension benefit obligations at year end and net periodic pension cost are shown in the table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82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5"/>
                <w:szCs w:val="15"/>
                <w:color w:val="auto"/>
              </w:rPr>
            </w:pPr>
          </w:p>
        </w:tc>
        <w:tc>
          <w:tcPr>
            <w:tcW w:w="11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for disclosures</w:t>
            </w:r>
          </w:p>
        </w:tc>
        <w:tc>
          <w:tcPr>
            <w:tcW w:w="4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 for net periodic benefit cost</w:t>
            </w:r>
          </w:p>
        </w:tc>
        <w:tc>
          <w:tcPr>
            <w:tcW w:w="4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12/31/2013</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12/31/2012</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1160" w:type="dxa"/>
            <w:vAlign w:val="bottom"/>
            <w:tcBorders>
              <w:bottom w:val="single" w:sz="8" w:color="DCDCDC"/>
            </w:tcBorders>
          </w:tcPr>
          <w:p>
            <w:pPr>
              <w:spacing w:after="0"/>
              <w:rPr>
                <w:sz w:val="24"/>
                <w:szCs w:val="24"/>
                <w:color w:val="auto"/>
              </w:rPr>
            </w:pPr>
          </w:p>
        </w:tc>
        <w:tc>
          <w:tcPr>
            <w:tcW w:w="3720" w:type="dxa"/>
            <w:vAlign w:val="bottom"/>
            <w:tcBorders>
              <w:bottom w:val="single" w:sz="8" w:color="DCDCDC"/>
            </w:tcBorders>
          </w:tcPr>
          <w:p>
            <w:pPr>
              <w:spacing w:after="0"/>
              <w:rPr>
                <w:sz w:val="24"/>
                <w:szCs w:val="24"/>
                <w:color w:val="auto"/>
              </w:rPr>
            </w:pPr>
          </w:p>
        </w:tc>
        <w:tc>
          <w:tcPr>
            <w:tcW w:w="2700" w:type="dxa"/>
            <w:vAlign w:val="bottom"/>
            <w:tcBorders>
              <w:bottom w:val="single" w:sz="8" w:color="DCDCDC"/>
            </w:tcBorders>
          </w:tcPr>
          <w:p>
            <w:pPr>
              <w:jc w:val="right"/>
              <w:ind w:right="1694"/>
              <w:spacing w:after="0"/>
              <w:rPr>
                <w:sz w:val="20"/>
                <w:szCs w:val="20"/>
                <w:color w:val="auto"/>
              </w:rPr>
            </w:pPr>
            <w:r>
              <w:rPr>
                <w:rFonts w:ascii="Times New Roman" w:cs="Times New Roman" w:eastAsia="Times New Roman" w:hAnsi="Times New Roman"/>
                <w:sz w:val="18"/>
                <w:szCs w:val="18"/>
                <w:color w:val="auto"/>
              </w:rPr>
              <w:t>95</w:t>
            </w:r>
          </w:p>
        </w:tc>
        <w:tc>
          <w:tcPr>
            <w:tcW w:w="1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1440" w:gutter="0" w:footer="0" w:header="0"/>
        </w:sectPr>
      </w:pPr>
    </w:p>
    <w:bookmarkStart w:id="101" w:name="page102"/>
    <w:bookmarkEnd w:id="101"/>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Employee Benefit Plans, continued</w:t>
      </w:r>
    </w:p>
    <w:p>
      <w:pPr>
        <w:spacing w:after="0" w:line="227"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Information about changes in obligations and plan assets of the Modified Retirement Plan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88" w:lineRule="exact"/>
        <w:rPr>
          <w:sz w:val="20"/>
          <w:szCs w:val="20"/>
          <w:color w:val="auto"/>
        </w:rPr>
      </w:pPr>
    </w:p>
    <w:tbl>
      <w:tblPr>
        <w:tblLayout w:type="fixed"/>
        <w:tblInd w:w="1132"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benefit obligation - beginning of year</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Actuarial (gains) losses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benefit obligation - end of year</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Change in plan assets, at fair value: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Employer contribution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Plan assets - end of year</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6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Funded status - end of year (plan assets less benefit obligations)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(13,320)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(13,155)</w:t>
            </w: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 xml:space="preserve">Amounts recognized in accumulated other comprehensive income at December 31 consist of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88" w:lineRule="exact"/>
        <w:rPr>
          <w:sz w:val="20"/>
          <w:szCs w:val="20"/>
          <w:color w:val="auto"/>
        </w:rPr>
      </w:pPr>
    </w:p>
    <w:tbl>
      <w:tblPr>
        <w:tblLayout w:type="fixed"/>
        <w:tblInd w:w="1132"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losses</w:t>
            </w:r>
          </w:p>
        </w:tc>
        <w:tc>
          <w:tcPr>
            <w:tcW w:w="2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2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The accumulated benefit obligation was $13.3 million and $13.2 million, respectively, at December 31, 2011 and 2012.</w:t>
      </w:r>
    </w:p>
    <w:p>
      <w:pPr>
        <w:spacing w:after="0" w:line="250"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 xml:space="preserve">Components of net periodic benefit cost and other amounts recognized in other comprehensive income </w:t>
      </w:r>
      <w:r>
        <w:rPr>
          <w:rFonts w:ascii="Times New Roman" w:cs="Times New Roman" w:eastAsia="Times New Roman" w:hAnsi="Times New Roman"/>
          <w:sz w:val="18"/>
          <w:szCs w:val="18"/>
          <w:i w:val="1"/>
          <w:iCs w:val="1"/>
          <w:color w:val="auto"/>
        </w:rPr>
        <w:t>(in thousands):</w:t>
      </w:r>
    </w:p>
    <w:p>
      <w:pPr>
        <w:spacing w:after="0" w:line="288" w:lineRule="exact"/>
        <w:rPr>
          <w:sz w:val="20"/>
          <w:szCs w:val="20"/>
          <w:color w:val="auto"/>
        </w:rPr>
      </w:pPr>
    </w:p>
    <w:tbl>
      <w:tblPr>
        <w:tblLayout w:type="fixed"/>
        <w:tblInd w:w="1132"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(gain) loss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 periodic benefit cost and accumulated other comprehensive income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92"/>
        <w:spacing w:after="0" w:line="282" w:lineRule="auto"/>
        <w:rPr>
          <w:sz w:val="20"/>
          <w:szCs w:val="20"/>
          <w:color w:val="auto"/>
        </w:rPr>
      </w:pPr>
      <w:r>
        <w:rPr>
          <w:rFonts w:ascii="Times New Roman" w:cs="Times New Roman" w:eastAsia="Times New Roman" w:hAnsi="Times New Roman"/>
          <w:sz w:val="18"/>
          <w:szCs w:val="18"/>
          <w:color w:val="auto"/>
        </w:rPr>
        <w:t>The estimated net loss and prior service costs for the Modified Retirement Plan that will be amortized from accumulated other comprehensive income into net periodic benefit cost over the next fiscal year are $0 and $365,000, respectively, as of December 31, 2013.</w:t>
      </w:r>
    </w:p>
    <w:p>
      <w:pPr>
        <w:spacing w:after="0" w:line="200" w:lineRule="exact"/>
        <w:rPr>
          <w:sz w:val="20"/>
          <w:szCs w:val="20"/>
          <w:color w:val="auto"/>
        </w:rPr>
      </w:pPr>
    </w:p>
    <w:p>
      <w:pPr>
        <w:spacing w:after="0" w:line="205"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914" w:right="35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Employee Benefit Plans, continued</w:t>
      </w:r>
    </w:p>
    <w:p>
      <w:pPr>
        <w:spacing w:after="0" w:line="2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benefit payments, which reflect expected future service, are expected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2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24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24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4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4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980</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Following five years</w:t>
            </w:r>
          </w:p>
        </w:tc>
        <w:tc>
          <w:tcPr>
            <w:tcW w:w="246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4,694</w:t>
            </w:r>
          </w:p>
        </w:tc>
      </w:tr>
    </w:tbl>
    <w:p>
      <w:pPr>
        <w:spacing w:after="0" w:line="202" w:lineRule="exact"/>
        <w:rPr>
          <w:sz w:val="20"/>
          <w:szCs w:val="20"/>
          <w:color w:val="auto"/>
        </w:rPr>
      </w:pPr>
    </w:p>
    <w:p>
      <w:pPr>
        <w:ind w:left="500" w:hanging="492"/>
        <w:spacing w:after="0"/>
        <w:tabs>
          <w:tab w:leader="none" w:pos="5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Hedging Activities</w:t>
      </w:r>
    </w:p>
    <w:p>
      <w:pPr>
        <w:spacing w:after="0" w:line="225"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 Management Objective of Using Derivatives</w:t>
      </w:r>
    </w:p>
    <w:p>
      <w:pPr>
        <w:spacing w:after="0" w:line="256" w:lineRule="exact"/>
        <w:rPr>
          <w:rFonts w:ascii="Times New Roman" w:cs="Times New Roman" w:eastAsia="Times New Roman" w:hAnsi="Times New Roman"/>
          <w:sz w:val="18"/>
          <w:szCs w:val="18"/>
          <w:b w:val="1"/>
          <w:bCs w:val="1"/>
          <w:color w:val="auto"/>
        </w:rPr>
      </w:pPr>
    </w:p>
    <w:p>
      <w:pPr>
        <w:ind w:left="50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investment securities, wholesale borrowings and deposits.</w:t>
      </w:r>
    </w:p>
    <w:p>
      <w:pPr>
        <w:spacing w:after="0" w:line="216"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conjunction with the FASB’s fair value measurement guidance, United made an accounting policy election to measure the credit risk of its derivative financial instruments that are subject to master netting arrangements on a gross basis.</w:t>
      </w:r>
    </w:p>
    <w:p>
      <w:pPr>
        <w:spacing w:after="0" w:line="188"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table below presents the fair value of United’s derivative financial instruments as well as their classification on the consolidated balance sheet as of December 31, 2013 and 2012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Derivatives Designated as Hedging Instruments under ASC 815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60" w:type="dxa"/>
            <w:vAlign w:val="bottom"/>
          </w:tcPr>
          <w:p>
            <w:pPr>
              <w:spacing w:after="0"/>
              <w:rPr>
                <w:sz w:val="15"/>
                <w:szCs w:val="15"/>
                <w:color w:val="auto"/>
              </w:rPr>
            </w:pPr>
          </w:p>
        </w:tc>
        <w:tc>
          <w:tcPr>
            <w:tcW w:w="350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3500" w:type="dxa"/>
            <w:vAlign w:val="bottom"/>
            <w:vMerge w:val="continue"/>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35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 of money market deposits</w:t>
            </w:r>
          </w:p>
        </w:tc>
        <w:tc>
          <w:tcPr>
            <w:tcW w:w="2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 of brokered CD’s</w:t>
            </w: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hedge of corporate bonds</w:t>
            </w:r>
          </w:p>
        </w:tc>
        <w:tc>
          <w:tcPr>
            <w:tcW w:w="2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 of short-term debt</w:t>
            </w: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 of money market deposits</w:t>
            </w:r>
          </w:p>
        </w:tc>
        <w:tc>
          <w:tcPr>
            <w:tcW w:w="2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 of brokered CD’s</w:t>
            </w: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hedge of corporate bonds</w:t>
            </w:r>
          </w:p>
        </w:tc>
        <w:tc>
          <w:tcPr>
            <w:tcW w:w="2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920" w:type="dxa"/>
            <w:vAlign w:val="bottom"/>
            <w:vMerge w:val="restart"/>
          </w:tcPr>
          <w:p>
            <w:pPr>
              <w:ind w:left="96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1160" w:type="dxa"/>
            <w:vAlign w:val="bottom"/>
            <w:tcBorders>
              <w:bottom w:val="single" w:sz="8" w:color="DCDCDC"/>
            </w:tcBorders>
          </w:tcPr>
          <w:p>
            <w:pPr>
              <w:spacing w:after="0"/>
              <w:rPr>
                <w:sz w:val="24"/>
                <w:szCs w:val="24"/>
                <w:color w:val="auto"/>
              </w:rPr>
            </w:pPr>
          </w:p>
        </w:tc>
        <w:tc>
          <w:tcPr>
            <w:tcW w:w="3500" w:type="dxa"/>
            <w:vAlign w:val="bottom"/>
            <w:tcBorders>
              <w:bottom w:val="single" w:sz="8" w:color="DCDCDC"/>
            </w:tcBorders>
          </w:tcPr>
          <w:p>
            <w:pPr>
              <w:spacing w:after="0"/>
              <w:rPr>
                <w:sz w:val="24"/>
                <w:szCs w:val="24"/>
                <w:color w:val="auto"/>
              </w:rPr>
            </w:pPr>
          </w:p>
        </w:tc>
        <w:tc>
          <w:tcPr>
            <w:tcW w:w="2920" w:type="dxa"/>
            <w:vAlign w:val="bottom"/>
            <w:tcBorders>
              <w:bottom w:val="single" w:sz="8" w:color="DCDCDC"/>
            </w:tcBorders>
            <w:vMerge w:val="continue"/>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1440" w:gutter="0" w:footer="0" w:header="0"/>
        </w:sectPr>
      </w:pPr>
    </w:p>
    <w:bookmarkStart w:id="103" w:name="page104"/>
    <w:bookmarkEnd w:id="103"/>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Hedging Activities, continued</w:t>
      </w:r>
    </w:p>
    <w:p>
      <w:pPr>
        <w:spacing w:after="0" w:line="225" w:lineRule="exact"/>
        <w:rPr>
          <w:rFonts w:ascii="Times New Roman" w:cs="Times New Roman" w:eastAsia="Times New Roman" w:hAnsi="Times New Roman"/>
          <w:sz w:val="18"/>
          <w:szCs w:val="18"/>
          <w:b w:val="1"/>
          <w:bCs w:val="1"/>
          <w:color w:val="auto"/>
        </w:rPr>
      </w:pPr>
    </w:p>
    <w:p>
      <w:pPr>
        <w:ind w:left="492" w:right="5900"/>
        <w:spacing w:after="0" w:line="58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u w:val="single" w:color="auto"/>
          <w:color w:val="auto"/>
        </w:rPr>
        <w:t xml:space="preserve">Risk Management Objective of Using Derivatives, continued </w:t>
      </w:r>
      <w:r>
        <w:rPr>
          <w:rFonts w:ascii="Times New Roman" w:cs="Times New Roman" w:eastAsia="Times New Roman" w:hAnsi="Times New Roman"/>
          <w:sz w:val="17"/>
          <w:szCs w:val="17"/>
          <w:b w:val="1"/>
          <w:bCs w:val="1"/>
          <w:i w:val="1"/>
          <w:iCs w:val="1"/>
          <w:color w:val="auto"/>
        </w:rPr>
        <w:t>Derivatives not Designated as Hedging Instruments under ASC 815</w:t>
      </w:r>
    </w:p>
    <w:tbl>
      <w:tblPr>
        <w:tblLayout w:type="fixed"/>
        <w:tblInd w:w="1132"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7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swap positions</w:t>
            </w:r>
          </w:p>
        </w:tc>
        <w:tc>
          <w:tcPr>
            <w:tcW w:w="2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Dealer offsets to customer swap positions</w:t>
            </w:r>
          </w:p>
        </w:tc>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Bifurcated embedded derivatives</w:t>
            </w:r>
          </w:p>
        </w:tc>
        <w:tc>
          <w:tcPr>
            <w:tcW w:w="2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Customer swap positions</w:t>
            </w:r>
          </w:p>
        </w:tc>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 offsets to customer swap positions</w:t>
            </w:r>
          </w:p>
        </w:tc>
        <w:tc>
          <w:tcPr>
            <w:tcW w:w="2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Dealer offsets to bifurcated embedded derivatives</w:t>
            </w:r>
          </w:p>
        </w:tc>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18,324</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92" w:right="520"/>
        <w:spacing w:after="0" w:line="277" w:lineRule="auto"/>
        <w:rPr>
          <w:sz w:val="20"/>
          <w:szCs w:val="20"/>
          <w:color w:val="auto"/>
        </w:rPr>
      </w:pPr>
      <w:r>
        <w:rPr>
          <w:rFonts w:ascii="Times New Roman" w:cs="Times New Roman" w:eastAsia="Times New Roman" w:hAnsi="Times New Roman"/>
          <w:sz w:val="17"/>
          <w:szCs w:val="17"/>
          <w:color w:val="auto"/>
        </w:rPr>
        <w:t xml:space="preserve">Derivative contracts that are not accounted for as hedging instruments under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and are described as “customer derivatives” are between United and certain commercial loan customers with offsetting positions to dealers under a back-to-back swap</w:t>
      </w:r>
    </w:p>
    <w:p>
      <w:pPr>
        <w:spacing w:after="0" w:line="1" w:lineRule="exact"/>
        <w:rPr>
          <w:sz w:val="20"/>
          <w:szCs w:val="20"/>
          <w:color w:val="auto"/>
        </w:rPr>
      </w:pPr>
    </w:p>
    <w:p>
      <w:pPr>
        <w:ind w:left="492" w:right="200"/>
        <w:spacing w:after="0" w:line="254" w:lineRule="auto"/>
        <w:rPr>
          <w:sz w:val="20"/>
          <w:szCs w:val="20"/>
          <w:color w:val="auto"/>
        </w:rPr>
      </w:pPr>
      <w:r>
        <w:rPr>
          <w:rFonts w:ascii="Times New Roman" w:cs="Times New Roman" w:eastAsia="Times New Roman" w:hAnsi="Times New Roman"/>
          <w:sz w:val="18"/>
          <w:szCs w:val="18"/>
          <w:color w:val="auto"/>
        </w:rPr>
        <w:t>program. United also has three interest rate swap contracts that are not designated as hedging instruments but are economic hedges of market linked brokered certificates of deposit. The market linked brokered certificates of deposit contain embedded derivatives that are bifurcated from the host instruments and marked to market through earnings. The marks on the steepener swaps and the bifurcated embedded derivatives tend to move in opposite directions with changes in 90 day LIBOR and therefore provide an effective economic hedge.</w:t>
      </w:r>
    </w:p>
    <w:p>
      <w:pPr>
        <w:spacing w:after="0" w:line="20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b w:val="1"/>
          <w:bCs w:val="1"/>
          <w:u w:val="single" w:color="auto"/>
          <w:color w:val="auto"/>
        </w:rPr>
        <w:t>Cash Flow Hedges of Interest Rate Risk</w:t>
      </w:r>
    </w:p>
    <w:p>
      <w:pPr>
        <w:spacing w:after="0" w:line="256" w:lineRule="exact"/>
        <w:rPr>
          <w:sz w:val="20"/>
          <w:szCs w:val="20"/>
          <w:color w:val="auto"/>
        </w:rPr>
      </w:pPr>
    </w:p>
    <w:p>
      <w:pPr>
        <w:ind w:left="492"/>
        <w:spacing w:after="0" w:line="253" w:lineRule="auto"/>
        <w:rPr>
          <w:sz w:val="20"/>
          <w:szCs w:val="20"/>
          <w:color w:val="auto"/>
        </w:rPr>
      </w:pPr>
      <w:r>
        <w:rPr>
          <w:rFonts w:ascii="Times New Roman" w:cs="Times New Roman" w:eastAsia="Times New Roman" w:hAnsi="Times New Roman"/>
          <w:sz w:val="18"/>
          <w:szCs w:val="18"/>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At December 31, 2013, United’s interest rate swaps designated as cash flow hedges involve the payment of fixed-rate amounts to a counterparty in exchange for United receiving variable-rate payments over the life of the agreements without exchange of the underlying notional amount. United’s current cash flow hedges are for the purpose of converting variable rate deposits and wholesale borrowings to a fixed rate to protect the company in a rising rate environment. The swaps are forward starting and do not become effective until 2014 and 2015. United had three swap contracts outstanding with a total notional amount of $200 million that were designated as cash flow hedges of future issuances of three-month brokered deposits or other LIBOR based floating rate wholesale borrowings, and three swap contracts outstanding with a total notional amount of $375 million that were designated as cash flow hedges of indexed money market accounts at December 31, 2013. At December 31, 2012, United had three swap contracts outstanding with a notional amount of $200 million that were designated as cash flow hedges of future issuances of three-month brokered deposits or other LIBOR based floating rate wholesale borrowings and two swap contracts outstanding with a total notional amount of $200 million that were designated as cash flow hedges of indexed money market accounts.</w:t>
      </w:r>
    </w:p>
    <w:p>
      <w:pPr>
        <w:spacing w:after="0" w:line="218" w:lineRule="exact"/>
        <w:rPr>
          <w:sz w:val="20"/>
          <w:szCs w:val="20"/>
          <w:color w:val="auto"/>
        </w:rPr>
      </w:pPr>
    </w:p>
    <w:p>
      <w:pPr>
        <w:ind w:left="492" w:right="20"/>
        <w:spacing w:after="0" w:line="255"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in 2014, as interest payments are made on United’s LIBOR based, variable-rate wholesale borrowings and indexed deposit accounts. United’s forward starting active cash flow hedges of floating rate liabilities will begin to become effective over the next twelve months. United recognized $70,000 in hedge ineffectiveness losses in deposit interest expense on active cash flow hedges in 2013. No such hedge ineffectiveness gains or losses were recognized on active cash flow hedges in 2012 or 2011. United expects that $3.59 million will be reclassified as an increase to deposit interest expense over the next twelve months related to these cash flow hedges.</w:t>
      </w:r>
    </w:p>
    <w:p>
      <w:pPr>
        <w:spacing w:after="0" w:line="212" w:lineRule="exact"/>
        <w:rPr>
          <w:sz w:val="20"/>
          <w:szCs w:val="20"/>
          <w:color w:val="auto"/>
        </w:rPr>
      </w:pPr>
    </w:p>
    <w:p>
      <w:pPr>
        <w:ind w:left="492" w:right="16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2013, 2012 and 2011, United accelerated the reclassification of $52,000, $237,000 and $4.96 million, respectively, in gains from terminated positions as a result of the forecasted transactions becoming probable not to occur. These amounts are recognized in loan interest revenue as hedge ineffectiveness. At December 31, 2013, there were no remaining unamortized balances from terminated positions.</w:t>
      </w:r>
    </w:p>
    <w:p>
      <w:pPr>
        <w:spacing w:after="0" w:line="200" w:lineRule="exact"/>
        <w:rPr>
          <w:sz w:val="20"/>
          <w:szCs w:val="20"/>
          <w:color w:val="auto"/>
        </w:rPr>
      </w:pPr>
    </w:p>
    <w:p>
      <w:pPr>
        <w:spacing w:after="0" w:line="22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14" w:right="25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right="7420" w:hanging="492"/>
        <w:spacing w:after="0" w:line="549" w:lineRule="auto"/>
        <w:tabs>
          <w:tab w:leader="none" w:pos="50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Derivatives and Hedging Activities, continued </w:t>
      </w:r>
      <w:r>
        <w:rPr>
          <w:rFonts w:ascii="Times New Roman" w:cs="Times New Roman" w:eastAsia="Times New Roman" w:hAnsi="Times New Roman"/>
          <w:sz w:val="17"/>
          <w:szCs w:val="17"/>
          <w:b w:val="1"/>
          <w:bCs w:val="1"/>
          <w:u w:val="single" w:color="auto"/>
          <w:color w:val="auto"/>
        </w:rPr>
        <w:t>Fair Value Hedges of Interest Rate Risk</w:t>
      </w:r>
    </w:p>
    <w:p>
      <w:pPr>
        <w:spacing w:after="0" w:line="1" w:lineRule="exact"/>
        <w:rPr>
          <w:rFonts w:ascii="Times New Roman" w:cs="Times New Roman" w:eastAsia="Times New Roman" w:hAnsi="Times New Roman"/>
          <w:sz w:val="17"/>
          <w:szCs w:val="17"/>
          <w:b w:val="1"/>
          <w:bCs w:val="1"/>
          <w:color w:val="auto"/>
        </w:rPr>
      </w:pPr>
    </w:p>
    <w:p>
      <w:pPr>
        <w:ind w:left="500" w:right="14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United is exposed to changes in the fair value of certain of its fixed 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 rate investments involve the receipt of variable-rate payments from a counterparty in exchange for United making fixed rate payments over the life of the instrument without the exchange of the underlying notional amount. At December 31, 2013, United had 24 interest rate swaps with an aggregate notional amount of $285 million that were designated as fair value hedges of interest rate risk. Eight of the interest rate swaps outstanding at December 31, 2013 with an aggregate notional amount of $86 million were receive-variable / pay-fixed swaps that were used for the purpose of hedging changes in the fair value of corporate bonds resulting from changes in interest rates. The other 16 were pay-variable / receive-fixed swaps hedging the changes in the fair value of fixed rate brokered time deposits resulting from changes in interest rates. At December 31, 2012, United had 13 interest rate swaps with an aggregate notional amount of $166 million that were designated as fair value hedges of interest rate risk.</w:t>
      </w:r>
    </w:p>
    <w:p>
      <w:pPr>
        <w:spacing w:after="0" w:line="219" w:lineRule="exact"/>
        <w:rPr>
          <w:rFonts w:ascii="Times New Roman" w:cs="Times New Roman" w:eastAsia="Times New Roman" w:hAnsi="Times New Roman"/>
          <w:sz w:val="17"/>
          <w:szCs w:val="17"/>
          <w:b w:val="1"/>
          <w:bCs w:val="1"/>
          <w:color w:val="auto"/>
        </w:rPr>
      </w:pPr>
    </w:p>
    <w:p>
      <w:pPr>
        <w:ind w:left="500" w:right="2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years ended December 31, 2013, 2012 and 2011, United recognized net gains of $1.07 million, $870,000 and $37,000 respectively, related to ineffectiveness of the fair value hedging relationships. Offsetting the 2012 gain was the write off of $449,000 in prepaid broker fees on brokered deposits. The prepaid broker fees were related to the brokered deposits (hedged item) that were called and resulted in a portion of the ineffectiveness gain. United also recognized a net reduction of interest expense of $4.67 million, $2.42 million and $110,000 for the years ended December 31, 2013, 2012 and 2011, respectively, related to United’s fair value hedges of brokered time deposits, which includes net settlements on the derivatives. United recognized a $1.33 million reduction of interest revenue on securities during 2013 related to United’s fair value hedges of corporate bonds.</w:t>
      </w:r>
    </w:p>
    <w:p>
      <w:pPr>
        <w:spacing w:after="0" w:line="212"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u w:val="single" w:color="auto"/>
          <w:color w:val="auto"/>
        </w:rPr>
        <w:t>Tabular Disclosure of the Effect of Derivative Instruments on the Income Statement</w:t>
      </w:r>
    </w:p>
    <w:p>
      <w:pPr>
        <w:spacing w:after="0" w:line="256" w:lineRule="exact"/>
        <w:rPr>
          <w:sz w:val="20"/>
          <w:szCs w:val="20"/>
          <w:color w:val="auto"/>
        </w:rPr>
      </w:pPr>
    </w:p>
    <w:p>
      <w:pPr>
        <w:ind w:left="500" w:right="660"/>
        <w:spacing w:after="0" w:line="282" w:lineRule="auto"/>
        <w:rPr>
          <w:sz w:val="20"/>
          <w:szCs w:val="20"/>
          <w:color w:val="auto"/>
        </w:rPr>
      </w:pPr>
      <w:r>
        <w:rPr>
          <w:rFonts w:ascii="Times New Roman" w:cs="Times New Roman" w:eastAsia="Times New Roman" w:hAnsi="Times New Roman"/>
          <w:sz w:val="18"/>
          <w:szCs w:val="18"/>
          <w:color w:val="auto"/>
        </w:rPr>
        <w:t>The tables below present the effect of United’s derivative financial instruments on the consolidated statement of operations for the years ended December 31, 2013, 2012 and 2011.</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Derivatives in Fair Value Hedging Relationships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0" w:type="dxa"/>
            <w:vAlign w:val="bottom"/>
          </w:tcPr>
          <w:p>
            <w:pPr>
              <w:spacing w:after="0"/>
              <w:rPr>
                <w:sz w:val="13"/>
                <w:szCs w:val="13"/>
                <w:color w:val="auto"/>
              </w:rPr>
            </w:pPr>
          </w:p>
        </w:tc>
        <w:tc>
          <w:tcPr>
            <w:tcW w:w="26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r>
      <w:tr>
        <w:trPr>
          <w:trHeight w:val="180"/>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Income on Derivative</w:t>
            </w: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Income on Hedged Item</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Derivative</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hedges of brokered CD’s</w:t>
            </w: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(16,433)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w:t>
            </w:r>
          </w:p>
        </w:tc>
        <w:tc>
          <w:tcPr>
            <w:tcW w:w="62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328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16,981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 of corporate bonds</w:t>
            </w: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revenue</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6,285</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(5,765)</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w:t>
            </w:r>
          </w:p>
        </w:tc>
        <w:tc>
          <w:tcPr>
            <w:tcW w:w="62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328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Derivatives in Cash Flow Hedging Relationships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3780" w:type="dxa"/>
            <w:vAlign w:val="bottom"/>
            <w:gridSpan w:val="10"/>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Gain (Loss) Reclassified from Accumulated Other</w:t>
            </w:r>
          </w:p>
        </w:tc>
        <w:tc>
          <w:tcPr>
            <w:tcW w:w="3760" w:type="dxa"/>
            <w:vAlign w:val="bottom"/>
            <w:gridSpan w:val="11"/>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 (Loss) Recognized in Income on 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60" w:type="dxa"/>
            <w:vAlign w:val="bottom"/>
            <w:gridSpan w:val="7"/>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 on</w:t>
            </w:r>
          </w:p>
        </w:tc>
        <w:tc>
          <w:tcPr>
            <w:tcW w:w="3780" w:type="dxa"/>
            <w:vAlign w:val="bottom"/>
            <w:gridSpan w:val="10"/>
            <w:vMerge w:val="continue"/>
          </w:tcPr>
          <w:p>
            <w:pPr>
              <w:spacing w:after="0"/>
              <w:rPr>
                <w:sz w:val="12"/>
                <w:szCs w:val="12"/>
                <w:color w:val="auto"/>
              </w:rPr>
            </w:pPr>
          </w:p>
        </w:tc>
        <w:tc>
          <w:tcPr>
            <w:tcW w:w="376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 (Effective Portion)</w:t>
            </w:r>
          </w:p>
        </w:tc>
        <w:tc>
          <w:tcPr>
            <w:tcW w:w="100" w:type="dxa"/>
            <w:vAlign w:val="bottom"/>
          </w:tcPr>
          <w:p>
            <w:pPr>
              <w:spacing w:after="0"/>
              <w:rPr>
                <w:sz w:val="15"/>
                <w:szCs w:val="15"/>
                <w:color w:val="auto"/>
              </w:rPr>
            </w:pPr>
          </w:p>
        </w:tc>
        <w:tc>
          <w:tcPr>
            <w:tcW w:w="368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Comprehensive Income into Income (Effective Portion)</w:t>
            </w:r>
          </w:p>
        </w:tc>
        <w:tc>
          <w:tcPr>
            <w:tcW w:w="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(Ineffective Portion)</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rPr>
                <w:sz w:val="19"/>
                <w:szCs w:val="19"/>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9"/>
                <w:szCs w:val="19"/>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 $ 10,084</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(8,739)  $</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revenue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3,712</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$ 15,120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5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70</w:t>
            </w:r>
          </w:p>
        </w:tc>
        <w:tc>
          <w:tcPr>
            <w:tcW w:w="6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60"/>
        <w:spacing w:after="0" w:line="261" w:lineRule="auto"/>
        <w:rPr>
          <w:sz w:val="20"/>
          <w:szCs w:val="20"/>
          <w:color w:val="auto"/>
        </w:rPr>
      </w:pPr>
      <w:r>
        <w:rPr>
          <w:rFonts w:ascii="Times New Roman" w:cs="Times New Roman" w:eastAsia="Times New Roman" w:hAnsi="Times New Roman"/>
          <w:sz w:val="18"/>
          <w:szCs w:val="18"/>
          <w:color w:val="auto"/>
        </w:rPr>
        <w:t>In certain cases, the estate of deceased brokered certificate of deposit holders may put the certificate of deposit back to the issuing bank at par upon the death of the holder. When these death puts occur, a gain or loss is recognized for the difference between the fair value and the par amount of the deposits put back. The change in the fair value of brokered time deposits that are being hedged in fair value hedging relationships reported in the table above include gains and losses from death puts and such gains and losses are included in the amount of reported ineffectiveness gains or losses.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105" w:name="page106"/>
    <w:bookmarkEnd w:id="105"/>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right="7400" w:hanging="492"/>
        <w:spacing w:after="0" w:line="549" w:lineRule="auto"/>
        <w:tabs>
          <w:tab w:leader="none" w:pos="492"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Derivatives and Hedging Activities, continued </w:t>
      </w:r>
      <w:r>
        <w:rPr>
          <w:rFonts w:ascii="Times New Roman" w:cs="Times New Roman" w:eastAsia="Times New Roman" w:hAnsi="Times New Roman"/>
          <w:sz w:val="17"/>
          <w:szCs w:val="17"/>
          <w:b w:val="1"/>
          <w:bCs w:val="1"/>
          <w:u w:val="single" w:color="auto"/>
          <w:color w:val="auto"/>
        </w:rPr>
        <w:t>Credit-risk-related Contingent Features</w:t>
      </w:r>
    </w:p>
    <w:p>
      <w:pPr>
        <w:spacing w:after="0" w:line="1" w:lineRule="exact"/>
        <w:rPr>
          <w:rFonts w:ascii="Times New Roman" w:cs="Times New Roman" w:eastAsia="Times New Roman" w:hAnsi="Times New Roman"/>
          <w:sz w:val="17"/>
          <w:szCs w:val="17"/>
          <w:b w:val="1"/>
          <w:bCs w:val="1"/>
          <w:color w:val="auto"/>
        </w:rPr>
      </w:pPr>
    </w:p>
    <w:p>
      <w:pPr>
        <w:ind w:left="492"/>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December 31, 2013, collateral totaling $38.1 million was pledged toward derivatives in a liability position.</w:t>
      </w:r>
    </w:p>
    <w:p>
      <w:pPr>
        <w:spacing w:after="0" w:line="207" w:lineRule="exact"/>
        <w:rPr>
          <w:rFonts w:ascii="Times New Roman" w:cs="Times New Roman" w:eastAsia="Times New Roman" w:hAnsi="Times New Roman"/>
          <w:sz w:val="17"/>
          <w:szCs w:val="17"/>
          <w:b w:val="1"/>
          <w:bCs w:val="1"/>
          <w:color w:val="auto"/>
        </w:rPr>
      </w:pPr>
    </w:p>
    <w:p>
      <w:pPr>
        <w:ind w:left="492"/>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206" w:lineRule="exact"/>
        <w:rPr>
          <w:rFonts w:ascii="Times New Roman" w:cs="Times New Roman" w:eastAsia="Times New Roman" w:hAnsi="Times New Roman"/>
          <w:sz w:val="17"/>
          <w:szCs w:val="17"/>
          <w:b w:val="1"/>
          <w:bCs w:val="1"/>
          <w:color w:val="auto"/>
        </w:rPr>
      </w:pPr>
    </w:p>
    <w:p>
      <w:pPr>
        <w:ind w:left="49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u w:val="single" w:color="auto"/>
          <w:color w:val="auto"/>
        </w:rPr>
        <w:t>Change in Valuation Methodology</w:t>
      </w:r>
    </w:p>
    <w:p>
      <w:pPr>
        <w:spacing w:after="0" w:line="256" w:lineRule="exact"/>
        <w:rPr>
          <w:rFonts w:ascii="Times New Roman" w:cs="Times New Roman" w:eastAsia="Times New Roman" w:hAnsi="Times New Roman"/>
          <w:sz w:val="17"/>
          <w:szCs w:val="17"/>
          <w:b w:val="1"/>
          <w:bCs w:val="1"/>
          <w:color w:val="auto"/>
        </w:rPr>
      </w:pPr>
    </w:p>
    <w:p>
      <w:pPr>
        <w:ind w:left="492" w:right="28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January 1, 2013, United changed its valuation methodology for over-the-counter derivatives to discount cash flows based on Overnight Index Swap (“OIS”) rates. Fully collateralized trades are discounted using OIS with no additional economic adjustments to arrive at fair</w:t>
      </w:r>
    </w:p>
    <w:p>
      <w:pPr>
        <w:ind w:left="492" w:right="14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value. Uncollateralized or partially collateralized trades are also discounted at OIS, but include appropriate economic adjustments for funding costs (i.e. LIBOR-OIS basis adjustment to approximate uncollateralized cost of funds) and credit risk. United changed its methodology to better align its inputs, assumptions and pricing methodologies with those used in its principal market by most dealers and major market participants. The changes in valuation methodology are applied prospectively as a change in accounting estimate and are not material to United’s financial position or results of operations.</w:t>
      </w:r>
    </w:p>
    <w:p>
      <w:pPr>
        <w:spacing w:after="0" w:line="210" w:lineRule="exact"/>
        <w:rPr>
          <w:rFonts w:ascii="Times New Roman" w:cs="Times New Roman" w:eastAsia="Times New Roman" w:hAnsi="Times New Roman"/>
          <w:sz w:val="17"/>
          <w:szCs w:val="17"/>
          <w:b w:val="1"/>
          <w:bCs w:val="1"/>
          <w:color w:val="auto"/>
        </w:rPr>
      </w:pPr>
    </w:p>
    <w:p>
      <w:pPr>
        <w:ind w:left="492" w:right="9220" w:hanging="492"/>
        <w:spacing w:after="0" w:line="533" w:lineRule="auto"/>
        <w:tabs>
          <w:tab w:leader="none" w:pos="492"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Regulatory Matters </w:t>
      </w:r>
      <w:r>
        <w:rPr>
          <w:rFonts w:ascii="Times New Roman" w:cs="Times New Roman" w:eastAsia="Times New Roman" w:hAnsi="Times New Roman"/>
          <w:sz w:val="17"/>
          <w:szCs w:val="17"/>
          <w:b w:val="1"/>
          <w:bCs w:val="1"/>
          <w:u w:val="single" w:color="auto"/>
          <w:color w:val="auto"/>
        </w:rPr>
        <w:t>Capital Requirements</w:t>
      </w:r>
    </w:p>
    <w:p>
      <w:pPr>
        <w:ind w:left="492" w:right="2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United and the Bank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the financial statements. Under capital adequacy guidelines and the regulatory framework for prompt corrective action, United and the Bank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214" w:lineRule="exact"/>
        <w:rPr>
          <w:rFonts w:ascii="Times New Roman" w:cs="Times New Roman" w:eastAsia="Times New Roman" w:hAnsi="Times New Roman"/>
          <w:sz w:val="17"/>
          <w:szCs w:val="17"/>
          <w:b w:val="1"/>
          <w:bCs w:val="1"/>
          <w:color w:val="auto"/>
        </w:rPr>
      </w:pPr>
    </w:p>
    <w:p>
      <w:pPr>
        <w:ind w:left="492" w:right="2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Quantitative measures (as defined) established by regulation to ensure capital adequacy require United and the Bank to maintain minimum amounts and ratios of total capital and Tier 1 capital to risk-weighted assets, and of Tier 1 capital to average assets.</w:t>
      </w:r>
    </w:p>
    <w:p>
      <w:pPr>
        <w:spacing w:after="0" w:line="188" w:lineRule="exact"/>
        <w:rPr>
          <w:rFonts w:ascii="Times New Roman" w:cs="Times New Roman" w:eastAsia="Times New Roman" w:hAnsi="Times New Roman"/>
          <w:sz w:val="17"/>
          <w:szCs w:val="17"/>
          <w:b w:val="1"/>
          <w:bCs w:val="1"/>
          <w:color w:val="auto"/>
        </w:rPr>
      </w:pPr>
    </w:p>
    <w:p>
      <w:pPr>
        <w:ind w:left="492"/>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2013, the Bank was categorized as well-capitalized under the regulatory framework for prompt corrective action. To be categorized as well-capitalized, the Bank must exceed the well-capitalized guideline ratios, as set forth in the table and meet certain other requirements. Management believes that the Bank exceeded all well-capitalized requirements, and there have been no conditions or events since year-end that would change the status of well-capitalized. The regulatory designation of “well-capitalized” under prompt corrective action regulations is not applicable to United (a bank holding company). However, Regulation Y defines “well-capitalized” for a bank holding company for the purpose of determining eligibility for a streamlined review process for acquisition proposals. For such purposes, “well-capitalized” requires United to maintain a minimum Tier 1 risk-based capital ratio of 6% and a minimum Total risk-based capital ratio of 10%.</w:t>
      </w:r>
    </w:p>
    <w:p>
      <w:pPr>
        <w:spacing w:after="0" w:line="216" w:lineRule="exact"/>
        <w:rPr>
          <w:rFonts w:ascii="Times New Roman" w:cs="Times New Roman" w:eastAsia="Times New Roman" w:hAnsi="Times New Roman"/>
          <w:sz w:val="17"/>
          <w:szCs w:val="17"/>
          <w:b w:val="1"/>
          <w:bCs w:val="1"/>
          <w:color w:val="auto"/>
        </w:rPr>
      </w:pPr>
    </w:p>
    <w:p>
      <w:pPr>
        <w:jc w:val="both"/>
        <w:ind w:left="492" w:right="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2013, the Bank was subject to an informal memorandum of understanding with the Georgia Department of Banking and Finance and the FDIC (the “Bank MOU”). The Bank MOU required, among other things, that the Bank maintain its Tier I leverage ratio at not less than 8% and its total risk-based capital ratio at not less than 10% during the life of the Bank MOU. The Bank MOU was terminated in December 2013.</w:t>
      </w:r>
    </w:p>
    <w:p>
      <w:pPr>
        <w:spacing w:after="0" w:line="203" w:lineRule="exact"/>
        <w:rPr>
          <w:rFonts w:ascii="Times New Roman" w:cs="Times New Roman" w:eastAsia="Times New Roman" w:hAnsi="Times New Roman"/>
          <w:sz w:val="17"/>
          <w:szCs w:val="17"/>
          <w:b w:val="1"/>
          <w:bCs w:val="1"/>
          <w:color w:val="auto"/>
        </w:rPr>
      </w:pPr>
    </w:p>
    <w:p>
      <w:pPr>
        <w:ind w:left="492" w:right="1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November 2011, United entered into an informal memorandum of understanding with the Federal Reserve Bank of Atlanta and the Georgia Department of Banking and Finance (the “Holding Company MOU”). The Holding Company MOU provided, among other things, that United could not incur additional indebtedness, pay cash dividends, make payments on its trust preferred securities or subordinated indebtedness or repurchase outstanding stock without prior approval of the Federal Reserve Bank of Atlanta and Georgia Department of Banking and Finance. The Holding Company MOU was terminated in January 2014.</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14" w:right="25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500" w:right="8380" w:hanging="492"/>
        <w:spacing w:after="0" w:line="549" w:lineRule="auto"/>
        <w:tabs>
          <w:tab w:leader="none" w:pos="50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Regulatory Matters, continued </w:t>
      </w:r>
      <w:r>
        <w:rPr>
          <w:rFonts w:ascii="Times New Roman" w:cs="Times New Roman" w:eastAsia="Times New Roman" w:hAnsi="Times New Roman"/>
          <w:sz w:val="17"/>
          <w:szCs w:val="17"/>
          <w:b w:val="1"/>
          <w:bCs w:val="1"/>
          <w:u w:val="single" w:color="auto"/>
          <w:color w:val="auto"/>
        </w:rPr>
        <w:t>Capital Requirements, continued</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Minimum amounts required for capital adequacy purposes and to be well-capitalized under prompt corrective action provisions are presented below for</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United and the Bank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Regulatory</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tc>
        <w:tc>
          <w:tcPr>
            <w:tcW w:w="260" w:type="dxa"/>
            <w:vAlign w:val="bottom"/>
          </w:tcPr>
          <w:p>
            <w:pPr>
              <w:spacing w:after="0"/>
              <w:rPr>
                <w:sz w:val="13"/>
                <w:szCs w:val="13"/>
                <w:color w:val="auto"/>
              </w:rPr>
            </w:pPr>
          </w:p>
        </w:tc>
        <w:tc>
          <w:tcPr>
            <w:tcW w:w="242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United Community Bank</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Guidelines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4"/>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Well</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Risk-based ratios: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Tier 1 capital</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14.16%</w:t>
            </w: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13.55%</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capital</w:t>
            </w:r>
          </w:p>
        </w:tc>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Leverage ratio</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9.64</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9.61</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capital</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649,162</w:t>
            </w:r>
          </w:p>
        </w:tc>
        <w:tc>
          <w:tcPr>
            <w:tcW w:w="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652,692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686,687</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666,585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capital</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713,063</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724,915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750,216</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724,738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Cash, Dividend, Loan and Other Restrictions</w:t>
      </w:r>
    </w:p>
    <w:p>
      <w:pPr>
        <w:spacing w:after="0" w:line="256" w:lineRule="exact"/>
        <w:rPr>
          <w:sz w:val="20"/>
          <w:szCs w:val="20"/>
          <w:color w:val="auto"/>
        </w:rPr>
      </w:pPr>
    </w:p>
    <w:p>
      <w:pPr>
        <w:ind w:left="500" w:right="20"/>
        <w:spacing w:after="0" w:line="261" w:lineRule="auto"/>
        <w:rPr>
          <w:sz w:val="20"/>
          <w:szCs w:val="20"/>
          <w:color w:val="auto"/>
        </w:rPr>
      </w:pPr>
      <w:r>
        <w:rPr>
          <w:rFonts w:ascii="Times New Roman" w:cs="Times New Roman" w:eastAsia="Times New Roman" w:hAnsi="Times New Roman"/>
          <w:sz w:val="18"/>
          <w:szCs w:val="18"/>
          <w:color w:val="auto"/>
        </w:rPr>
        <w:t>At December 31, 2013 and 2012, the Bank did not have a required reserve balance at the Federal Reserve Bank of Atlanta. Federal and state banking regulations place certain restrictions on dividends paid by the Bank to United. Dividends paid to United require approval of the Georgia Department of Banking and Finance while the Bank has an accumulated deficit (negative retained earnings). At December 31, 2013, the Bank had approval from the Georgia Department of Banking and Finance to pay $69 million in dividends to United, which were paid in January 2014.</w:t>
      </w:r>
    </w:p>
    <w:p>
      <w:pPr>
        <w:spacing w:after="0" w:line="207" w:lineRule="exact"/>
        <w:rPr>
          <w:sz w:val="20"/>
          <w:szCs w:val="20"/>
          <w:color w:val="auto"/>
        </w:rPr>
      </w:pPr>
    </w:p>
    <w:p>
      <w:pPr>
        <w:jc w:val="both"/>
        <w:ind w:left="500" w:right="20"/>
        <w:spacing w:after="0" w:line="257" w:lineRule="auto"/>
        <w:rPr>
          <w:sz w:val="20"/>
          <w:szCs w:val="20"/>
          <w:color w:val="auto"/>
        </w:rPr>
      </w:pPr>
      <w:r>
        <w:rPr>
          <w:rFonts w:ascii="Times New Roman" w:cs="Times New Roman" w:eastAsia="Times New Roman" w:hAnsi="Times New Roman"/>
          <w:sz w:val="18"/>
          <w:szCs w:val="18"/>
          <w:color w:val="auto"/>
        </w:rPr>
        <w:t>The Federal Reserve Act requires that extensions of credit by the Bank to certain affiliates, including United, be secured by specific collateral, that the extension of credit to any one affiliate be limited to 10% of capital and surplus (as defined), and that extensions of credit to all such affiliates be limited to 20% of capital and surplus.</w:t>
      </w:r>
    </w:p>
    <w:p>
      <w:pPr>
        <w:spacing w:after="0" w:line="2" w:lineRule="exact"/>
        <w:rPr>
          <w:sz w:val="20"/>
          <w:szCs w:val="20"/>
          <w:color w:val="auto"/>
        </w:rPr>
      </w:pPr>
    </w:p>
    <w:p>
      <w:pPr>
        <w:ind w:left="500" w:right="80"/>
        <w:spacing w:after="0" w:line="254" w:lineRule="auto"/>
        <w:rPr>
          <w:sz w:val="20"/>
          <w:szCs w:val="20"/>
          <w:color w:val="auto"/>
        </w:rPr>
      </w:pPr>
      <w:r>
        <w:rPr>
          <w:rFonts w:ascii="Times New Roman" w:cs="Times New Roman" w:eastAsia="Times New Roman" w:hAnsi="Times New Roman"/>
          <w:sz w:val="18"/>
          <w:szCs w:val="18"/>
          <w:color w:val="auto"/>
        </w:rPr>
        <w:t>United and the Bank are parties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w:t>
      </w:r>
    </w:p>
    <w:p>
      <w:pPr>
        <w:spacing w:after="0" w:line="213" w:lineRule="exact"/>
        <w:rPr>
          <w:sz w:val="20"/>
          <w:szCs w:val="20"/>
          <w:color w:val="auto"/>
        </w:rPr>
      </w:pPr>
    </w:p>
    <w:p>
      <w:pPr>
        <w:ind w:left="500" w:right="180"/>
        <w:spacing w:after="0" w:line="261"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107" w:name="page108"/>
    <w:bookmarkEnd w:id="10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table summarizes, as of December 31, 2013 and 2012, the contract amount of off-balance sheet instruments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88" w:lineRule="exact"/>
        <w:rPr>
          <w:sz w:val="20"/>
          <w:szCs w:val="20"/>
          <w:color w:val="auto"/>
        </w:rPr>
      </w:pPr>
    </w:p>
    <w:tbl>
      <w:tblPr>
        <w:tblLayout w:type="fixed"/>
        <w:tblInd w:w="1132"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w:t>
            </w:r>
          </w:p>
        </w:tc>
        <w:tc>
          <w:tcPr>
            <w:tcW w:w="10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747,170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Letters of credit</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Minimum Lease Payments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w:t>
      </w:r>
    </w:p>
    <w:p>
      <w:pPr>
        <w:spacing w:after="0" w:line="27" w:lineRule="exact"/>
        <w:rPr>
          <w:sz w:val="20"/>
          <w:szCs w:val="20"/>
          <w:color w:val="auto"/>
        </w:rPr>
      </w:pPr>
    </w:p>
    <w:p>
      <w:pPr>
        <w:ind w:left="492" w:right="20"/>
        <w:spacing w:after="0" w:line="253" w:lineRule="auto"/>
        <w:rPr>
          <w:sz w:val="20"/>
          <w:szCs w:val="20"/>
          <w:color w:val="auto"/>
        </w:rPr>
      </w:pPr>
      <w:r>
        <w:rPr>
          <w:rFonts w:ascii="Times New Roman" w:cs="Times New Roman" w:eastAsia="Times New Roman" w:hAnsi="Times New Roman"/>
          <w:sz w:val="18"/>
          <w:szCs w:val="18"/>
          <w:color w:val="auto"/>
        </w:rPr>
        <w:t>contract. Commitments generally have fixed expiration dates or other termination clauses and may require payment of a fee. Since many of the commitments may expire without being drawn on, the total commitment amounts do not necessarily represent future cash requirements. United evaluates each customer’s creditworthiness on a case-by-case basis. The amount of collateral obtained, if deemed necessary, upon extension of credit is based on management’s credit evaluation. Collateral held varies, but may include unimproved and improved real estate, certificates of deposit, personal property or other acceptable collateral.</w:t>
      </w:r>
    </w:p>
    <w:p>
      <w:pPr>
        <w:spacing w:after="0" w:line="214" w:lineRule="exact"/>
        <w:rPr>
          <w:sz w:val="20"/>
          <w:szCs w:val="20"/>
          <w:color w:val="auto"/>
        </w:rPr>
      </w:pPr>
    </w:p>
    <w:p>
      <w:pPr>
        <w:ind w:left="492" w:right="80"/>
        <w:spacing w:after="0" w:line="258" w:lineRule="auto"/>
        <w:rPr>
          <w:sz w:val="20"/>
          <w:szCs w:val="20"/>
          <w:color w:val="auto"/>
        </w:rPr>
      </w:pPr>
      <w:r>
        <w:rPr>
          <w:rFonts w:ascii="Times New Roman" w:cs="Times New Roman" w:eastAsia="Times New Roman" w:hAnsi="Times New Roman"/>
          <w:sz w:val="18"/>
          <w:szCs w:val="18"/>
          <w:color w:val="auto"/>
        </w:rPr>
        <w:t>Letters of credit are conditional commitments issued by United and could result in the commitment being drawn on when the underlying transaction is consummated between the customer and the third party or upon the non-performance of the customer. Those guarantees are primarily issued to local businesses and government agencies. The credit risk involved in issuing letters of credit is essentially the same as that involved in extending loan facilities to customers. In most cases, the Bank holds real estate, certificates of deposit, and other acceptable collateral as security supporting those commitments for which collateral is deemed necessary. The extent of collateral held for those commitments varies.</w:t>
      </w:r>
    </w:p>
    <w:p>
      <w:pPr>
        <w:spacing w:after="0" w:line="211" w:lineRule="exact"/>
        <w:rPr>
          <w:sz w:val="20"/>
          <w:szCs w:val="20"/>
          <w:color w:val="auto"/>
        </w:rPr>
      </w:pPr>
    </w:p>
    <w:p>
      <w:pPr>
        <w:ind w:left="492" w:right="220"/>
        <w:spacing w:after="0" w:line="266" w:lineRule="auto"/>
        <w:rPr>
          <w:sz w:val="20"/>
          <w:szCs w:val="20"/>
          <w:color w:val="auto"/>
        </w:rPr>
      </w:pPr>
      <w:r>
        <w:rPr>
          <w:rFonts w:ascii="Times New Roman" w:cs="Times New Roman" w:eastAsia="Times New Roman" w:hAnsi="Times New Roman"/>
          <w:sz w:val="18"/>
          <w:szCs w:val="18"/>
          <w:color w:val="auto"/>
        </w:rPr>
        <w:t>United maintains an allowance for unfunded loan commitments which is included in the balance of other liabilities in the consolidated balance sheet. The allowance for unfunded loan commitments is determined as part of the quarterly analysis of the allowance for loan losses and is based on probable incurred losses in United’s unfunded loan commitments that are expected to result in funded loans.</w:t>
      </w:r>
    </w:p>
    <w:p>
      <w:pPr>
        <w:spacing w:after="0" w:line="203"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w:t>
      </w:r>
    </w:p>
    <w:p>
      <w:pPr>
        <w:spacing w:after="0" w:line="27" w:lineRule="exact"/>
        <w:rPr>
          <w:sz w:val="20"/>
          <w:szCs w:val="20"/>
          <w:color w:val="auto"/>
        </w:rPr>
      </w:pPr>
    </w:p>
    <w:p>
      <w:pPr>
        <w:ind w:left="492" w:right="80"/>
        <w:spacing w:after="0" w:line="255" w:lineRule="auto"/>
        <w:rPr>
          <w:sz w:val="20"/>
          <w:szCs w:val="20"/>
          <w:color w:val="auto"/>
        </w:rPr>
      </w:pPr>
      <w:r>
        <w:rPr>
          <w:rFonts w:ascii="Times New Roman" w:cs="Times New Roman" w:eastAsia="Times New Roman" w:hAnsi="Times New Roman"/>
          <w:sz w:val="18"/>
          <w:szCs w:val="18"/>
          <w:color w:val="auto"/>
        </w:rPr>
        <w:t>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13" w:lineRule="exact"/>
        <w:rPr>
          <w:sz w:val="20"/>
          <w:szCs w:val="20"/>
          <w:color w:val="auto"/>
        </w:rPr>
      </w:pPr>
    </w:p>
    <w:p>
      <w:pPr>
        <w:ind w:left="492"/>
        <w:spacing w:after="0" w:line="253" w:lineRule="auto"/>
        <w:rPr>
          <w:sz w:val="20"/>
          <w:szCs w:val="20"/>
          <w:color w:val="auto"/>
        </w:rPr>
      </w:pPr>
      <w:r>
        <w:rPr>
          <w:rFonts w:ascii="Times New Roman" w:cs="Times New Roman" w:eastAsia="Times New Roman" w:hAnsi="Times New Roman"/>
          <w:sz w:val="18"/>
          <w:szCs w:val="18"/>
          <w:color w:val="auto"/>
        </w:rPr>
        <w:t>In 2010, United granted warrants to Fletcher to purchase common stock equivalent junior preferred stock that would be convertible into 1,411,765 common shares, exercisable at a price equivalent to $21.25 per share. United has received purported partial warrant exercise notices from Fletcher with respect to its warrants that include incorrect calculations of the number of settlement shares Fletcher would receive upon exercise. On June 17, 2011, United completed a reclassification of its common stock in the form of 1-for-5 reverse stock split, or recombination. United believes that any current exercise of Fletcher’s warrants would not result in the issuance of any settlement shares because the warrants may only be exercised for net shares via a cashless exercise formula, and the reverse stock split-adjusted market price component of that formula does not exceed the exercise price to yield any net shares. Fletcher has also claimed that it is entitled to penalties under its contracts with United for a “registration failure” it claims occurred in</w:t>
      </w:r>
    </w:p>
    <w:p>
      <w:pPr>
        <w:spacing w:after="0" w:line="4" w:lineRule="exact"/>
        <w:rPr>
          <w:sz w:val="20"/>
          <w:szCs w:val="20"/>
          <w:color w:val="auto"/>
        </w:rPr>
      </w:pPr>
    </w:p>
    <w:p>
      <w:pPr>
        <w:ind w:left="492" w:right="160"/>
        <w:spacing w:after="0" w:line="254" w:lineRule="auto"/>
        <w:rPr>
          <w:sz w:val="20"/>
          <w:szCs w:val="20"/>
          <w:color w:val="auto"/>
        </w:rPr>
      </w:pPr>
      <w:r>
        <w:rPr>
          <w:rFonts w:ascii="Times New Roman" w:cs="Times New Roman" w:eastAsia="Times New Roman" w:hAnsi="Times New Roman"/>
          <w:sz w:val="18"/>
          <w:szCs w:val="18"/>
          <w:color w:val="auto"/>
        </w:rPr>
        <w:t>2012. United also believes that no registration failure penalty is due. As a result, United has responded to Fletcher with United’s calculations related to its warrants and denied any liability for any such penalty. United may consider repurchasing the warrants based on their fair value in connection with the resolution of any purported claims that Fletcher maintains. United has also established litigation reserves associated with claims that may be made against United by Fletcher.</w:t>
      </w: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7" w:right="239" w:bottom="1440" w:gutter="0" w:footer="0" w:header="0"/>
        </w:sectPr>
      </w:pPr>
    </w:p>
    <w:bookmarkStart w:id="108" w:name="page109"/>
    <w:bookmarkEnd w:id="108"/>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p>
    <w:p>
      <w:pPr>
        <w:spacing w:after="0" w:line="229" w:lineRule="exact"/>
        <w:rPr>
          <w:rFonts w:ascii="Times New Roman" w:cs="Times New Roman" w:eastAsia="Times New Roman" w:hAnsi="Times New Roman"/>
          <w:sz w:val="18"/>
          <w:szCs w:val="18"/>
          <w:b w:val="1"/>
          <w:bCs w:val="1"/>
          <w:color w:val="auto"/>
        </w:rPr>
      </w:pPr>
    </w:p>
    <w:p>
      <w:pPr>
        <w:ind w:left="492"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may issue preferred stock in one or more series, up to a maximum of 10,000,000 shares. Each series shall include the number of shares issued, preferences, special rights and limitations as determined by the Board of Directors.</w:t>
      </w:r>
    </w:p>
    <w:p>
      <w:pPr>
        <w:spacing w:after="0" w:line="188"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Series A</w:t>
      </w:r>
    </w:p>
    <w:p>
      <w:pPr>
        <w:spacing w:after="0" w:line="252" w:lineRule="exact"/>
        <w:rPr>
          <w:rFonts w:ascii="Times New Roman" w:cs="Times New Roman" w:eastAsia="Times New Roman" w:hAnsi="Times New Roman"/>
          <w:sz w:val="18"/>
          <w:szCs w:val="18"/>
          <w:b w:val="1"/>
          <w:bCs w:val="1"/>
          <w:color w:val="auto"/>
        </w:rPr>
      </w:pPr>
    </w:p>
    <w:p>
      <w:pPr>
        <w:ind w:left="492"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31, 2013, United redeemed 21,700 shares of its Series A Non-Cumulative Preferred Stock (the “Series A Preferred Stock”). The redemption price for shares of the Series A Preferred Stock was the stated value of $10 per share, plus any accrued and unpaid dividends that had been earned thereon through the redemption date. Following the redemption, there are no shares of United’s Series A Preferred Stock outstanding.</w:t>
      </w:r>
    </w:p>
    <w:p>
      <w:pPr>
        <w:spacing w:after="0" w:line="203"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Series B</w:t>
      </w:r>
    </w:p>
    <w:p>
      <w:pPr>
        <w:spacing w:after="0" w:line="252" w:lineRule="exact"/>
        <w:rPr>
          <w:rFonts w:ascii="Times New Roman" w:cs="Times New Roman" w:eastAsia="Times New Roman" w:hAnsi="Times New Roman"/>
          <w:sz w:val="18"/>
          <w:szCs w:val="18"/>
          <w:b w:val="1"/>
          <w:bCs w:val="1"/>
          <w:color w:val="auto"/>
        </w:rPr>
      </w:pPr>
    </w:p>
    <w:p>
      <w:pPr>
        <w:ind w:left="492" w:right="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5, 2008, United sold 180,000 shares of Fixed Rate Cumulative Perpetual Preferred Stock, Series B (the “Series B Preferred Stock”) and a warrant to purchase 219,909 shares of United’s common stock (as adjusted for subsequent stock dividends and a 50% reduction following United’s 2009 stock offering) to Treasury under Treasury’s Troubled Asset Relief Program Capital Purchase Program. The proceeds from the sale of $180 million were allocated between the Series B Preferred Stock and the warrant based on their relative fair values at the time of the sale. Of the $180 million in proceeds, $173 million was allocated to the Series B Preferred Stock and $6.9 million was allocated to the warrant. The accretion of the discount recorded on the Series B Preferred Stock that resulted from allocating a portion of the proceeds to the Warrant is accreted directly to retained earnings over a five-year period applying a level yield, and is reported on the consolidated statement of operations in the determination of the amount of net loss available to common shareholders. The exercise price of the Warrant is $61.40 (as adjusted for subsequent stock dividends) and is exercisable at any time on or before December 5, 2018. During the fourth quarter of 2013, United redeemed 75,000 shares of the Series B Preferred Stock and redeemed the remaining 105,000 shares in the first quarter of 2014.</w:t>
      </w:r>
    </w:p>
    <w:p>
      <w:pPr>
        <w:spacing w:after="0" w:line="213"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Series D</w:t>
      </w:r>
    </w:p>
    <w:p>
      <w:pPr>
        <w:spacing w:after="0" w:line="252" w:lineRule="exact"/>
        <w:rPr>
          <w:rFonts w:ascii="Times New Roman" w:cs="Times New Roman" w:eastAsia="Times New Roman" w:hAnsi="Times New Roman"/>
          <w:sz w:val="18"/>
          <w:szCs w:val="18"/>
          <w:b w:val="1"/>
          <w:bCs w:val="1"/>
          <w:color w:val="auto"/>
        </w:rPr>
      </w:pPr>
    </w:p>
    <w:p>
      <w:pPr>
        <w:ind w:left="492"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22, 2011, United entered into a Share Exchange Agreement with a third party who agreed to transfer United 1,551,126 shares of common stock in exchange for 16,613 shares of the company’s cumulative perpetual preferred stock, Series D (the “Series D Preferred Stock”), and warrants to purchase 1,551,126 shares of common stock with an exercise price of $12.50 per share. The warrants were exercised in the fourth quarter of 2013, resulting in an increase of $19.4 million to shareholders’ equity.</w:t>
      </w:r>
    </w:p>
    <w:p>
      <w:pPr>
        <w:spacing w:after="0" w:line="207" w:lineRule="exact"/>
        <w:rPr>
          <w:rFonts w:ascii="Times New Roman" w:cs="Times New Roman" w:eastAsia="Times New Roman" w:hAnsi="Times New Roman"/>
          <w:sz w:val="18"/>
          <w:szCs w:val="18"/>
          <w:b w:val="1"/>
          <w:bCs w:val="1"/>
          <w:color w:val="auto"/>
        </w:rPr>
      </w:pPr>
    </w:p>
    <w:p>
      <w:pPr>
        <w:ind w:left="492"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31, 2014, United delivered redemption notices to the holders of the Series D Preferred Stock in accordance with the optional redemption provisions of the Series D Preferred Stock notifying such holders of United’s intent to redeem all issued and outstanding shares of the Series D Preferred Stock on March 3, 2014.</w:t>
      </w:r>
    </w:p>
    <w:p>
      <w:pPr>
        <w:spacing w:after="0" w:line="199" w:lineRule="exact"/>
        <w:rPr>
          <w:rFonts w:ascii="Times New Roman" w:cs="Times New Roman" w:eastAsia="Times New Roman" w:hAnsi="Times New Roman"/>
          <w:sz w:val="18"/>
          <w:szCs w:val="18"/>
          <w:b w:val="1"/>
          <w:bCs w:val="1"/>
          <w:color w:val="auto"/>
        </w:rPr>
      </w:pPr>
    </w:p>
    <w:p>
      <w:pPr>
        <w:ind w:left="492" w:hanging="492"/>
        <w:spacing w:after="0"/>
        <w:tabs>
          <w:tab w:leader="none" w:pos="49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rFonts w:ascii="Times New Roman" w:cs="Times New Roman" w:eastAsia="Times New Roman" w:hAnsi="Times New Roman"/>
          <w:sz w:val="18"/>
          <w:szCs w:val="18"/>
          <w:b w:val="1"/>
          <w:bCs w:val="1"/>
          <w:color w:val="auto"/>
        </w:rPr>
      </w:pPr>
    </w:p>
    <w:p>
      <w:pPr>
        <w:ind w:left="49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2007, the shareholders approved the Amended and Restated 2000 Key Employee Stock Option Plan (“2000 Plan”). Under the original terms of the 2000 Plan, awards of 500,000 options, restricted stock awards, stock awards, performance share awards or stock appreciation rights could be granted for shares of United’s common stock. The plan has been subsequently amended to increase the number of shares available for grant. Options granted under the 2000 Plan can have an exercise price no less than the fair market value at the date of grant. The general terms of the 2000 Plan include a vesting period (usually four years) with an exercisable period not to exceed ten years. Certain option and restricted stock grants provide for accelerated vesting if there is a change in control of United or certain other conditions are met (as defined in the plan document). As of December 31, 2013, 552,000 additional awards could be granted under the 2000 Plan. Through December 31, 2013, incentive stock options, nonqualified stock options, restricted stock and restricted stock unit awards, base salary stock grants and performance share awards had been granted under the 2000 Plan.</w:t>
      </w:r>
    </w:p>
    <w:p>
      <w:pPr>
        <w:spacing w:after="0" w:line="212" w:lineRule="exact"/>
        <w:rPr>
          <w:rFonts w:ascii="Times New Roman" w:cs="Times New Roman" w:eastAsia="Times New Roman" w:hAnsi="Times New Roman"/>
          <w:sz w:val="18"/>
          <w:szCs w:val="18"/>
          <w:b w:val="1"/>
          <w:bCs w:val="1"/>
          <w:color w:val="auto"/>
        </w:rPr>
      </w:pPr>
    </w:p>
    <w:p>
      <w:pPr>
        <w:ind w:left="492" w:righ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acquired companies had stock option plans for their key employees with provisions similar to the 2000 Plan. Options under acquired plans were converted at the effective exchange ratio for shares of United’s common stock. No options are available for grant under any of the acquired plans.</w:t>
      </w: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14" w:right="2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continued</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and options outstanding and activity for the years ended December 31, 2013, 2012 and 2011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3"/>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7"/>
                <w:szCs w:val="17"/>
                <w:color w:val="auto"/>
              </w:rPr>
            </w:pPr>
          </w:p>
        </w:tc>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Term (Yrs.)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Value (000’s)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59.67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678,313</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410,051</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11.20</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(18,621)</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26.77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(104,666)</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76.87</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583,647</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94.48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200,612</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(114,673)</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(14,999)</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(101,119)</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78.98</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485,584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10.72</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482,528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97.73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876,583</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14.74</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15.09</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(195,366)</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13.16</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(93,125)</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8.78</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(136,756)</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94.37</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1,073,676</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350,772</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97.87</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Vested / Exercisable at December 31, 2013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22,462</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340,572</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100.40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240"/>
        <w:spacing w:after="0" w:line="261" w:lineRule="auto"/>
        <w:rPr>
          <w:sz w:val="20"/>
          <w:szCs w:val="20"/>
          <w:color w:val="auto"/>
        </w:rPr>
      </w:pPr>
      <w:r>
        <w:rPr>
          <w:rFonts w:ascii="Times New Roman" w:cs="Times New Roman" w:eastAsia="Times New Roman" w:hAnsi="Times New Roman"/>
          <w:sz w:val="18"/>
          <w:szCs w:val="18"/>
          <w:color w:val="auto"/>
        </w:rPr>
        <w:t>During 2013, 2012, and 2011 9,344 shares, 20,489 shares, and 10,140 shares, respectively, having a grant date fair value of $108,000, $172,000, and $86,000, respectively, were granted to certain executive officers over the course of the year as part of their base compensation with no restrictions or vesting requirement. Those shares are included in the table above as granted and exercised within the same year. The grant date fair value was included in compensation expense during 2013 and 2012.</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stock options outstanding at December 31, 2013: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20" w:type="dxa"/>
            <w:vAlign w:val="bottom"/>
            <w:gridSpan w:val="5"/>
          </w:tcPr>
          <w:p>
            <w:pPr>
              <w:jc w:val="right"/>
              <w:ind w:right="16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Options Exercisable</w:t>
            </w:r>
          </w:p>
        </w:tc>
      </w:tr>
      <w:tr>
        <w:trPr>
          <w:trHeight w:val="190"/>
        </w:trPr>
        <w:tc>
          <w:tcPr>
            <w:tcW w:w="1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6"/>
                <w:szCs w:val="16"/>
                <w:color w:val="auto"/>
              </w:rPr>
            </w:pPr>
          </w:p>
        </w:tc>
      </w:tr>
      <w:tr>
        <w:trPr>
          <w:trHeight w:val="181"/>
        </w:trPr>
        <w:tc>
          <w:tcPr>
            <w:tcW w:w="12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spacing w:after="0"/>
              <w:rPr>
                <w:sz w:val="15"/>
                <w:szCs w:val="15"/>
                <w:color w:val="auto"/>
              </w:rPr>
            </w:pPr>
          </w:p>
        </w:tc>
        <w:tc>
          <w:tcPr>
            <w:tcW w:w="1300" w:type="dxa"/>
            <w:vAlign w:val="bottom"/>
            <w:tcBorders>
              <w:bottom w:val="single" w:sz="8" w:color="auto"/>
            </w:tcBorders>
            <w:gridSpan w:val="2"/>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Range</w:t>
            </w:r>
          </w:p>
        </w:tc>
        <w:tc>
          <w:tcPr>
            <w:tcW w:w="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700" w:type="dxa"/>
            <w:vAlign w:val="bottom"/>
          </w:tcPr>
          <w:p>
            <w:pPr>
              <w:spacing w:after="0"/>
              <w:rPr>
                <w:sz w:val="15"/>
                <w:szCs w:val="15"/>
                <w:color w:val="auto"/>
              </w:rPr>
            </w:pPr>
          </w:p>
        </w:tc>
        <w:tc>
          <w:tcPr>
            <w:tcW w:w="13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Remaining Life</w:t>
            </w:r>
          </w:p>
        </w:tc>
        <w:tc>
          <w:tcPr>
            <w:tcW w:w="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0" w:type="dxa"/>
            <w:vAlign w:val="bottom"/>
          </w:tcPr>
          <w:p>
            <w:pPr>
              <w:spacing w:after="0"/>
              <w:rPr>
                <w:sz w:val="15"/>
                <w:szCs w:val="15"/>
                <w:color w:val="auto"/>
              </w:rPr>
            </w:pPr>
          </w:p>
        </w:tc>
      </w:tr>
      <w:tr>
        <w:trPr>
          <w:trHeight w:val="216"/>
        </w:trPr>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16,823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10.00 - 30.00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13.92</w:t>
            </w:r>
          </w:p>
        </w:tc>
        <w:tc>
          <w:tcPr>
            <w:tcW w:w="20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7.98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shd w:val="clear" w:color="auto" w:fill="CCEEFF"/>
          </w:tcPr>
          <w:p>
            <w:pPr>
              <w:spacing w:after="0"/>
              <w:rPr>
                <w:sz w:val="18"/>
                <w:szCs w:val="18"/>
                <w:color w:val="auto"/>
              </w:rPr>
            </w:pPr>
          </w:p>
        </w:tc>
      </w:tr>
      <w:tr>
        <w:trPr>
          <w:trHeight w:val="216"/>
        </w:trPr>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47,398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30.01 - 50.00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31.66</w:t>
            </w:r>
          </w:p>
        </w:tc>
        <w:tc>
          <w:tcPr>
            <w:tcW w:w="20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5.32</w:t>
            </w:r>
          </w:p>
        </w:tc>
        <w:tc>
          <w:tcPr>
            <w:tcW w:w="20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47,398</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2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75,561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50.01 - 70.00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66.31</w:t>
            </w:r>
          </w:p>
        </w:tc>
        <w:tc>
          <w:tcPr>
            <w:tcW w:w="20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4.27</w:t>
            </w:r>
          </w:p>
        </w:tc>
        <w:tc>
          <w:tcPr>
            <w:tcW w:w="204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75,561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20" w:type="dxa"/>
            <w:vAlign w:val="bottom"/>
            <w:shd w:val="clear" w:color="auto" w:fill="CCEEFF"/>
          </w:tcPr>
          <w:p>
            <w:pPr>
              <w:spacing w:after="0"/>
              <w:rPr>
                <w:sz w:val="18"/>
                <w:szCs w:val="18"/>
                <w:color w:val="auto"/>
              </w:rPr>
            </w:pPr>
          </w:p>
        </w:tc>
      </w:tr>
      <w:tr>
        <w:trPr>
          <w:trHeight w:val="216"/>
        </w:trPr>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2,595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70.01 - 90.00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77.22</w:t>
            </w:r>
          </w:p>
        </w:tc>
        <w:tc>
          <w:tcPr>
            <w:tcW w:w="20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2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29,781</w:t>
            </w:r>
          </w:p>
        </w:tc>
        <w:tc>
          <w:tcPr>
            <w:tcW w:w="20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90.01 - 110.00</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107.28</w:t>
            </w:r>
          </w:p>
        </w:tc>
        <w:tc>
          <w:tcPr>
            <w:tcW w:w="20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1.32</w:t>
            </w:r>
          </w:p>
        </w:tc>
        <w:tc>
          <w:tcPr>
            <w:tcW w:w="204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29,781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107.28</w:t>
            </w:r>
          </w:p>
        </w:tc>
      </w:tr>
      <w:tr>
        <w:trPr>
          <w:trHeight w:val="216"/>
        </w:trPr>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51,597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9"/>
              </w:rPr>
              <w:t>- 130.00</w:t>
            </w:r>
          </w:p>
        </w:tc>
        <w:tc>
          <w:tcPr>
            <w:tcW w:w="160" w:type="dxa"/>
            <w:vAlign w:val="bottom"/>
          </w:tcPr>
          <w:p>
            <w:pPr>
              <w:spacing w:after="0"/>
              <w:rPr>
                <w:sz w:val="18"/>
                <w:szCs w:val="18"/>
                <w:color w:val="auto"/>
              </w:rPr>
            </w:pP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114.19</w:t>
            </w:r>
          </w:p>
        </w:tc>
        <w:tc>
          <w:tcPr>
            <w:tcW w:w="20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0.75</w:t>
            </w:r>
          </w:p>
        </w:tc>
        <w:tc>
          <w:tcPr>
            <w:tcW w:w="20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51,597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2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121,614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- 150.00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143.69</w:t>
            </w:r>
          </w:p>
        </w:tc>
        <w:tc>
          <w:tcPr>
            <w:tcW w:w="20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2.82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143.69</w:t>
            </w:r>
          </w:p>
        </w:tc>
      </w:tr>
      <w:tr>
        <w:trPr>
          <w:trHeight w:val="223"/>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- 170.00</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152.10</w:t>
            </w:r>
          </w:p>
        </w:tc>
        <w:tc>
          <w:tcPr>
            <w:tcW w:w="20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152.10</w:t>
            </w:r>
          </w:p>
        </w:tc>
      </w:tr>
      <w:tr>
        <w:trPr>
          <w:trHeight w:val="257"/>
        </w:trPr>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350,772</w:t>
            </w:r>
          </w:p>
        </w:tc>
        <w:tc>
          <w:tcPr>
            <w:tcW w:w="7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9"/>
              </w:rPr>
              <w:t>- 170.00</w:t>
            </w:r>
          </w:p>
        </w:tc>
        <w:tc>
          <w:tcPr>
            <w:tcW w:w="16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97.87</w:t>
            </w:r>
          </w:p>
        </w:tc>
        <w:tc>
          <w:tcPr>
            <w:tcW w:w="20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340,572</w:t>
            </w:r>
          </w:p>
        </w:tc>
        <w:tc>
          <w:tcPr>
            <w:tcW w:w="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100.40</w:t>
            </w:r>
          </w:p>
        </w:tc>
      </w:tr>
    </w:tbl>
    <w:p>
      <w:pPr>
        <w:spacing w:after="0" w:line="225" w:lineRule="exact"/>
        <w:rPr>
          <w:sz w:val="20"/>
          <w:szCs w:val="20"/>
          <w:color w:val="auto"/>
        </w:rPr>
      </w:pPr>
    </w:p>
    <w:p>
      <w:pPr>
        <w:ind w:left="500" w:right="60"/>
        <w:spacing w:after="0" w:line="258" w:lineRule="auto"/>
        <w:rPr>
          <w:sz w:val="20"/>
          <w:szCs w:val="20"/>
          <w:color w:val="auto"/>
        </w:rPr>
      </w:pPr>
      <w:r>
        <w:rPr>
          <w:rFonts w:ascii="Times New Roman" w:cs="Times New Roman" w:eastAsia="Times New Roman" w:hAnsi="Times New Roman"/>
          <w:sz w:val="18"/>
          <w:szCs w:val="18"/>
          <w:color w:val="auto"/>
        </w:rPr>
        <w:t>The weighted average fair value of options granted in 2013 and 2011 was $5.10 and $3.64 respectively. No options were granted in 2012. The fair value of each option granted was estimated on the date of grant using the Black-Scholes model. The decrease in United’s stock price through 2010 has rendered most of its outstanding options severely out of the money and potentially worthless to the grantee. Therefore historical exercise patterns do not provide a reasonable basis for determining the expected life of new option grants. United therefore uses the formula provided by the SEC in Staff Accounting Bulletin No 107 to determine the expected life of the options.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10" w:name="page111"/>
    <w:bookmarkEnd w:id="110"/>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continued</w:t>
      </w:r>
    </w:p>
    <w:p>
      <w:pPr>
        <w:spacing w:after="0" w:line="229"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 average assumptions used to determine the fair value of options are presented in the table below:</w:t>
      </w:r>
    </w:p>
    <w:p>
      <w:pPr>
        <w:spacing w:after="0" w:line="259" w:lineRule="exact"/>
        <w:rPr>
          <w:sz w:val="20"/>
          <w:szCs w:val="20"/>
          <w:color w:val="auto"/>
        </w:rPr>
      </w:pPr>
    </w:p>
    <w:tbl>
      <w:tblPr>
        <w:tblLayout w:type="fixed"/>
        <w:tblInd w:w="1132"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6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Pr>
          <w:p>
            <w:pPr>
              <w:spacing w:after="0"/>
              <w:rPr>
                <w:sz w:val="15"/>
                <w:szCs w:val="15"/>
                <w:color w:val="auto"/>
              </w:rPr>
            </w:pP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2011</w:t>
            </w:r>
          </w:p>
        </w:tc>
        <w:tc>
          <w:tcPr>
            <w:tcW w:w="2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NA</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NA</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NA</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6" w:lineRule="exact"/>
        <w:rPr>
          <w:sz w:val="20"/>
          <w:szCs w:val="20"/>
          <w:color w:val="auto"/>
        </w:rPr>
      </w:pPr>
    </w:p>
    <w:p>
      <w:pPr>
        <w:ind w:left="492" w:right="80"/>
        <w:spacing w:after="0" w:line="255" w:lineRule="auto"/>
        <w:rPr>
          <w:sz w:val="20"/>
          <w:szCs w:val="20"/>
          <w:color w:val="auto"/>
        </w:rPr>
      </w:pPr>
      <w:r>
        <w:rPr>
          <w:rFonts w:ascii="Times New Roman" w:cs="Times New Roman" w:eastAsia="Times New Roman" w:hAnsi="Times New Roman"/>
          <w:sz w:val="18"/>
          <w:szCs w:val="18"/>
          <w:color w:val="auto"/>
        </w:rPr>
        <w:t>Compensation expense relating to options of $256,000 and $835,000, respectively, was included in earnings for 2012 and 2011. For 2013, United recognized a credit to compensation expense of $51,000 due to forfeitures of unvested options which exceeded option expense for that year. A deferred income tax benefit related to stock option expense of $99,000 and $325,000 was included in the determination of income tax expense in 2012 and 2011, respectively. For 2013, United reversed previously recognized deferred taxes of $20,000 related to the forfeited options. The amount of compensation expense for all periods was determined based on the fair value of options at the time of grant, multiplied by the number of options granted that were expected to vest, which was then amortized over the vesting period. The forfeiture rate for options is estimated to be approximately 3% per year. There were no options exercised during 2013, 2012 and 2011.</w:t>
      </w:r>
    </w:p>
    <w:p>
      <w:pPr>
        <w:spacing w:after="0" w:line="216" w:lineRule="exact"/>
        <w:rPr>
          <w:sz w:val="20"/>
          <w:szCs w:val="20"/>
          <w:color w:val="auto"/>
        </w:rPr>
      </w:pPr>
    </w:p>
    <w:p>
      <w:pPr>
        <w:ind w:left="492" w:right="180"/>
        <w:spacing w:after="0" w:line="261" w:lineRule="auto"/>
        <w:rPr>
          <w:sz w:val="20"/>
          <w:szCs w:val="20"/>
          <w:color w:val="auto"/>
        </w:rPr>
      </w:pPr>
      <w:r>
        <w:rPr>
          <w:rFonts w:ascii="Times New Roman" w:cs="Times New Roman" w:eastAsia="Times New Roman" w:hAnsi="Times New Roman"/>
          <w:sz w:val="18"/>
          <w:szCs w:val="18"/>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Compensation expense recognized in the consolidated statement of operations for restricted stock in 2013, 2012 and 2011 was $2.85 million, $1.66 million and $1.25 million, respectively. The total intrinsic value of restricted stock at December 31, 2013 was approximately $19.1 million.</w:t>
      </w:r>
    </w:p>
    <w:p>
      <w:pPr>
        <w:spacing w:after="0" w:line="207" w:lineRule="exact"/>
        <w:rPr>
          <w:sz w:val="20"/>
          <w:szCs w:val="20"/>
          <w:color w:val="auto"/>
        </w:rPr>
      </w:pPr>
    </w:p>
    <w:p>
      <w:pPr>
        <w:ind w:left="492" w:right="160"/>
        <w:spacing w:after="0" w:line="266" w:lineRule="auto"/>
        <w:rPr>
          <w:sz w:val="20"/>
          <w:szCs w:val="20"/>
          <w:color w:val="auto"/>
        </w:rPr>
      </w:pPr>
      <w:r>
        <w:rPr>
          <w:rFonts w:ascii="Times New Roman" w:cs="Times New Roman" w:eastAsia="Times New Roman" w:hAnsi="Times New Roman"/>
          <w:sz w:val="18"/>
          <w:szCs w:val="18"/>
          <w:color w:val="auto"/>
        </w:rPr>
        <w:t>As of December 31, 2013, there was $12.2 million of unrecognized compensation cost related to nonvested stock options and restricted stock granted under the 2000 Plan. The cost is expected to be recognized over a weighted-average period of 3.55 years. The aggregate grant date fair value of options and restricted stock that vested during 2013 was $2.43 million.</w:t>
      </w:r>
    </w:p>
    <w:p>
      <w:pPr>
        <w:spacing w:after="0" w:line="203" w:lineRule="exact"/>
        <w:rPr>
          <w:sz w:val="20"/>
          <w:szCs w:val="20"/>
          <w:color w:val="auto"/>
        </w:rPr>
      </w:pPr>
    </w:p>
    <w:p>
      <w:pPr>
        <w:ind w:left="492" w:right="60"/>
        <w:spacing w:after="0" w:line="261" w:lineRule="auto"/>
        <w:rPr>
          <w:sz w:val="20"/>
          <w:szCs w:val="20"/>
          <w:color w:val="auto"/>
        </w:rPr>
      </w:pPr>
      <w:r>
        <w:rPr>
          <w:rFonts w:ascii="Times New Roman" w:cs="Times New Roman" w:eastAsia="Times New Roman" w:hAnsi="Times New Roman"/>
          <w:sz w:val="18"/>
          <w:szCs w:val="18"/>
          <w:color w:val="auto"/>
        </w:rPr>
        <w:t>United sponsors a Dividend Reinvestment and Stock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The DRIP is currently suspended and no shares were issued in 2013 or 2012. During 2011, 538 shares were issued in connection with the DRIP.</w:t>
      </w:r>
    </w:p>
    <w:p>
      <w:pPr>
        <w:spacing w:after="0" w:line="207" w:lineRule="exact"/>
        <w:rPr>
          <w:sz w:val="20"/>
          <w:szCs w:val="20"/>
          <w:color w:val="auto"/>
        </w:rPr>
      </w:pPr>
    </w:p>
    <w:p>
      <w:pPr>
        <w:ind w:left="492" w:right="220"/>
        <w:spacing w:after="0" w:line="258" w:lineRule="auto"/>
        <w:rPr>
          <w:sz w:val="20"/>
          <w:szCs w:val="20"/>
          <w:color w:val="auto"/>
        </w:rPr>
      </w:pPr>
      <w:r>
        <w:rPr>
          <w:rFonts w:ascii="Times New Roman" w:cs="Times New Roman" w:eastAsia="Times New Roman" w:hAnsi="Times New Roman"/>
          <w:sz w:val="18"/>
          <w:szCs w:val="18"/>
          <w:color w:val="auto"/>
        </w:rPr>
        <w:t>United’s 401(k) Plan regularly purchases shares of United’s common stock directly from United. During 2013, 2012 and 2011, United’s 401(k) Plan purchased 48,996 shares, 86,350 shares and 372,363 shares, respectively, directly from United at the average of the high and low stock prices on the transaction dates. In addition, United has an Employee Stock Purchase Program (“ESPP”) that allows eligible employees to purchase shares of common stock at a 5% discount, with no commission charges. During 2013, 2012 and 2011 United issued 13,982 shares, 23,555 shares and 31,573 shares, respectively through the ESPP.</w:t>
      </w:r>
    </w:p>
    <w:p>
      <w:pPr>
        <w:spacing w:after="0" w:line="211" w:lineRule="exact"/>
        <w:rPr>
          <w:sz w:val="20"/>
          <w:szCs w:val="20"/>
          <w:color w:val="auto"/>
        </w:rPr>
      </w:pPr>
    </w:p>
    <w:p>
      <w:pPr>
        <w:ind w:left="492"/>
        <w:spacing w:after="0" w:line="258" w:lineRule="auto"/>
        <w:rPr>
          <w:sz w:val="20"/>
          <w:szCs w:val="20"/>
          <w:color w:val="auto"/>
        </w:rPr>
      </w:pPr>
      <w:r>
        <w:rPr>
          <w:rFonts w:ascii="Times New Roman" w:cs="Times New Roman" w:eastAsia="Times New Roman" w:hAnsi="Times New Roman"/>
          <w:sz w:val="18"/>
          <w:szCs w:val="18"/>
          <w:color w:val="auto"/>
        </w:rPr>
        <w:t>United offers its common stock as an investment option in its deferred compensation plan. The common stock component is accounted for as an equity instrument and is reflected in the consolidated balance sheet as common stock issuable. The deferred compensation plan does not allow for diversification once an election is made to invest in United stock and settlement must be accomplished in shares at the time the deferral period is completed. At December 31, 2013 and 2012, United had 241,832 and 133,238 shares, respectively, of its common stock that was issuable under the deferred compensation plan.</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14" w:right="239" w:bottom="1440" w:gutter="0" w:footer="0" w:header="0"/>
        </w:sectPr>
      </w:pPr>
    </w:p>
    <w:bookmarkStart w:id="111" w:name="page112"/>
    <w:bookmarkEnd w:id="11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9" w:lineRule="exact"/>
        <w:rPr>
          <w:rFonts w:ascii="Times New Roman" w:cs="Times New Roman" w:eastAsia="Times New Roman" w:hAnsi="Times New Roman"/>
          <w:sz w:val="18"/>
          <w:szCs w:val="18"/>
          <w:b w:val="1"/>
          <w:bCs w:val="1"/>
          <w:color w:val="auto"/>
        </w:rPr>
      </w:pPr>
    </w:p>
    <w:p>
      <w:pPr>
        <w:ind w:left="492" w:right="2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Fair value measurements are determined based on the assumptions that market participants would use in pricing the asset or liability. As a basis for considering market participant assumptions in fair value measurements, the Financial Accounting Standards Board’s Accounting Standards Codification Topic 820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210"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Hierarchy</w:t>
      </w:r>
    </w:p>
    <w:p>
      <w:pPr>
        <w:spacing w:after="0" w:line="254" w:lineRule="exact"/>
        <w:rPr>
          <w:sz w:val="20"/>
          <w:szCs w:val="20"/>
          <w:color w:val="auto"/>
        </w:rPr>
      </w:pPr>
    </w:p>
    <w:p>
      <w:pPr>
        <w:ind w:left="1132"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w:t>
      </w:r>
    </w:p>
    <w:p>
      <w:pPr>
        <w:spacing w:after="0" w:line="185" w:lineRule="exact"/>
        <w:rPr>
          <w:sz w:val="20"/>
          <w:szCs w:val="20"/>
          <w:color w:val="auto"/>
        </w:rPr>
      </w:pPr>
    </w:p>
    <w:p>
      <w:pPr>
        <w:ind w:left="11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 (other than quoted prices), such as interest rates, foreign exchange rates, and yield curves that are observable at commonly quoted intervals.</w:t>
      </w:r>
    </w:p>
    <w:p>
      <w:pPr>
        <w:spacing w:after="0" w:line="201" w:lineRule="exact"/>
        <w:rPr>
          <w:sz w:val="20"/>
          <w:szCs w:val="20"/>
          <w:color w:val="auto"/>
        </w:rPr>
      </w:pPr>
    </w:p>
    <w:p>
      <w:pPr>
        <w:ind w:left="1132"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212"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48"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Available-for-Sale</w:t>
      </w:r>
    </w:p>
    <w:p>
      <w:pPr>
        <w:spacing w:after="0" w:line="229" w:lineRule="exact"/>
        <w:rPr>
          <w:sz w:val="20"/>
          <w:szCs w:val="20"/>
          <w:color w:val="auto"/>
        </w:rPr>
      </w:pPr>
    </w:p>
    <w:p>
      <w:pPr>
        <w:ind w:left="492"/>
        <w:spacing w:after="0" w:line="254"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w:t>
      </w:r>
    </w:p>
    <w:p>
      <w:pPr>
        <w:spacing w:after="0" w:line="212"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b w:val="1"/>
          <w:bCs w:val="1"/>
          <w:u w:val="single" w:color="auto"/>
          <w:color w:val="auto"/>
        </w:rPr>
        <w:t>Deferred Compensation Plan Assets and Liabilities</w:t>
      </w:r>
    </w:p>
    <w:p>
      <w:pPr>
        <w:spacing w:after="0" w:line="229" w:lineRule="exact"/>
        <w:rPr>
          <w:sz w:val="20"/>
          <w:szCs w:val="20"/>
          <w:color w:val="auto"/>
        </w:rPr>
      </w:pPr>
    </w:p>
    <w:p>
      <w:pPr>
        <w:jc w:val="both"/>
        <w:ind w:left="492" w:right="40"/>
        <w:spacing w:after="0" w:line="266" w:lineRule="auto"/>
        <w:rPr>
          <w:sz w:val="20"/>
          <w:szCs w:val="20"/>
          <w:color w:val="auto"/>
        </w:rPr>
      </w:pPr>
      <w:r>
        <w:rPr>
          <w:rFonts w:ascii="Times New Roman" w:cs="Times New Roman" w:eastAsia="Times New Roman" w:hAnsi="Times New Roman"/>
          <w:sz w:val="18"/>
          <w:szCs w:val="18"/>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9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b w:val="1"/>
          <w:bCs w:val="1"/>
          <w:u w:val="single" w:color="auto"/>
          <w:color w:val="auto"/>
        </w:rPr>
        <w:t>Mortgage Loans Held for Sale</w:t>
      </w:r>
    </w:p>
    <w:p>
      <w:pPr>
        <w:spacing w:after="0" w:line="229" w:lineRule="exact"/>
        <w:rPr>
          <w:sz w:val="20"/>
          <w:szCs w:val="20"/>
          <w:color w:val="auto"/>
        </w:rPr>
      </w:pPr>
    </w:p>
    <w:p>
      <w:pPr>
        <w:jc w:val="both"/>
        <w:ind w:left="492" w:right="60"/>
        <w:spacing w:after="0" w:line="282" w:lineRule="auto"/>
        <w:rPr>
          <w:sz w:val="20"/>
          <w:szCs w:val="20"/>
          <w:color w:val="auto"/>
        </w:rPr>
      </w:pPr>
      <w:r>
        <w:rPr>
          <w:rFonts w:ascii="Times New Roman" w:cs="Times New Roman" w:eastAsia="Times New Roman" w:hAnsi="Times New Roman"/>
          <w:sz w:val="18"/>
          <w:szCs w:val="18"/>
          <w:color w:val="auto"/>
        </w:rPr>
        <w:t>Mortgage loans held for sale are carried at the lower of cost or market value. The fair value of mortgage loans held for sale is based on what secondary markets are currently offering for portfolios with similar characteristics.</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7" w:right="239" w:bottom="1440" w:gutter="0" w:footer="0" w:header="0"/>
        </w:sectPr>
      </w:pPr>
    </w:p>
    <w:bookmarkStart w:id="112" w:name="page113"/>
    <w:bookmarkEnd w:id="112"/>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right="6580" w:hanging="492"/>
        <w:spacing w:after="0" w:line="503" w:lineRule="auto"/>
        <w:tabs>
          <w:tab w:leader="none" w:pos="49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Assets and Liabilities Measured at Fair Value, continued </w:t>
      </w:r>
      <w:r>
        <w:rPr>
          <w:rFonts w:ascii="Times New Roman" w:cs="Times New Roman" w:eastAsia="Times New Roman" w:hAnsi="Times New Roman"/>
          <w:sz w:val="18"/>
          <w:szCs w:val="18"/>
          <w:b w:val="1"/>
          <w:bCs w:val="1"/>
          <w:u w:val="single" w:color="auto"/>
          <w:color w:val="auto"/>
        </w:rPr>
        <w:t>Loans</w:t>
      </w:r>
    </w:p>
    <w:p>
      <w:pPr>
        <w:ind w:left="492"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15"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Foreclosed Assets</w:t>
      </w:r>
    </w:p>
    <w:p>
      <w:pPr>
        <w:spacing w:after="0" w:line="229" w:lineRule="exact"/>
        <w:rPr>
          <w:rFonts w:ascii="Times New Roman" w:cs="Times New Roman" w:eastAsia="Times New Roman" w:hAnsi="Times New Roman"/>
          <w:sz w:val="18"/>
          <w:szCs w:val="18"/>
          <w:b w:val="1"/>
          <w:bCs w:val="1"/>
          <w:color w:val="auto"/>
        </w:rPr>
      </w:pPr>
    </w:p>
    <w:p>
      <w:pPr>
        <w:ind w:left="492" w:right="1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210"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Financial Instruments</w:t>
      </w:r>
    </w:p>
    <w:p>
      <w:pPr>
        <w:spacing w:after="0" w:line="229" w:lineRule="exact"/>
        <w:rPr>
          <w:rFonts w:ascii="Times New Roman" w:cs="Times New Roman" w:eastAsia="Times New Roman" w:hAnsi="Times New Roman"/>
          <w:sz w:val="18"/>
          <w:szCs w:val="18"/>
          <w:b w:val="1"/>
          <w:bCs w:val="1"/>
          <w:color w:val="auto"/>
        </w:rPr>
      </w:pPr>
    </w:p>
    <w:p>
      <w:pPr>
        <w:ind w:left="492"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214" w:lineRule="exact"/>
        <w:rPr>
          <w:rFonts w:ascii="Times New Roman" w:cs="Times New Roman" w:eastAsia="Times New Roman" w:hAnsi="Times New Roman"/>
          <w:sz w:val="18"/>
          <w:szCs w:val="18"/>
          <w:b w:val="1"/>
          <w:bCs w:val="1"/>
          <w:color w:val="auto"/>
        </w:rPr>
      </w:pPr>
    </w:p>
    <w:p>
      <w:pPr>
        <w:ind w:left="492"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216" w:lineRule="exact"/>
        <w:rPr>
          <w:rFonts w:ascii="Times New Roman" w:cs="Times New Roman" w:eastAsia="Times New Roman" w:hAnsi="Times New Roman"/>
          <w:sz w:val="18"/>
          <w:szCs w:val="18"/>
          <w:b w:val="1"/>
          <w:bCs w:val="1"/>
          <w:color w:val="auto"/>
        </w:rPr>
      </w:pPr>
    </w:p>
    <w:p>
      <w:pPr>
        <w:ind w:left="49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2013, United had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14" w:right="2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Measured at Fair Value, continued</w:t>
      </w:r>
    </w:p>
    <w:p>
      <w:pPr>
        <w:spacing w:after="0" w:line="225"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229" w:lineRule="exact"/>
        <w:rPr>
          <w:rFonts w:ascii="Times New Roman" w:cs="Times New Roman" w:eastAsia="Times New Roman" w:hAnsi="Times New Roman"/>
          <w:sz w:val="18"/>
          <w:szCs w:val="18"/>
          <w:b w:val="1"/>
          <w:bCs w:val="1"/>
          <w:color w:val="auto"/>
        </w:rPr>
      </w:pPr>
    </w:p>
    <w:p>
      <w:pPr>
        <w:ind w:left="50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table below presents United’s assets and liabilities measured at fair value on a recurring basis as of December 31, 2013 and 2012, aggregated by the level in the fair value hierarchy within which those measurements fall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0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23,242</w:t>
            </w: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1,145,347</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1,145,347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249,946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250,296</w:t>
            </w: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Asset-backed securities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410,633</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410,633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23,833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23,833</w:t>
            </w: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00" w:type="dxa"/>
            <w:vAlign w:val="bottom"/>
            <w:tcBorders>
              <w:left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1,855,700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1,859,546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2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Brokered certificates of deposit</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173,657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173,657</w:t>
            </w: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46,233</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219,890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223,386</w:t>
            </w:r>
          </w:p>
        </w:tc>
        <w:tc>
          <w:tcPr>
            <w:tcW w:w="110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0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1,428,502</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1,428,502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163,312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163,662</w:t>
            </w: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Asset-backed securities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210,556</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00" w:type="dxa"/>
            <w:vAlign w:val="bottom"/>
            <w:tcBorders>
              <w:left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1,834,901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1,838,352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2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Brokered certificates of deposit</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154,641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154,641</w:t>
            </w:r>
          </w:p>
        </w:tc>
        <w:tc>
          <w:tcPr>
            <w:tcW w:w="1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12,543</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167,184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170,285</w:t>
            </w:r>
          </w:p>
        </w:tc>
        <w:tc>
          <w:tcPr>
            <w:tcW w:w="110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1300" w:type="dxa"/>
            <w:vAlign w:val="bottom"/>
            <w:tcBorders>
              <w:top w:val="single" w:sz="8" w:color="CCEEFF"/>
              <w:bottom w:val="single" w:sz="8" w:color="DCDCDC"/>
            </w:tcBorders>
          </w:tcPr>
          <w:p>
            <w:pPr>
              <w:spacing w:after="0"/>
              <w:rPr>
                <w:sz w:val="24"/>
                <w:szCs w:val="24"/>
                <w:color w:val="auto"/>
              </w:rPr>
            </w:pPr>
          </w:p>
        </w:tc>
        <w:tc>
          <w:tcPr>
            <w:tcW w:w="3080" w:type="dxa"/>
            <w:vAlign w:val="bottom"/>
            <w:tcBorders>
              <w:top w:val="single" w:sz="8" w:color="CCEEFF"/>
              <w:bottom w:val="single" w:sz="8" w:color="DCDCDC"/>
            </w:tcBorders>
          </w:tcPr>
          <w:p>
            <w:pPr>
              <w:spacing w:after="0"/>
              <w:rPr>
                <w:sz w:val="24"/>
                <w:szCs w:val="24"/>
                <w:color w:val="auto"/>
              </w:rPr>
            </w:pPr>
          </w:p>
        </w:tc>
        <w:tc>
          <w:tcPr>
            <w:tcW w:w="2280" w:type="dxa"/>
            <w:vAlign w:val="bottom"/>
            <w:tcBorders>
              <w:top w:val="single" w:sz="8" w:color="CCEEFF"/>
              <w:bottom w:val="single" w:sz="8" w:color="DCDCDC"/>
            </w:tcBorders>
          </w:tcPr>
          <w:p>
            <w:pPr>
              <w:jc w:val="right"/>
              <w:ind w:right="75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top w:val="single" w:sz="8" w:color="auto"/>
              <w:bottom w:val="single" w:sz="8" w:color="DCDCDC"/>
            </w:tcBorders>
          </w:tcPr>
          <w:p>
            <w:pPr>
              <w:spacing w:after="0"/>
              <w:rPr>
                <w:sz w:val="24"/>
                <w:szCs w:val="24"/>
                <w:color w:val="auto"/>
              </w:rPr>
            </w:pPr>
          </w:p>
        </w:tc>
        <w:tc>
          <w:tcPr>
            <w:tcW w:w="600" w:type="dxa"/>
            <w:vAlign w:val="bottom"/>
            <w:tcBorders>
              <w:top w:val="single" w:sz="8" w:color="auto"/>
              <w:bottom w:val="single" w:sz="8" w:color="DCDCDC"/>
            </w:tcBorders>
          </w:tcPr>
          <w:p>
            <w:pPr>
              <w:spacing w:after="0"/>
              <w:rPr>
                <w:sz w:val="24"/>
                <w:szCs w:val="24"/>
                <w:color w:val="auto"/>
              </w:rPr>
            </w:pPr>
          </w:p>
        </w:tc>
        <w:tc>
          <w:tcPr>
            <w:tcW w:w="180" w:type="dxa"/>
            <w:vAlign w:val="bottom"/>
            <w:tcBorders>
              <w:top w:val="single" w:sz="8" w:color="CCEEFF"/>
              <w:bottom w:val="single" w:sz="8" w:color="DCDCDC"/>
            </w:tcBorders>
          </w:tcPr>
          <w:p>
            <w:pPr>
              <w:spacing w:after="0"/>
              <w:rPr>
                <w:sz w:val="24"/>
                <w:szCs w:val="24"/>
                <w:color w:val="auto"/>
              </w:rPr>
            </w:pPr>
          </w:p>
        </w:tc>
        <w:tc>
          <w:tcPr>
            <w:tcW w:w="100" w:type="dxa"/>
            <w:vAlign w:val="bottom"/>
            <w:tcBorders>
              <w:top w:val="single" w:sz="8" w:color="auto"/>
              <w:bottom w:val="single" w:sz="8" w:color="DCDCDC"/>
            </w:tcBorders>
          </w:tcPr>
          <w:p>
            <w:pPr>
              <w:spacing w:after="0"/>
              <w:rPr>
                <w:sz w:val="24"/>
                <w:szCs w:val="24"/>
                <w:color w:val="auto"/>
              </w:rPr>
            </w:pPr>
          </w:p>
        </w:tc>
        <w:tc>
          <w:tcPr>
            <w:tcW w:w="720" w:type="dxa"/>
            <w:vAlign w:val="bottom"/>
            <w:tcBorders>
              <w:top w:val="single" w:sz="8" w:color="auto"/>
              <w:bottom w:val="single" w:sz="8" w:color="DCDCDC"/>
            </w:tcBorders>
          </w:tcPr>
          <w:p>
            <w:pPr>
              <w:spacing w:after="0"/>
              <w:rPr>
                <w:sz w:val="24"/>
                <w:szCs w:val="24"/>
                <w:color w:val="auto"/>
              </w:rPr>
            </w:pPr>
          </w:p>
        </w:tc>
        <w:tc>
          <w:tcPr>
            <w:tcW w:w="200" w:type="dxa"/>
            <w:vAlign w:val="bottom"/>
            <w:tcBorders>
              <w:top w:val="single" w:sz="8" w:color="CCEE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600" w:type="dxa"/>
            <w:vAlign w:val="bottom"/>
            <w:tcBorders>
              <w:top w:val="single" w:sz="8" w:color="auto"/>
              <w:bottom w:val="single" w:sz="8" w:color="DCDCDC"/>
            </w:tcBorders>
          </w:tcPr>
          <w:p>
            <w:pPr>
              <w:spacing w:after="0"/>
              <w:rPr>
                <w:sz w:val="24"/>
                <w:szCs w:val="24"/>
                <w:color w:val="auto"/>
              </w:rPr>
            </w:pPr>
          </w:p>
        </w:tc>
        <w:tc>
          <w:tcPr>
            <w:tcW w:w="80" w:type="dxa"/>
            <w:vAlign w:val="bottom"/>
            <w:tcBorders>
              <w:top w:val="single" w:sz="8" w:color="CCEEFF"/>
              <w:bottom w:val="single" w:sz="8" w:color="DCDCDC"/>
            </w:tcBorders>
          </w:tcPr>
          <w:p>
            <w:pPr>
              <w:spacing w:after="0"/>
              <w:rPr>
                <w:sz w:val="24"/>
                <w:szCs w:val="24"/>
                <w:color w:val="auto"/>
              </w:rPr>
            </w:pPr>
          </w:p>
        </w:tc>
        <w:tc>
          <w:tcPr>
            <w:tcW w:w="100" w:type="dxa"/>
            <w:vAlign w:val="bottom"/>
            <w:tcBorders>
              <w:top w:val="single" w:sz="8" w:color="CCEEFF"/>
              <w:bottom w:val="single" w:sz="8" w:color="DCDCDC"/>
            </w:tcBorders>
          </w:tcPr>
          <w:p>
            <w:pPr>
              <w:spacing w:after="0"/>
              <w:rPr>
                <w:sz w:val="24"/>
                <w:szCs w:val="24"/>
                <w:color w:val="auto"/>
              </w:rPr>
            </w:pPr>
          </w:p>
        </w:tc>
        <w:tc>
          <w:tcPr>
            <w:tcW w:w="100" w:type="dxa"/>
            <w:vAlign w:val="bottom"/>
            <w:tcBorders>
              <w:top w:val="single" w:sz="8" w:color="auto"/>
              <w:bottom w:val="single" w:sz="8" w:color="DCDCDC"/>
            </w:tcBorders>
          </w:tcPr>
          <w:p>
            <w:pPr>
              <w:spacing w:after="0"/>
              <w:rPr>
                <w:sz w:val="24"/>
                <w:szCs w:val="24"/>
                <w:color w:val="auto"/>
              </w:rPr>
            </w:pPr>
          </w:p>
        </w:tc>
        <w:tc>
          <w:tcPr>
            <w:tcW w:w="720" w:type="dxa"/>
            <w:vAlign w:val="bottom"/>
            <w:tcBorders>
              <w:top w:val="single" w:sz="8" w:color="auto"/>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1440" w:gutter="0" w:footer="0" w:header="0"/>
        </w:sectPr>
      </w:pPr>
    </w:p>
    <w:bookmarkStart w:id="114" w:name="page115"/>
    <w:bookmarkEnd w:id="11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Measured at Fair Value, continued</w:t>
      </w:r>
    </w:p>
    <w:p>
      <w:pPr>
        <w:spacing w:after="0" w:line="225" w:lineRule="exact"/>
        <w:rPr>
          <w:rFonts w:ascii="Times New Roman" w:cs="Times New Roman" w:eastAsia="Times New Roman" w:hAnsi="Times New Roman"/>
          <w:sz w:val="18"/>
          <w:szCs w:val="18"/>
          <w:b w:val="1"/>
          <w:bCs w:val="1"/>
          <w:color w:val="auto"/>
        </w:rPr>
      </w:pPr>
    </w:p>
    <w:p>
      <w:pPr>
        <w:ind w:left="4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 continued</w:t>
      </w:r>
    </w:p>
    <w:p>
      <w:pPr>
        <w:spacing w:after="0" w:line="229" w:lineRule="exact"/>
        <w:rPr>
          <w:rFonts w:ascii="Times New Roman" w:cs="Times New Roman" w:eastAsia="Times New Roman" w:hAnsi="Times New Roman"/>
          <w:sz w:val="18"/>
          <w:szCs w:val="18"/>
          <w:b w:val="1"/>
          <w:bCs w:val="1"/>
          <w:color w:val="auto"/>
        </w:rPr>
      </w:pPr>
    </w:p>
    <w:p>
      <w:pPr>
        <w:ind w:left="492"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572" w:type="dxa"/>
        <w:tblCellMar>
          <w:top w:w="0" w:type="dxa"/>
          <w:left w:w="0" w:type="dxa"/>
          <w:bottom w:w="0" w:type="dxa"/>
          <w:right w:w="0" w:type="dxa"/>
        </w:tblCellMar>
      </w:tblPr>
      <w:tr>
        <w:trPr>
          <w:trHeight w:val="180"/>
        </w:trPr>
        <w:tc>
          <w:tcPr>
            <w:tcW w:w="4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10"/>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Securities Available-for-Sale</w:t>
            </w:r>
          </w:p>
        </w:tc>
      </w:tr>
      <w:tr>
        <w:trPr>
          <w:trHeight w:val="223"/>
        </w:trPr>
        <w:tc>
          <w:tcPr>
            <w:tcW w:w="4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Amounts included in earnings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Paydowns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(1,119)</w:t>
            </w:r>
          </w:p>
        </w:tc>
      </w:tr>
      <w:tr>
        <w:trPr>
          <w:trHeight w:val="216"/>
        </w:trPr>
        <w:tc>
          <w:tcPr>
            <w:tcW w:w="4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Transfers between valuation levels, net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(3,796)</w:t>
            </w:r>
          </w:p>
        </w:tc>
      </w:tr>
      <w:tr>
        <w:trPr>
          <w:trHeight w:val="27"/>
        </w:trPr>
        <w:tc>
          <w:tcPr>
            <w:tcW w:w="4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92" w:right="80"/>
        <w:spacing w:after="0" w:line="266" w:lineRule="auto"/>
        <w:rPr>
          <w:sz w:val="20"/>
          <w:szCs w:val="20"/>
          <w:color w:val="auto"/>
        </w:rPr>
      </w:pPr>
      <w:r>
        <w:rPr>
          <w:rFonts w:ascii="Times New Roman" w:cs="Times New Roman" w:eastAsia="Times New Roman" w:hAnsi="Times New Roman"/>
          <w:sz w:val="18"/>
          <w:szCs w:val="18"/>
          <w:color w:val="auto"/>
        </w:rPr>
        <w:t>In 2011, United transferred mortgage backed securities from Level 3 to Level 2. These securities were recent purchases that had not been priced at the balance sheet date and amortized cost was assigned as the fair value. In subsequent periods, the security was able to be priced based on objectively observable inputs based on similar assets. There have been no other transfers between levels.</w:t>
      </w:r>
    </w:p>
    <w:p>
      <w:pPr>
        <w:spacing w:after="0" w:line="203" w:lineRule="exact"/>
        <w:rPr>
          <w:sz w:val="20"/>
          <w:szCs w:val="20"/>
          <w:color w:val="auto"/>
        </w:rPr>
      </w:pPr>
    </w:p>
    <w:p>
      <w:pPr>
        <w:ind w:left="492" w:right="160"/>
        <w:spacing w:after="0" w:line="255" w:lineRule="auto"/>
        <w:rPr>
          <w:sz w:val="20"/>
          <w:szCs w:val="20"/>
          <w:color w:val="auto"/>
        </w:rPr>
      </w:pPr>
      <w:r>
        <w:rPr>
          <w:rFonts w:ascii="Times New Roman" w:cs="Times New Roman" w:eastAsia="Times New Roman" w:hAnsi="Times New Roman"/>
          <w:sz w:val="18"/>
          <w:szCs w:val="18"/>
          <w:color w:val="auto"/>
        </w:rPr>
        <w:t>At December 31, 2013, United had two securities that have Level 3 valuations. They are trust preferred securities in community banks that have shown deteriorating financial condition during the financial crisis, and both are currently deferring interest payments. Since both investments are not actively traded, there is no recent trade activity upon which to assess value. The values assigned to the investments are based on sales price estimates from brokers. Both investments have a par amount of $1 million. One was considered impaired in 2010 and was written down to $50,000 with a $950,000 impairment charge to earnings. The other is carried at its original cost basis of $1 million with a $700,000 negative mark to fair value through other comprehensive income. United does not consider this investment to be other-than-temporarily impaired, as the community bank was recapitalized by a private equity investment that management believes will result in full payment at maturity.</w:t>
      </w:r>
    </w:p>
    <w:p>
      <w:pPr>
        <w:spacing w:after="0" w:line="212"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229" w:lineRule="exact"/>
        <w:rPr>
          <w:sz w:val="20"/>
          <w:szCs w:val="20"/>
          <w:color w:val="auto"/>
        </w:rPr>
      </w:pPr>
    </w:p>
    <w:p>
      <w:pPr>
        <w:ind w:left="492"/>
        <w:spacing w:after="0" w:line="261" w:lineRule="auto"/>
        <w:rPr>
          <w:sz w:val="20"/>
          <w:szCs w:val="20"/>
          <w:color w:val="auto"/>
        </w:rPr>
      </w:pPr>
      <w:r>
        <w:rPr>
          <w:rFonts w:ascii="Times New Roman" w:cs="Times New Roman" w:eastAsia="Times New Roman" w:hAnsi="Times New Roman"/>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December 31, 2013 and 2012, aggregated by the level in the fair value hierarchy within which those measurements fall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4" w:lineRule="exact"/>
        <w:rPr>
          <w:sz w:val="20"/>
          <w:szCs w:val="20"/>
          <w:color w:val="auto"/>
        </w:rPr>
      </w:pPr>
    </w:p>
    <w:tbl>
      <w:tblPr>
        <w:tblLayout w:type="fixed"/>
        <w:tblInd w:w="492" w:type="dxa"/>
        <w:tblCellMar>
          <w:top w:w="0" w:type="dxa"/>
          <w:left w:w="0" w:type="dxa"/>
          <w:bottom w:w="0" w:type="dxa"/>
          <w:right w:w="0" w:type="dxa"/>
        </w:tblCellMar>
      </w:tblPr>
      <w:tr>
        <w:trPr>
          <w:trHeight w:val="180"/>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0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Foreclosed properties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86,545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86,545</w:t>
            </w:r>
          </w:p>
        </w:tc>
        <w:tc>
          <w:tcPr>
            <w:tcW w:w="0" w:type="dxa"/>
            <w:vAlign w:val="bottom"/>
          </w:tcPr>
          <w:p>
            <w:pPr>
              <w:spacing w:after="0"/>
              <w:rPr>
                <w:sz w:val="1"/>
                <w:szCs w:val="1"/>
                <w:color w:val="auto"/>
              </w:rPr>
            </w:pPr>
          </w:p>
        </w:tc>
      </w:tr>
      <w:tr>
        <w:trPr>
          <w:trHeight w:val="21"/>
        </w:trPr>
        <w:tc>
          <w:tcPr>
            <w:tcW w:w="656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165,751</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Foreclosed properties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180,539</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180,539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92" w:right="60"/>
        <w:spacing w:after="0" w:line="256" w:lineRule="auto"/>
        <w:rPr>
          <w:sz w:val="20"/>
          <w:szCs w:val="20"/>
          <w:color w:val="auto"/>
        </w:rPr>
      </w:pPr>
      <w:r>
        <w:rPr>
          <w:rFonts w:ascii="Times New Roman" w:cs="Times New Roman" w:eastAsia="Times New Roman" w:hAnsi="Times New Roman"/>
          <w:sz w:val="18"/>
          <w:szCs w:val="18"/>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Foreclosed properties that are included above as measured at fair value on a nonrecurring basis are those properties that resulted from a loan that had been charged down or have been written down subsequent to foreclosure. Foreclosed properties are generally recorded at the lower of 80% of appraised value or 90% of the asking price which considers the estimated cost to sell.</w:t>
      </w: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14" w:right="2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00" w:right="6580" w:hanging="492"/>
        <w:spacing w:after="0" w:line="533" w:lineRule="auto"/>
        <w:tabs>
          <w:tab w:leader="none" w:pos="50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Assets and Liabilities Measured at Fair Value, continued </w:t>
      </w:r>
      <w:r>
        <w:rPr>
          <w:rFonts w:ascii="Times New Roman" w:cs="Times New Roman" w:eastAsia="Times New Roman" w:hAnsi="Times New Roman"/>
          <w:sz w:val="17"/>
          <w:szCs w:val="17"/>
          <w:b w:val="1"/>
          <w:bCs w:val="1"/>
          <w:u w:val="single" w:color="auto"/>
          <w:color w:val="auto"/>
        </w:rPr>
        <w:t>Assets and Liabilities Not Measured at Fair Value</w:t>
      </w:r>
    </w:p>
    <w:p>
      <w:pPr>
        <w:ind w:left="500" w:right="12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14" w:lineRule="exact"/>
        <w:rPr>
          <w:rFonts w:ascii="Times New Roman" w:cs="Times New Roman" w:eastAsia="Times New Roman" w:hAnsi="Times New Roman"/>
          <w:sz w:val="17"/>
          <w:szCs w:val="17"/>
          <w:b w:val="1"/>
          <w:bCs w:val="1"/>
          <w:color w:val="auto"/>
        </w:rPr>
      </w:pPr>
    </w:p>
    <w:p>
      <w:pPr>
        <w:jc w:val="both"/>
        <w:ind w:left="500" w:right="2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and short-term borrowings. The fair value of securities available-for-sale equals the balance sheet value. Due to the short-term settlement of accrued interest receivable and payable, the carrying amount closely approximates fair value.</w:t>
      </w:r>
    </w:p>
    <w:p>
      <w:pPr>
        <w:spacing w:after="0" w:line="207" w:lineRule="exact"/>
        <w:rPr>
          <w:rFonts w:ascii="Times New Roman" w:cs="Times New Roman" w:eastAsia="Times New Roman" w:hAnsi="Times New Roman"/>
          <w:sz w:val="17"/>
          <w:szCs w:val="17"/>
          <w:b w:val="1"/>
          <w:bCs w:val="1"/>
          <w:color w:val="auto"/>
        </w:rPr>
      </w:pPr>
    </w:p>
    <w:p>
      <w:pPr>
        <w:ind w:left="500" w:right="20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210" w:lineRule="exact"/>
        <w:rPr>
          <w:rFonts w:ascii="Times New Roman" w:cs="Times New Roman" w:eastAsia="Times New Roman" w:hAnsi="Times New Roman"/>
          <w:sz w:val="17"/>
          <w:szCs w:val="17"/>
          <w:b w:val="1"/>
          <w:bCs w:val="1"/>
          <w:color w:val="auto"/>
        </w:rPr>
      </w:pPr>
    </w:p>
    <w:p>
      <w:pPr>
        <w:ind w:left="500" w:right="10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210" w:lineRule="exact"/>
        <w:rPr>
          <w:rFonts w:ascii="Times New Roman" w:cs="Times New Roman" w:eastAsia="Times New Roman" w:hAnsi="Times New Roman"/>
          <w:sz w:val="17"/>
          <w:szCs w:val="17"/>
          <w:b w:val="1"/>
          <w:bCs w:val="1"/>
          <w:color w:val="auto"/>
        </w:rPr>
      </w:pPr>
    </w:p>
    <w:p>
      <w:pPr>
        <w:ind w:left="500" w:right="2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88" w:lineRule="exact"/>
        <w:rPr>
          <w:rFonts w:ascii="Times New Roman" w:cs="Times New Roman" w:eastAsia="Times New Roman" w:hAnsi="Times New Roman"/>
          <w:sz w:val="17"/>
          <w:szCs w:val="17"/>
          <w:b w:val="1"/>
          <w:bCs w:val="1"/>
          <w:color w:val="auto"/>
        </w:rPr>
      </w:pPr>
    </w:p>
    <w:p>
      <w:pPr>
        <w:ind w:left="500" w:right="1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The carrying amount and fair values for other financial instruments that are not measured at fair value on a recurring basis in United’s balance sheet at December 31, 2013 and 2012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114300</wp:posOffset>
            </wp:positionV>
            <wp:extent cx="250444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2013</w:t>
            </w: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8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3"/>
                <w:szCs w:val="13"/>
                <w:color w:val="auto"/>
              </w:rPr>
            </w:pPr>
          </w:p>
        </w:tc>
        <w:tc>
          <w:tcPr>
            <w:tcW w:w="9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3"/>
                <w:szCs w:val="13"/>
                <w:color w:val="auto"/>
              </w:rPr>
            </w:pPr>
          </w:p>
        </w:tc>
        <w:tc>
          <w:tcPr>
            <w:tcW w:w="9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740" w:type="dxa"/>
            <w:vAlign w:val="bottom"/>
          </w:tcPr>
          <w:p>
            <w:pPr>
              <w:jc w:val="right"/>
              <w:ind w:right="171"/>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8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479,742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485,585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485,585</w:t>
            </w: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Loans,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4,252,504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4,165,591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4,165,591</w:t>
            </w:r>
          </w:p>
        </w:tc>
      </w:tr>
      <w:tr>
        <w:trPr>
          <w:trHeight w:val="216"/>
        </w:trPr>
        <w:tc>
          <w:tcPr>
            <w:tcW w:w="20" w:type="dxa"/>
            <w:vAlign w:val="bottom"/>
          </w:tcPr>
          <w:p>
            <w:pPr>
              <w:spacing w:after="0"/>
              <w:rPr>
                <w:sz w:val="18"/>
                <w:szCs w:val="18"/>
                <w:color w:val="auto"/>
              </w:rPr>
            </w:pPr>
          </w:p>
        </w:tc>
        <w:tc>
          <w:tcPr>
            <w:tcW w:w="4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10,319</w:t>
            </w: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10,529</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10,529</w:t>
            </w: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Deposits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6,201,505</w:t>
            </w: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6,204,815</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6,204,815</w:t>
            </w: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120,125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120,125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120,125</w:t>
            </w:r>
          </w:p>
        </w:tc>
      </w:tr>
      <w:tr>
        <w:trPr>
          <w:trHeight w:val="234"/>
        </w:trPr>
        <w:tc>
          <w:tcPr>
            <w:tcW w:w="20" w:type="dxa"/>
            <w:vAlign w:val="bottom"/>
          </w:tcPr>
          <w:p>
            <w:pPr>
              <w:spacing w:after="0"/>
              <w:rPr>
                <w:sz w:val="20"/>
                <w:szCs w:val="20"/>
                <w:color w:val="auto"/>
              </w:rPr>
            </w:pPr>
          </w:p>
        </w:tc>
        <w:tc>
          <w:tcPr>
            <w:tcW w:w="4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Long-term debt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129,865</w:t>
            </w:r>
          </w:p>
        </w:tc>
        <w:tc>
          <w:tcPr>
            <w:tcW w:w="14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130,262</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130,262</w:t>
            </w:r>
          </w:p>
        </w:tc>
      </w:tr>
      <w:tr>
        <w:trPr>
          <w:trHeight w:val="421"/>
        </w:trPr>
        <w:tc>
          <w:tcPr>
            <w:tcW w:w="4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8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244,184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261,131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261,131</w:t>
            </w: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Loans,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4,067,871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3,957,669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3,957,669</w:t>
            </w:r>
          </w:p>
        </w:tc>
      </w:tr>
      <w:tr>
        <w:trPr>
          <w:trHeight w:val="216"/>
        </w:trPr>
        <w:tc>
          <w:tcPr>
            <w:tcW w:w="20" w:type="dxa"/>
            <w:vAlign w:val="bottom"/>
          </w:tcPr>
          <w:p>
            <w:pPr>
              <w:spacing w:after="0"/>
              <w:rPr>
                <w:sz w:val="18"/>
                <w:szCs w:val="18"/>
                <w:color w:val="auto"/>
              </w:rPr>
            </w:pPr>
          </w:p>
        </w:tc>
        <w:tc>
          <w:tcPr>
            <w:tcW w:w="4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28,821</w:t>
            </w: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29,693</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29,693</w:t>
            </w: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Deposits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5,952,140</w:t>
            </w: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5,988,743</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5,988,743</w:t>
            </w: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40,125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40,125</w:t>
            </w:r>
          </w:p>
        </w:tc>
      </w:tr>
      <w:tr>
        <w:trPr>
          <w:trHeight w:val="234"/>
        </w:trPr>
        <w:tc>
          <w:tcPr>
            <w:tcW w:w="20" w:type="dxa"/>
            <w:vAlign w:val="bottom"/>
          </w:tcPr>
          <w:p>
            <w:pPr>
              <w:spacing w:after="0"/>
              <w:rPr>
                <w:sz w:val="20"/>
                <w:szCs w:val="20"/>
                <w:color w:val="auto"/>
              </w:rPr>
            </w:pPr>
          </w:p>
        </w:tc>
        <w:tc>
          <w:tcPr>
            <w:tcW w:w="4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Long-term debt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124,805</w:t>
            </w:r>
          </w:p>
        </w:tc>
        <w:tc>
          <w:tcPr>
            <w:tcW w:w="14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118,626</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118,626</w:t>
            </w:r>
          </w:p>
        </w:tc>
      </w:tr>
      <w:tr>
        <w:trPr>
          <w:trHeight w:val="657"/>
        </w:trPr>
        <w:tc>
          <w:tcPr>
            <w:tcW w:w="20" w:type="dxa"/>
            <w:vAlign w:val="bottom"/>
          </w:tcPr>
          <w:p>
            <w:pPr>
              <w:spacing w:after="0"/>
              <w:rPr>
                <w:sz w:val="24"/>
                <w:szCs w:val="24"/>
                <w:color w:val="auto"/>
              </w:rPr>
            </w:pPr>
          </w:p>
        </w:tc>
        <w:tc>
          <w:tcPr>
            <w:tcW w:w="1440" w:type="dxa"/>
            <w:vAlign w:val="bottom"/>
            <w:tcBorders>
              <w:bottom w:val="single" w:sz="8" w:color="DCDCDC"/>
            </w:tcBorders>
          </w:tcPr>
          <w:p>
            <w:pPr>
              <w:spacing w:after="0"/>
              <w:rPr>
                <w:sz w:val="24"/>
                <w:szCs w:val="24"/>
                <w:color w:val="auto"/>
              </w:rPr>
            </w:pPr>
          </w:p>
        </w:tc>
        <w:tc>
          <w:tcPr>
            <w:tcW w:w="2860" w:type="dxa"/>
            <w:vAlign w:val="bottom"/>
            <w:tcBorders>
              <w:bottom w:val="single" w:sz="8" w:color="DCDCDC"/>
            </w:tcBorders>
          </w:tcPr>
          <w:p>
            <w:pPr>
              <w:spacing w:after="0"/>
              <w:rPr>
                <w:sz w:val="24"/>
                <w:szCs w:val="24"/>
                <w:color w:val="auto"/>
              </w:rPr>
            </w:pPr>
          </w:p>
        </w:tc>
        <w:tc>
          <w:tcPr>
            <w:tcW w:w="2000" w:type="dxa"/>
            <w:vAlign w:val="bottom"/>
            <w:tcBorders>
              <w:bottom w:val="single" w:sz="8" w:color="DCDCDC"/>
            </w:tcBorders>
          </w:tcPr>
          <w:p>
            <w:pPr>
              <w:jc w:val="right"/>
              <w:ind w:right="39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87" w:right="2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Condensed Financial Statements of United Community Banks, Inc. (Parent Only)</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2013, 2012 and 2011</w:t>
      </w: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from bank subsidiary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Shared service fees from subsidiaries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Total income</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57,981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19,635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(loss) before equity in undistributed loss of subsidiaries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Equity in undistributed earnings (loss) of subsidiaries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209,932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(214,775)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273,140</w:t>
            </w:r>
          </w:p>
        </w:tc>
        <w:tc>
          <w:tcPr>
            <w:tcW w:w="2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33,856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(226,746)</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4400" w:type="dxa"/>
            <w:vAlign w:val="bottom"/>
            <w:tcBorders>
              <w:top w:val="single" w:sz="8" w:color="CCEEFF"/>
            </w:tcBorders>
          </w:tcPr>
          <w:p>
            <w:pPr>
              <w:spacing w:after="0"/>
              <w:rPr>
                <w:sz w:val="24"/>
                <w:szCs w:val="24"/>
                <w:color w:val="auto"/>
              </w:rPr>
            </w:pPr>
          </w:p>
        </w:tc>
        <w:tc>
          <w:tcPr>
            <w:tcW w:w="4040" w:type="dxa"/>
            <w:vAlign w:val="bottom"/>
            <w:tcBorders>
              <w:top w:val="single" w:sz="8" w:color="CCEEFF"/>
            </w:tcBorders>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40" w:type="dxa"/>
            <w:vAlign w:val="bottom"/>
            <w:gridSpan w:val="5"/>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rPr>
              <w:t>As of December 31, 2013 and 2012</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4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jc w:val="center"/>
              <w:ind w:right="2520"/>
              <w:spacing w:after="0" w:line="176" w:lineRule="exact"/>
              <w:rPr>
                <w:sz w:val="20"/>
                <w:szCs w:val="20"/>
                <w:color w:val="auto"/>
              </w:rPr>
            </w:pPr>
            <w:r>
              <w:rPr>
                <w:rFonts w:ascii="Times New Roman" w:cs="Times New Roman" w:eastAsia="Times New Roman" w:hAnsi="Times New Roman"/>
                <w:sz w:val="18"/>
                <w:szCs w:val="18"/>
                <w:color w:val="auto"/>
                <w:w w:val="97"/>
              </w:rPr>
              <w:t>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tcBorders>
              <w:top w:val="single" w:sz="8" w:color="auto"/>
            </w:tcBorders>
          </w:tcPr>
          <w:p>
            <w:pPr>
              <w:spacing w:after="0"/>
              <w:rPr>
                <w:sz w:val="18"/>
                <w:szCs w:val="18"/>
                <w:color w:val="auto"/>
              </w:rPr>
            </w:pPr>
          </w:p>
        </w:tc>
        <w:tc>
          <w:tcPr>
            <w:tcW w:w="25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36,338</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869,665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655,934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940,975</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716,689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40" w:type="dxa"/>
            <w:vAlign w:val="bottom"/>
            <w:tcBorders>
              <w:top w:val="single" w:sz="8" w:color="CCEEFF"/>
            </w:tcBorders>
            <w:gridSpan w:val="5"/>
          </w:tcPr>
          <w:p>
            <w:pPr>
              <w:jc w:val="center"/>
              <w:ind w:left="2870"/>
              <w:spacing w:after="0" w:line="170" w:lineRule="exact"/>
              <w:rPr>
                <w:sz w:val="20"/>
                <w:szCs w:val="20"/>
                <w:color w:val="auto"/>
              </w:rPr>
            </w:pPr>
            <w:r>
              <w:rPr>
                <w:rFonts w:ascii="Times New Roman" w:cs="Times New Roman" w:eastAsia="Times New Roman" w:hAnsi="Times New Roman"/>
                <w:sz w:val="18"/>
                <w:szCs w:val="18"/>
                <w:color w:val="auto"/>
                <w:w w:val="99"/>
              </w:rPr>
              <w:t>Liabilities and Shareholders’ Equity</w:t>
            </w:r>
          </w:p>
        </w:tc>
        <w:tc>
          <w:tcPr>
            <w:tcW w:w="16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129,865</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795,715</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940,975</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716,689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20" w:type="dxa"/>
            <w:vAlign w:val="bottom"/>
            <w:gridSpan w:val="3"/>
            <w:vMerge w:val="restart"/>
          </w:tcPr>
          <w:p>
            <w:pPr>
              <w:jc w:val="center"/>
              <w:ind w:left="5370"/>
              <w:spacing w:after="0"/>
              <w:rPr>
                <w:sz w:val="20"/>
                <w:szCs w:val="20"/>
                <w:color w:val="auto"/>
              </w:rPr>
            </w:pPr>
            <w:r>
              <w:rPr>
                <w:rFonts w:ascii="Times New Roman" w:cs="Times New Roman" w:eastAsia="Times New Roman" w:hAnsi="Times New Roman"/>
                <w:sz w:val="18"/>
                <w:szCs w:val="18"/>
                <w:color w:val="auto"/>
                <w:w w:val="96"/>
              </w:rPr>
              <w:t>111</w:t>
            </w: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vMerge w:val="continue"/>
          </w:tcPr>
          <w:p>
            <w:pPr>
              <w:spacing w:after="0"/>
              <w:rPr>
                <w:sz w:val="24"/>
                <w:szCs w:val="24"/>
                <w:color w:val="auto"/>
              </w:rPr>
            </w:pPr>
          </w:p>
        </w:tc>
        <w:tc>
          <w:tcPr>
            <w:tcW w:w="5920" w:type="dxa"/>
            <w:vAlign w:val="bottom"/>
            <w:tcBorders>
              <w:bottom w:val="single" w:sz="8" w:color="DCDCDC"/>
            </w:tcBorders>
            <w:gridSpan w:val="3"/>
            <w:vMerge w:val="continue"/>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4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Condensed Financial Statements of United Community Banks, Inc. (Parent Only), continued</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2013, 2012 and 2011</w:t>
      </w: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273,140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Equity in undistributed (earnings) loss of the subsidiaries</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(209,932)</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(44,493)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(29,168)</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21,722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(20,483)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(7,280)</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paydowns of securities available for sale</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Repayment of subordinated notes</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(30,500)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issuance of common stock for dividend reinvestment and employee benefit plans</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Proceeds from issuance of common and preferred stock, net of offering costs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penalty on incomplete private equity transaction</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Proceeds from exercise of warrant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19,389</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Retirement of preferred stock</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(75,217)</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dividends on Series A preferred stock</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dividends on Series B preferred stock</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(9,440)</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dividends on Series D preferred stock</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(1,657)</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(61,144)</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(17,709)</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(12,585)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54,047</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54,047</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00" w:hanging="492"/>
        <w:spacing w:after="0"/>
        <w:tabs>
          <w:tab w:leader="none" w:pos="5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50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7, 2014, United entered into a credit agreement with Synovus Bank. The credit agreement provides for aggregate unsecured borrowings of up to $50 million at any time outstanding pursuant to a revolving line of credit that matures on January 7, 2017. Although the credit agreement is unsecured, United has agreed not to pledge its assets to any other creditors, including, without limitation, the stock of the Bank, subject to certain exceptions set forth in the credit agreement.</w:t>
      </w:r>
    </w:p>
    <w:p>
      <w:pPr>
        <w:spacing w:after="0" w:line="207" w:lineRule="exact"/>
        <w:rPr>
          <w:rFonts w:ascii="Times New Roman" w:cs="Times New Roman" w:eastAsia="Times New Roman" w:hAnsi="Times New Roman"/>
          <w:sz w:val="18"/>
          <w:szCs w:val="18"/>
          <w:b w:val="1"/>
          <w:bCs w:val="1"/>
          <w:color w:val="auto"/>
        </w:rPr>
      </w:pPr>
    </w:p>
    <w:p>
      <w:pPr>
        <w:ind w:left="50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customary representations, warranties, covenants and events of default, including, without limitation, financial covenants requiring that United and the Bank each maintain a total risk-based capital ratio of 10.50% or greater, a tier 1 risk-based common capital ratio of 8.50% or greater, a tier 1 risk-based capital ratio of 8.50% or greater, a tier 1 leverage ratio of 7.25% or greater and maintain “well-capitalized” status at all times.</w:t>
      </w:r>
    </w:p>
    <w:p>
      <w:pPr>
        <w:spacing w:after="0" w:line="207" w:lineRule="exact"/>
        <w:rPr>
          <w:rFonts w:ascii="Times New Roman" w:cs="Times New Roman" w:eastAsia="Times New Roman" w:hAnsi="Times New Roman"/>
          <w:sz w:val="18"/>
          <w:szCs w:val="18"/>
          <w:b w:val="1"/>
          <w:bCs w:val="1"/>
          <w:color w:val="auto"/>
        </w:rPr>
      </w:pPr>
    </w:p>
    <w:p>
      <w:pPr>
        <w:ind w:left="50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10, 2014, United redeemed the remaining $105 million in outstanding Series B preferred stock at par plus accrued and unpaid dividends through the date of redemption. The redemption of the preferred stock was funded by a $69 million dividend from the Bank, $25 million drawn on the revolving line with Synovus Bank and cash on hand.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18" w:name="page119"/>
    <w:bookmarkEnd w:id="118"/>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past two years, United did not have any disagreements with its accountants on any matters of accounting principles or practices or financial statement disclosure.</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United’s management, including the Chief Executive Officer and Chief Financial Officer, supervised and participated in an evaluation of the company’s disclosure controls and procedures as of December 31, 2013.</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Based on that evaluation, the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disclosures of that information under the SEC’s rules and forms and that the disclosure controls and procedures are designed to ensure that the information required to be disclosed in reports that are filed or submitted under the Exchange Act is recorded, processed, summarized and reported within the time periods specified.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changes were made to United’s internal control over financial reporting during the fourth quarter of 2013 that materially affected, or are reasonably likely to materially affect, United’s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United’s management is responsible for establishing and maintaining adequate internal control over financial reporting. Management’s assessment of the effectiveness of United’s internal control over financial reporting as of December 31, 2013 is included in Item 8 of this report under the heading “Management’s Report on Internal Control Over Financial Reporting.”</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items required to be reported on Form 8-K during the fourth quarter of 2013 that were not reported on Form 8-K.</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14" w:right="319" w:bottom="1440" w:gutter="0" w:footer="0" w:header="0"/>
        </w:sectPr>
      </w:pPr>
    </w:p>
    <w:bookmarkStart w:id="119" w:name="page120"/>
    <w:bookmarkEnd w:id="11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under the headings “Information Regarding Nominees and Other Directors”, “Corporate Governance” and “Section 16(a) Beneficial Ownership Reporting Compliance” in the Proxy Statement to be used in connection with the solicitation of proxies for United’s 2014 Annual Meeting of Shareholders, to be filed with the SEC, is incorporated herein by reference. Pursuant to instruction 3 to paragraph (b) of Item 401 of Regulation S-K, information relating to the executive officers of United is included in Item 1 of this report.</w:t>
      </w:r>
    </w:p>
    <w:p>
      <w:pPr>
        <w:spacing w:after="0" w:line="20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 “Compensation of Executive Officers and Directors” in the Proxy Statement to be used in connection with the solicitation of proxies for United’s 2014 Annual Meeting of Shareholders, to be filed with the SEC, is incorporated herein by reference.</w:t>
      </w:r>
    </w:p>
    <w:p>
      <w:pPr>
        <w:spacing w:after="0" w:line="185" w:lineRule="exact"/>
        <w:rPr>
          <w:sz w:val="20"/>
          <w:szCs w:val="20"/>
          <w:color w:val="auto"/>
        </w:rPr>
      </w:pPr>
    </w:p>
    <w:p>
      <w:pPr>
        <w:ind w:left="1200" w:right="240" w:hanging="1188"/>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information contained under the heading “Principal and Management Shareholders” and the “Equity Compensation Plan Information” table in the Proxy Statement to be used in connection with the solicitation of proxies for United’s 2014 Annual Meeting of Shareholders, to be filed with the SEC, is incorporated herein by reference. For purposes of determining the aggregate market value of United’s voting stock held by nonaffiliates, shares held by all directors and executive officers of United have been excluded. The exclusion of such shares is not intended to, and shall not, constitute a determination as to which persons or entities may be “Affiliates” of United as defined by the SEC.</w:t>
      </w:r>
    </w:p>
    <w:p>
      <w:pPr>
        <w:spacing w:after="0" w:line="20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The information contained under the heading “Corporate Governance – Certain Relationships and Related Transactions” in the Proxy Statement to be used in connection with the solicitation of proxies for United’s 2014 Annual Meeting of Shareholders, to be filed with the SEC, is incorporated herein by reference.</w:t>
      </w:r>
    </w:p>
    <w:p>
      <w:pPr>
        <w:spacing w:after="0" w:line="16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56"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7"/>
          <w:szCs w:val="17"/>
          <w:color w:val="auto"/>
        </w:rPr>
        <w:t>The information contained under the heading “Other Matters – Independent Registered Public Accounting Firm” in the Proxy Statement to be used in connection with the solicitation of proxies for United’s 2014 Annual Meeting of Shareholders, to be filed with the SEC, is incorporated herein by reference.</w:t>
      </w: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14" w:right="319" w:bottom="1440" w:gutter="0" w:footer="0" w:header="0"/>
        </w:sectPr>
      </w:pPr>
    </w:p>
    <w:bookmarkStart w:id="120" w:name="page121"/>
    <w:bookmarkEnd w:id="120"/>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56"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following consolidated financial statements are located in Item 8 of this report:</w:t>
      </w:r>
    </w:p>
    <w:p>
      <w:pPr>
        <w:spacing w:after="0" w:line="2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Consolidated Statement of Operations - Years ended December 31, 2013, 2012, and 2011</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Consolidated Balance Sheet - December 31, 2013 and 2012</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Consolidated Statement of Changes in Shareholders’ Equity - Years ended December 31, 2013, 2012, and 2011</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Consolidated Statement of Cash Flows - Years ended December 31, 2013, 2012, and 2011</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4" w:lineRule="exact"/>
        <w:rPr>
          <w:sz w:val="20"/>
          <w:szCs w:val="20"/>
          <w:color w:val="auto"/>
        </w:rPr>
      </w:pPr>
    </w:p>
    <w:p>
      <w:pPr>
        <w:ind w:left="1160" w:hanging="504"/>
        <w:spacing w:after="0"/>
        <w:tabs>
          <w:tab w:leader="none" w:pos="11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the consolidated financial statements are omitted, as the required information is not applicable.</w:t>
      </w:r>
    </w:p>
    <w:p>
      <w:pPr>
        <w:spacing w:after="0" w:line="252"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600" w:type="dxa"/>
            <w:vAlign w:val="bottom"/>
            <w:gridSpan w:val="3"/>
          </w:tcPr>
          <w:p>
            <w:pPr>
              <w:jc w:val="right"/>
              <w:ind w:right="3500"/>
              <w:spacing w:after="0"/>
              <w:rPr>
                <w:sz w:val="20"/>
                <w:szCs w:val="20"/>
                <w:color w:val="auto"/>
              </w:rPr>
            </w:pPr>
            <w:r>
              <w:rPr>
                <w:rFonts w:ascii="Times New Roman" w:cs="Times New Roman" w:eastAsia="Times New Roman" w:hAnsi="Times New Roman"/>
                <w:sz w:val="18"/>
                <w:szCs w:val="18"/>
                <w:color w:val="auto"/>
              </w:rPr>
              <w:t>The following exhibits are required to be filed with this report by Item 601 of Regulation S-K:</w:t>
            </w:r>
          </w:p>
        </w:tc>
      </w:tr>
      <w:tr>
        <w:trPr>
          <w:trHeight w:val="409"/>
        </w:trPr>
        <w:tc>
          <w:tcPr>
            <w:tcW w:w="8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31"/>
        </w:trPr>
        <w:tc>
          <w:tcPr>
            <w:tcW w:w="8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340" w:type="dxa"/>
            <w:vAlign w:val="bottom"/>
          </w:tcPr>
          <w:p>
            <w:pPr>
              <w:spacing w:after="0"/>
              <w:rPr>
                <w:sz w:val="2"/>
                <w:szCs w:val="2"/>
                <w:color w:val="auto"/>
              </w:rPr>
            </w:pPr>
          </w:p>
        </w:tc>
      </w:tr>
      <w:tr>
        <w:trPr>
          <w:trHeight w:val="414"/>
        </w:trPr>
        <w:tc>
          <w:tcPr>
            <w:tcW w:w="8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Restated Articles of Incorporation of United Community Banks, Inc., as amended (incorporated herein by reference to Exhibit 3.1 to</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Banks, Inc.’s Quarterly Report on Form 10-Q for the period ended June 30, 2011, filed with the SEC on August 9,</w:t>
            </w:r>
          </w:p>
        </w:tc>
      </w:tr>
      <w:tr>
        <w:trPr>
          <w:trHeight w:val="234"/>
        </w:trPr>
        <w:tc>
          <w:tcPr>
            <w:tcW w:w="820" w:type="dxa"/>
            <w:vAlign w:val="bottom"/>
          </w:tcPr>
          <w:p>
            <w:pPr>
              <w:spacing w:after="0"/>
              <w:rPr>
                <w:sz w:val="20"/>
                <w:szCs w:val="20"/>
                <w:color w:val="auto"/>
              </w:rPr>
            </w:pP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2011).</w:t>
            </w:r>
          </w:p>
        </w:tc>
        <w:tc>
          <w:tcPr>
            <w:tcW w:w="9340" w:type="dxa"/>
            <w:vAlign w:val="bottom"/>
          </w:tcPr>
          <w:p>
            <w:pPr>
              <w:spacing w:after="0"/>
              <w:rPr>
                <w:sz w:val="20"/>
                <w:szCs w:val="20"/>
                <w:color w:val="auto"/>
              </w:rPr>
            </w:pPr>
          </w:p>
        </w:tc>
      </w:tr>
      <w:tr>
        <w:trPr>
          <w:trHeight w:val="414"/>
        </w:trPr>
        <w:tc>
          <w:tcPr>
            <w:tcW w:w="8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United Community Banks, Inc., as amended (incorporated herein by reference to Exhibit 3.2 to United</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Banks, Inc.’s Quarterly Report on Form 10-Q for the period ended March 31, 2011, filed with the SEC on May 4, 2011).</w:t>
            </w:r>
          </w:p>
        </w:tc>
      </w:tr>
      <w:tr>
        <w:trPr>
          <w:trHeight w:val="414"/>
        </w:trPr>
        <w:tc>
          <w:tcPr>
            <w:tcW w:w="8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Exhibits 3.1 and 3.2 for provisions of the Restated Articles of Incorporation of United Community Banks, Inc., as amended, and the</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as amended, of United Community Banks, Inc., which define the rights of security holders.</w:t>
            </w:r>
          </w:p>
        </w:tc>
      </w:tr>
      <w:tr>
        <w:trPr>
          <w:trHeight w:val="414"/>
        </w:trPr>
        <w:tc>
          <w:tcPr>
            <w:tcW w:w="8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Warrants to Purchase Shares of Common Stock of United Community Banks, Inc. (incorporated herein by reference to Exhibit</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to United Community Banks, Inc.’s Current Report on Form 8-K, filed with the SEC on April 1, 2010), as amended by Amendment</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Warrants to Purchase Shares of Common Stock of United Community Banks, Inc., dated as of June 11, 2010 (incorporated herein by</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to Exhibit 1.2 to United Community Banks, Inc.’s Current Report on Form 8-K, filed with the SEC on June 14, 2010).</w:t>
            </w:r>
          </w:p>
        </w:tc>
      </w:tr>
      <w:tr>
        <w:trPr>
          <w:trHeight w:val="675"/>
        </w:trPr>
        <w:tc>
          <w:tcPr>
            <w:tcW w:w="820" w:type="dxa"/>
            <w:vAlign w:val="bottom"/>
            <w:tcBorders>
              <w:bottom w:val="single" w:sz="8" w:color="DCDCDC"/>
            </w:tcBorders>
          </w:tcPr>
          <w:p>
            <w:pPr>
              <w:spacing w:after="0"/>
              <w:rPr>
                <w:sz w:val="24"/>
                <w:szCs w:val="24"/>
                <w:color w:val="auto"/>
              </w:rPr>
            </w:pPr>
          </w:p>
        </w:tc>
        <w:tc>
          <w:tcPr>
            <w:tcW w:w="10600" w:type="dxa"/>
            <w:vAlign w:val="bottom"/>
            <w:tcBorders>
              <w:bottom w:val="single" w:sz="8" w:color="DCDCDC"/>
            </w:tcBorders>
            <w:gridSpan w:val="3"/>
          </w:tcPr>
          <w:p>
            <w:pPr>
              <w:jc w:val="right"/>
              <w:ind w:right="5580"/>
              <w:spacing w:after="0"/>
              <w:rPr>
                <w:sz w:val="20"/>
                <w:szCs w:val="20"/>
                <w:color w:val="auto"/>
              </w:rPr>
            </w:pPr>
            <w:r>
              <w:rPr>
                <w:rFonts w:ascii="Times New Roman" w:cs="Times New Roman" w:eastAsia="Times New Roman" w:hAnsi="Times New Roman"/>
                <w:sz w:val="18"/>
                <w:szCs w:val="18"/>
                <w:color w:val="auto"/>
              </w:rPr>
              <w:t>115</w:t>
            </w:r>
          </w:p>
        </w:tc>
      </w:tr>
    </w:tbl>
    <w:p>
      <w:pPr>
        <w:sectPr>
          <w:pgSz w:w="11900" w:h="16838" w:orient="portrait"/>
          <w:cols w:equalWidth="0" w:num="1">
            <w:col w:w="11420"/>
          </w:cols>
          <w:pgMar w:left="240" w:top="914" w:right="2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80" w:type="dxa"/>
            <w:vAlign w:val="bottom"/>
          </w:tcPr>
          <w:p>
            <w:pPr>
              <w:spacing w:after="0"/>
              <w:rPr>
                <w:sz w:val="16"/>
                <w:szCs w:val="16"/>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31"/>
        </w:trPr>
        <w:tc>
          <w:tcPr>
            <w:tcW w:w="8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340" w:type="dxa"/>
            <w:vAlign w:val="bottom"/>
          </w:tcPr>
          <w:p>
            <w:pPr>
              <w:spacing w:after="0"/>
              <w:rPr>
                <w:sz w:val="2"/>
                <w:szCs w:val="2"/>
                <w:color w:val="auto"/>
              </w:rPr>
            </w:pP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Benefits Preservation Plan, dated as of February 22, 2011, by and between United Community Banks, Inc. and Illinois Stock</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Company (incorporated herein by reference to Exhibit 4.1 to United Community Banks, Inc.’s Current Report on Form 8-K,</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with the SEC on February 24, 2011), as amended by Amendment to Tax Benefits Preservation Plan, dated as of March 29, 2011</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herein by reference to Exhibit 4.1 to United Community Banks, Inc.’s Current Report on Form 8-K, filed with the SEC on</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2011) and as amended by Second Amendment to Tax Benefits Preservation Plan, dated as of June 17, 2011 (incorporated</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herein by reference to Exhibit 10.1 to United Community Banks, Inc.’s Current Report on Form 8-K, filed with the SEC on June 21,</w:t>
            </w:r>
          </w:p>
        </w:tc>
      </w:tr>
      <w:tr>
        <w:trPr>
          <w:trHeight w:val="234"/>
        </w:trPr>
        <w:tc>
          <w:tcPr>
            <w:tcW w:w="820" w:type="dxa"/>
            <w:vAlign w:val="bottom"/>
          </w:tcPr>
          <w:p>
            <w:pPr>
              <w:spacing w:after="0"/>
              <w:rPr>
                <w:sz w:val="20"/>
                <w:szCs w:val="20"/>
                <w:color w:val="auto"/>
              </w:rPr>
            </w:pP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2011).</w:t>
            </w:r>
          </w:p>
        </w:tc>
        <w:tc>
          <w:tcPr>
            <w:tcW w:w="9340" w:type="dxa"/>
            <w:vAlign w:val="bottom"/>
          </w:tcPr>
          <w:p>
            <w:pPr>
              <w:spacing w:after="0"/>
              <w:rPr>
                <w:sz w:val="20"/>
                <w:szCs w:val="20"/>
                <w:color w:val="auto"/>
              </w:rPr>
            </w:pP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Summary of Rights for Tax Benefits Preservation Plan, dated as of February 22, 2011, by and between United Community</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Banks, Inc. and Illinois Stock Transfer Company (incorporated herein by reference to Exhibit 4.2 to United Community Banks, Inc.’s</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filed with the SEC on February 24, 2011).</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Banks, Inc.’s Profit Sharing Plan, amended and restated as of January 1, 2001 (incorporated herein by reference to</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Exhibit 4.3 to United Community Banks, Inc.’s Registration Statement on Form S-8, File No. 333-86876, filed with the SEC on April 24,</w:t>
            </w:r>
          </w:p>
        </w:tc>
      </w:tr>
      <w:tr>
        <w:trPr>
          <w:trHeight w:val="234"/>
        </w:trPr>
        <w:tc>
          <w:tcPr>
            <w:tcW w:w="820" w:type="dxa"/>
            <w:vAlign w:val="bottom"/>
          </w:tcPr>
          <w:p>
            <w:pPr>
              <w:spacing w:after="0"/>
              <w:rPr>
                <w:sz w:val="20"/>
                <w:szCs w:val="20"/>
                <w:color w:val="auto"/>
              </w:rPr>
            </w:pP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2002).*</w:t>
            </w:r>
          </w:p>
        </w:tc>
        <w:tc>
          <w:tcPr>
            <w:tcW w:w="9340" w:type="dxa"/>
            <w:vAlign w:val="bottom"/>
          </w:tcPr>
          <w:p>
            <w:pPr>
              <w:spacing w:after="0"/>
              <w:rPr>
                <w:sz w:val="20"/>
                <w:szCs w:val="20"/>
                <w:color w:val="auto"/>
              </w:rPr>
            </w:pP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No. 1 to United Community Banks, Inc.’s Profit Sharing Plan, dated as of March 15, 2002 (incorporated herein by reference</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Exhibit 4.4 to United Community Banks, Inc.’s Registration Statement on Form S-8, File No. 333-86876, filed with the SEC on April</w:t>
            </w:r>
          </w:p>
        </w:tc>
      </w:tr>
      <w:tr>
        <w:trPr>
          <w:trHeight w:val="234"/>
        </w:trPr>
        <w:tc>
          <w:tcPr>
            <w:tcW w:w="820" w:type="dxa"/>
            <w:vAlign w:val="bottom"/>
          </w:tcPr>
          <w:p>
            <w:pPr>
              <w:spacing w:after="0"/>
              <w:rPr>
                <w:sz w:val="20"/>
                <w:szCs w:val="20"/>
                <w:color w:val="auto"/>
              </w:rPr>
            </w:pPr>
          </w:p>
        </w:tc>
        <w:tc>
          <w:tcPr>
            <w:tcW w:w="106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24, 2002).*</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Banks, Inc.’s 2000 Key Employee Stock Option Plan (incorporated herein by reference to Exhibit 10 to United</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Banks, Inc.’s Registration Statement on Form S-8, File No. 333-99849, filed with the SEC on September 19, 2002).*</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to United Community Banks, Inc.’s 2000 Key Employee Stock Option Plan, dated March 5, 2004 (incorporated herein by</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to Exhibit 10.1 to United Community Banks, Inc.’s Registration Statement on Form S-4, File No. 333-118893, filed with the</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on September 9, 2004).*</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Split-Dollar Agreement between United Community Banks, Inc. and Jimmy C. Tallent dated June 1, 1994 (incorporated herein by</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to Exhibit 10.11 to United Community Banks, Inc.’s Annual Report on Form 10-K for the year ended December 31, 1994, File</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0-21656).*</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Number 2 to United Community Banks, Inc. 2000 Key Employee Stock Option Plan, dated April 26, 2006 (incorporated</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herein by reference to Exhibit 10.1 to United Community Banks, Inc.’s Quarterly Report on Form 10-Q for the quarter ended June 30,</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2006, File No. 000-21656, filed with the SEC on August 4, 2006).*</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Banks, Inc.’s Amended and Restated 2000 Key Employee Stock Option Plan (incorporated herein by reference to</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 to United Community Banks, Inc.’s Current Report on Form 8-K, File No. 000-21656, filed with the SEC on May 1,</w:t>
            </w:r>
          </w:p>
        </w:tc>
      </w:tr>
      <w:tr>
        <w:trPr>
          <w:trHeight w:val="234"/>
        </w:trPr>
        <w:tc>
          <w:tcPr>
            <w:tcW w:w="820" w:type="dxa"/>
            <w:vAlign w:val="bottom"/>
          </w:tcPr>
          <w:p>
            <w:pPr>
              <w:spacing w:after="0"/>
              <w:rPr>
                <w:sz w:val="20"/>
                <w:szCs w:val="20"/>
                <w:color w:val="auto"/>
              </w:rPr>
            </w:pP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2007).*</w:t>
            </w:r>
          </w:p>
        </w:tc>
        <w:tc>
          <w:tcPr>
            <w:tcW w:w="9340" w:type="dxa"/>
            <w:vAlign w:val="bottom"/>
          </w:tcPr>
          <w:p>
            <w:pPr>
              <w:spacing w:after="0"/>
              <w:rPr>
                <w:sz w:val="20"/>
                <w:szCs w:val="20"/>
                <w:color w:val="auto"/>
              </w:rPr>
            </w:pP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Senior Executive Officer Incentive Stock Option Agreement (incorporated herein by reference to Exhibit 10.3 to United</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Banks, Inc.'s Quarterly Report on Form 10-Q for the quarter ended June 30, 2009, File No. 000-21656, filed with the SEC</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August 7, 2009).*</w:t>
            </w:r>
          </w:p>
        </w:tc>
      </w:tr>
      <w:tr>
        <w:trPr>
          <w:trHeight w:val="675"/>
        </w:trPr>
        <w:tc>
          <w:tcPr>
            <w:tcW w:w="820" w:type="dxa"/>
            <w:vAlign w:val="bottom"/>
            <w:tcBorders>
              <w:bottom w:val="single" w:sz="8" w:color="DCDCDC"/>
            </w:tcBorders>
          </w:tcPr>
          <w:p>
            <w:pPr>
              <w:spacing w:after="0"/>
              <w:rPr>
                <w:sz w:val="24"/>
                <w:szCs w:val="24"/>
                <w:color w:val="auto"/>
              </w:rPr>
            </w:pPr>
          </w:p>
        </w:tc>
        <w:tc>
          <w:tcPr>
            <w:tcW w:w="10600" w:type="dxa"/>
            <w:vAlign w:val="bottom"/>
            <w:tcBorders>
              <w:bottom w:val="single" w:sz="8" w:color="DCDCDC"/>
            </w:tcBorders>
            <w:gridSpan w:val="3"/>
          </w:tcPr>
          <w:p>
            <w:pPr>
              <w:jc w:val="right"/>
              <w:ind w:right="5580"/>
              <w:spacing w:after="0"/>
              <w:rPr>
                <w:sz w:val="20"/>
                <w:szCs w:val="20"/>
                <w:color w:val="auto"/>
              </w:rPr>
            </w:pPr>
            <w:r>
              <w:rPr>
                <w:rFonts w:ascii="Times New Roman" w:cs="Times New Roman" w:eastAsia="Times New Roman" w:hAnsi="Times New Roman"/>
                <w:sz w:val="18"/>
                <w:szCs w:val="18"/>
                <w:color w:val="auto"/>
              </w:rPr>
              <w:t>116</w:t>
            </w:r>
          </w:p>
        </w:tc>
      </w:tr>
    </w:tbl>
    <w:p>
      <w:pPr>
        <w:sectPr>
          <w:pgSz w:w="11900" w:h="16838" w:orient="portrait"/>
          <w:cols w:equalWidth="0" w:num="1">
            <w:col w:w="11420"/>
          </w:cols>
          <w:pgMar w:left="240" w:top="912"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80" w:type="dxa"/>
            <w:vAlign w:val="bottom"/>
          </w:tcPr>
          <w:p>
            <w:pPr>
              <w:spacing w:after="0"/>
              <w:rPr>
                <w:sz w:val="16"/>
                <w:szCs w:val="16"/>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31"/>
        </w:trPr>
        <w:tc>
          <w:tcPr>
            <w:tcW w:w="8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340" w:type="dxa"/>
            <w:vAlign w:val="bottom"/>
          </w:tcPr>
          <w:p>
            <w:pPr>
              <w:spacing w:after="0"/>
              <w:rPr>
                <w:sz w:val="2"/>
                <w:szCs w:val="2"/>
                <w:color w:val="auto"/>
              </w:rPr>
            </w:pP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Amended and Restated Change of Control Severance Agreement by and between United Community Banks, Inc. and Jimmy C.</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Tallent, H. Lynn Harton, Rex S. Schuette, David Shearrow, and Bill Gilbert (incorporated herein by reference to Exhibit 10.8 to United</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Banks, Inc.’s Annual Report on Form 10-K for the year ended December 31, 2008, File No. 000-21656, filed with the SEC</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February 27, 2009).*</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Banks, Inc.’s Amended and Restated Modified Retirement Plan, effective as of January 1, 2005 (incorporated herein</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reference to Exhibit 10.10 to United Community Banks, Inc.’s Annual Report on Form 10-K for the year ended December 31, 2008,</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 No. 000-21656, filed with the SEC on February 27, 2009).*</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Banks, Inc.’s Amended and Restated Deferred Compensation Plan, effective as of January 1, 2005 (incorporated</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herein by reference to Exhibit 10.11 to United Community Banks, Inc.’s Annual Report on Form 10-K for the year ended December 31,</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2008, File No. 000-21656, filed with the SEC on February 27, 2009).*</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Banks, Inc. Dividend Reinvestment and Share Purchase Plan (incorporated herein by reference to Exhibit 4 to United</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Banks, Inc.’s Registration Statement on Form S-3D, File No. 333-127477, filed with the SEC on August 12, 2005).*</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Banks, Inc. Employee Stock Purchase Plan, effective as of December 20, 2005 (incorporated herein by reference to</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4 to United Community Banks, Inc.’s Registration Statement on Form S-8, File No. 333-130489, filed with the SEC on</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 2005).*</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Senior Executive Officer Nonqualified Stock Option Agreement (incorporated herein by reference to Exhibit 10.1 to United</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Banks, Inc.'s Quarterly Report on Form 10-Q for the quarter ended June 30, 2009, File No. 000-21656, filed with the SEC</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August 7, 2009).*</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Executive Officer Restricted Stock Unit Award Agreement (incorporated herein by reference to Exhibit 10.2 to United</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Banks, Inc.'s Quarterly Report on Form 10-Q for the quarter ended June 30, 2009, File No. 000-21656, filed with the SEC</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August 7, 2009).*</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Banks, Inc.’s Management Incentive Plan, effective as of January 1, 2007 (incorporated herein by reference to</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10.5 to United Community Banks, Inc.’s Current Report on Form 8-K, File No. 000-21656, filed with the SEC on May 1,</w:t>
            </w:r>
          </w:p>
        </w:tc>
      </w:tr>
      <w:tr>
        <w:trPr>
          <w:trHeight w:val="234"/>
        </w:trPr>
        <w:tc>
          <w:tcPr>
            <w:tcW w:w="820" w:type="dxa"/>
            <w:vAlign w:val="bottom"/>
          </w:tcPr>
          <w:p>
            <w:pPr>
              <w:spacing w:after="0"/>
              <w:rPr>
                <w:sz w:val="20"/>
                <w:szCs w:val="20"/>
                <w:color w:val="auto"/>
              </w:rPr>
            </w:pP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2007).*</w:t>
            </w:r>
          </w:p>
        </w:tc>
        <w:tc>
          <w:tcPr>
            <w:tcW w:w="9340" w:type="dxa"/>
            <w:vAlign w:val="bottom"/>
          </w:tcPr>
          <w:p>
            <w:pPr>
              <w:spacing w:after="0"/>
              <w:rPr>
                <w:sz w:val="20"/>
                <w:szCs w:val="20"/>
                <w:color w:val="auto"/>
              </w:rPr>
            </w:pP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No. 1 to United Community Banks, Inc.’s Amended and Restated 2000 Key Employee Stock Option Plan dated April 13,</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2007 (incorporated herein by reference to Exhibit 10.1 to United Community Banks, Inc.’s Current Report on Form 8-K, File No. 000-</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21656, filed with the SEC on April 13, 2007).*</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Agreement, dated as of March 16, 2011, between United Community Banks, Inc. and Corsair Georgia, L.P. (incorporated</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herein by reference to Exhibit 10.1 to United Community Banks, Inc.’s Current Report on Form 8-K, File No. 001-35095, filed with the</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on March 17, 2011).*</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Subscription Agreement, dated as of March 16, 2011, between United Community Banks, Inc. and each Additional Investor</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herein by reference to Exhibit 10.2 to United Community Banks, Inc.’s Current Report on Form 8-K, File No. 001-35095,</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with the SEC on March 17, 2011).*</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6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Employment Agreement, dated as of September 14, 2012, between United Community Bank and H. Lynn Harton (incorporated herein by</w:t>
            </w:r>
          </w:p>
        </w:tc>
      </w:tr>
      <w:tr>
        <w:trPr>
          <w:trHeight w:val="216"/>
        </w:trPr>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to Exhibit 10.1 to United Community Banks, Inc.’s Current Report on Form 8-K, File No. 001-35095, filed with the SEC on</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19, 2012).*</w:t>
            </w:r>
          </w:p>
        </w:tc>
      </w:tr>
      <w:tr>
        <w:trPr>
          <w:trHeight w:val="675"/>
        </w:trPr>
        <w:tc>
          <w:tcPr>
            <w:tcW w:w="820" w:type="dxa"/>
            <w:vAlign w:val="bottom"/>
            <w:tcBorders>
              <w:bottom w:val="single" w:sz="8" w:color="DCDCDC"/>
            </w:tcBorders>
          </w:tcPr>
          <w:p>
            <w:pPr>
              <w:spacing w:after="0"/>
              <w:rPr>
                <w:sz w:val="24"/>
                <w:szCs w:val="24"/>
                <w:color w:val="auto"/>
              </w:rPr>
            </w:pPr>
          </w:p>
        </w:tc>
        <w:tc>
          <w:tcPr>
            <w:tcW w:w="10600" w:type="dxa"/>
            <w:vAlign w:val="bottom"/>
            <w:tcBorders>
              <w:bottom w:val="single" w:sz="8" w:color="DCDCDC"/>
            </w:tcBorders>
            <w:gridSpan w:val="3"/>
          </w:tcPr>
          <w:p>
            <w:pPr>
              <w:jc w:val="right"/>
              <w:ind w:right="5580"/>
              <w:spacing w:after="0"/>
              <w:rPr>
                <w:sz w:val="20"/>
                <w:szCs w:val="20"/>
                <w:color w:val="auto"/>
              </w:rPr>
            </w:pPr>
            <w:r>
              <w:rPr>
                <w:rFonts w:ascii="Times New Roman" w:cs="Times New Roman" w:eastAsia="Times New Roman" w:hAnsi="Times New Roman"/>
                <w:sz w:val="18"/>
                <w:szCs w:val="18"/>
                <w:color w:val="auto"/>
              </w:rPr>
              <w:t>117</w:t>
            </w:r>
          </w:p>
        </w:tc>
      </w:tr>
    </w:tbl>
    <w:p>
      <w:pPr>
        <w:sectPr>
          <w:pgSz w:w="11900" w:h="16838" w:orient="portrait"/>
          <w:cols w:equalWidth="0" w:num="1">
            <w:col w:w="11420"/>
          </w:cols>
          <w:pgMar w:left="240" w:top="912" w:right="2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6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31"/>
        </w:trPr>
        <w:tc>
          <w:tcPr>
            <w:tcW w:w="8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180" w:type="dxa"/>
            <w:vAlign w:val="bottom"/>
          </w:tcPr>
          <w:p>
            <w:pPr>
              <w:spacing w:after="0"/>
              <w:rPr>
                <w:sz w:val="2"/>
                <w:szCs w:val="2"/>
                <w:color w:val="auto"/>
              </w:rPr>
            </w:pPr>
          </w:p>
        </w:tc>
      </w:tr>
      <w:tr>
        <w:trPr>
          <w:trHeight w:val="432"/>
        </w:trPr>
        <w:tc>
          <w:tcPr>
            <w:tcW w:w="8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10.21</w:t>
            </w:r>
          </w:p>
        </w:tc>
        <w:tc>
          <w:tcPr>
            <w:tcW w:w="66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Credit Agreement dated as of January 7, 2014, between United Community Banks, Inc. and Synovus Bank.</w:t>
            </w:r>
          </w:p>
        </w:tc>
      </w:tr>
    </w:tbl>
    <w:p>
      <w:pPr>
        <w:spacing w:after="0" w:line="198" w:lineRule="exact"/>
        <w:rPr>
          <w:sz w:val="20"/>
          <w:szCs w:val="20"/>
          <w:color w:val="auto"/>
        </w:rPr>
      </w:pPr>
    </w:p>
    <w:p>
      <w:pPr>
        <w:ind w:left="1540" w:hanging="1190"/>
        <w:spacing w:after="0" w:line="282" w:lineRule="auto"/>
        <w:tabs>
          <w:tab w:leader="none" w:pos="1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Ethical Conduct (incorporated herein by reference to Exhibit 14 to United Community Banks, Inc.’s Annual Report on Form 10-K for the year ended December 31, 2003, File No. 000-21656, filed with the SEC on March 8, 2004).</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21</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 of United.</w:t>
            </w:r>
          </w:p>
        </w:tc>
      </w:tr>
      <w:tr>
        <w:trPr>
          <w:trHeight w:val="432"/>
        </w:trPr>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23.1</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432"/>
        </w:trPr>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23.2</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432"/>
        </w:trPr>
        <w:tc>
          <w:tcPr>
            <w:tcW w:w="11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24</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Power of Attorney of certain officers and directors of United (included on Signature Page)</w:t>
            </w:r>
          </w:p>
        </w:tc>
      </w:tr>
      <w:tr>
        <w:trPr>
          <w:trHeight w:val="414"/>
        </w:trPr>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31.1</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by Jimmy C. Tallent, President and Chief Executive Officer of United Community Banks, Inc., as adopted pursuant to</w:t>
            </w:r>
          </w:p>
        </w:tc>
      </w:tr>
      <w:tr>
        <w:trPr>
          <w:trHeight w:val="234"/>
        </w:trPr>
        <w:tc>
          <w:tcPr>
            <w:tcW w:w="1180" w:type="dxa"/>
            <w:vAlign w:val="bottom"/>
          </w:tcPr>
          <w:p>
            <w:pPr>
              <w:spacing w:after="0"/>
              <w:rPr>
                <w:sz w:val="20"/>
                <w:szCs w:val="20"/>
                <w:color w:val="auto"/>
              </w:rPr>
            </w:pP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414"/>
        </w:trPr>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31.2</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Certification by Rex S. Schuette, Executive Vice President and Chief Financial Officer of United Community Banks, Inc., as adopted</w:t>
            </w:r>
          </w:p>
        </w:tc>
      </w:tr>
      <w:tr>
        <w:trPr>
          <w:trHeight w:val="234"/>
        </w:trPr>
        <w:tc>
          <w:tcPr>
            <w:tcW w:w="1180" w:type="dxa"/>
            <w:vAlign w:val="bottom"/>
          </w:tcPr>
          <w:p>
            <w:pPr>
              <w:spacing w:after="0"/>
              <w:rPr>
                <w:sz w:val="20"/>
                <w:szCs w:val="20"/>
                <w:color w:val="auto"/>
              </w:rPr>
            </w:pP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432"/>
        </w:trPr>
        <w:tc>
          <w:tcPr>
            <w:tcW w:w="11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32</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432"/>
        </w:trPr>
        <w:tc>
          <w:tcPr>
            <w:tcW w:w="11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99</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TARP Compliance Certification pursuant to 31 C.F.R. Section 30.15.</w:t>
            </w:r>
          </w:p>
        </w:tc>
      </w:tr>
      <w:tr>
        <w:trPr>
          <w:trHeight w:val="432"/>
        </w:trPr>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101.INS**</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Report Instance Document</w:t>
            </w:r>
          </w:p>
        </w:tc>
      </w:tr>
      <w:tr>
        <w:trPr>
          <w:trHeight w:val="432"/>
        </w:trPr>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101.SCH**</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101.CAL**</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432"/>
        </w:trPr>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101.LAB**</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432"/>
        </w:trPr>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32"/>
        </w:trPr>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25"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to this Annual Report on Form 10-K pursuant to Item</w:t>
      </w:r>
    </w:p>
    <w:p>
      <w:pPr>
        <w:spacing w:after="0" w:line="225"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furnished herewith.</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1" w:right="2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United has duly caused this annual report on Form 10-K, to be signed on its behalf by the undersigned, thereunto duly authorized, in the City of Blairsville, State of Georgia, on the 28</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February, 2014.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7600" w:type="dxa"/>
            <w:vAlign w:val="bottom"/>
            <w:gridSpan w:val="3"/>
          </w:tcPr>
          <w:p>
            <w:pPr>
              <w:jc w:val="center"/>
              <w:ind w:right="3730"/>
              <w:spacing w:after="0"/>
              <w:rPr>
                <w:sz w:val="20"/>
                <w:szCs w:val="20"/>
                <w:color w:val="auto"/>
              </w:rPr>
            </w:pPr>
            <w:r>
              <w:rPr>
                <w:rFonts w:ascii="Times New Roman" w:cs="Times New Roman" w:eastAsia="Times New Roman" w:hAnsi="Times New Roman"/>
                <w:sz w:val="18"/>
                <w:szCs w:val="18"/>
                <w:b w:val="1"/>
                <w:bCs w:val="1"/>
                <w:color w:val="auto"/>
                <w:w w:val="99"/>
              </w:rPr>
              <w:t>UNITED COMMUNITY BANKS, INC.</w:t>
            </w:r>
          </w:p>
        </w:tc>
      </w:tr>
      <w:tr>
        <w:trPr>
          <w:trHeight w:val="238"/>
        </w:trPr>
        <w:tc>
          <w:tcPr>
            <w:tcW w:w="3820" w:type="dxa"/>
            <w:vAlign w:val="bottom"/>
          </w:tcPr>
          <w:p>
            <w:pPr>
              <w:spacing w:after="0"/>
              <w:rPr>
                <w:sz w:val="20"/>
                <w:szCs w:val="20"/>
                <w:color w:val="auto"/>
              </w:rPr>
            </w:pPr>
          </w:p>
        </w:tc>
        <w:tc>
          <w:tcPr>
            <w:tcW w:w="7600" w:type="dxa"/>
            <w:vAlign w:val="bottom"/>
            <w:gridSpan w:val="3"/>
          </w:tcPr>
          <w:p>
            <w:pPr>
              <w:jc w:val="center"/>
              <w:ind w:right="373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655"/>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Jimmy C. Tallent</w:t>
            </w:r>
          </w:p>
        </w:tc>
        <w:tc>
          <w:tcPr>
            <w:tcW w:w="15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 Rex S. Schuette</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Jimmy C. Tallent</w:t>
            </w:r>
          </w:p>
        </w:tc>
        <w:tc>
          <w:tcPr>
            <w:tcW w:w="1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Rex S. Schuette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131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H. Kumler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Controller and Chief Accounting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Jimmy C. Tallent and W.C. Nelson, Jr., or either of them, as attorney-in-fact, with each having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07"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United and in the capacities set forth and on the 26</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February, 2014.</w:t>
      </w:r>
    </w:p>
    <w:p>
      <w:pPr>
        <w:sectPr>
          <w:pgSz w:w="11900" w:h="16838" w:orient="portrait"/>
          <w:cols w:equalWidth="0" w:num="1">
            <w:col w:w="11420"/>
          </w:cols>
          <w:pgMar w:left="240" w:top="914" w:right="2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6707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Jimmy C. Tallent</w:t>
      </w:r>
    </w:p>
    <w:p>
      <w:pPr>
        <w:spacing w:after="0" w:line="27" w:lineRule="exact"/>
        <w:rPr>
          <w:sz w:val="20"/>
          <w:szCs w:val="20"/>
          <w:color w:val="auto"/>
        </w:rPr>
      </w:pPr>
    </w:p>
    <w:p>
      <w:pPr>
        <w:ind w:right="2300"/>
        <w:spacing w:after="0" w:line="261" w:lineRule="auto"/>
        <w:rPr>
          <w:sz w:val="20"/>
          <w:szCs w:val="20"/>
          <w:color w:val="auto"/>
        </w:rPr>
      </w:pPr>
      <w:r>
        <w:rPr>
          <w:rFonts w:ascii="Times New Roman" w:cs="Times New Roman" w:eastAsia="Times New Roman" w:hAnsi="Times New Roman"/>
          <w:sz w:val="18"/>
          <w:szCs w:val="18"/>
          <w:color w:val="auto"/>
        </w:rPr>
        <w:t>President, Chief Executive Officer and Director (Principal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6707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Rex S. Schuette</w:t>
      </w:r>
    </w:p>
    <w:p>
      <w:pPr>
        <w:spacing w:after="0" w:line="27" w:lineRule="exact"/>
        <w:rPr>
          <w:sz w:val="20"/>
          <w:szCs w:val="20"/>
          <w:color w:val="auto"/>
        </w:rPr>
      </w:pPr>
    </w:p>
    <w:p>
      <w:pPr>
        <w:ind w:right="1900"/>
        <w:spacing w:after="0" w:line="261"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6707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H. Kumler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Controller and Chief Accounting</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W.C. Nelson,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6707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C. Nelson,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Clifford V. Brokaw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6707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Clifford V. Brokaw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19685</wp:posOffset>
            </wp:positionV>
            <wp:extent cx="32588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Blalock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L. Cathy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19685</wp:posOffset>
            </wp:positionV>
            <wp:extent cx="32588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Cathy Cox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Steven J.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19685</wp:posOffset>
            </wp:positionV>
            <wp:extent cx="32588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J. Goldstein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 Thomas A. Richlovsky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27305</wp:posOffset>
            </wp:positionV>
            <wp:extent cx="32588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A. Richlovsky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19685</wp:posOffset>
            </wp:positionV>
            <wp:extent cx="32588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Wallis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091" w:lineRule="exact"/>
        <w:rPr>
          <w:sz w:val="20"/>
          <w:szCs w:val="20"/>
          <w:color w:val="auto"/>
        </w:rPr>
      </w:pPr>
    </w:p>
    <w:p>
      <w:pPr>
        <w:sectPr>
          <w:pgSz w:w="11900" w:h="16838" w:orient="portrait"/>
          <w:cols w:equalWidth="0" w:num="2">
            <w:col w:w="5740" w:space="720"/>
            <w:col w:w="4960"/>
          </w:cols>
          <w:pgMar w:left="240" w:top="914" w:right="239" w:bottom="1440" w:gutter="0" w:footer="0" w:header="0"/>
          <w:type w:val="continuous"/>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680" w:type="dxa"/>
            <w:vAlign w:val="bottom"/>
          </w:tcPr>
          <w:p>
            <w:pPr>
              <w:spacing w:after="0"/>
              <w:rPr>
                <w:sz w:val="16"/>
                <w:szCs w:val="16"/>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58"/>
        </w:trPr>
        <w:tc>
          <w:tcPr>
            <w:tcW w:w="820" w:type="dxa"/>
            <w:vAlign w:val="bottom"/>
            <w:tcBorders>
              <w:bottom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920" w:type="dxa"/>
            <w:vAlign w:val="bottom"/>
          </w:tcPr>
          <w:p>
            <w:pPr>
              <w:spacing w:after="0"/>
              <w:rPr>
                <w:sz w:val="5"/>
                <w:szCs w:val="5"/>
                <w:color w:val="auto"/>
              </w:rPr>
            </w:pPr>
          </w:p>
        </w:tc>
      </w:tr>
      <w:tr>
        <w:trPr>
          <w:trHeight w:val="432"/>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68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Agreement dated as of January 7, 2014, between United Community Banks, Inc. and Synovus Bank.</w:t>
            </w:r>
          </w:p>
        </w:tc>
      </w:tr>
      <w:tr>
        <w:trPr>
          <w:trHeight w:val="432"/>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68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Subsidiaries of United.</w:t>
            </w:r>
          </w:p>
        </w:tc>
      </w:tr>
      <w:tr>
        <w:trPr>
          <w:trHeight w:val="432"/>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68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432"/>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68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432"/>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68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of certain officers and directors of United (included on Signature Page).</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68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by Jimmy C. Tallent, President and Chief Executive Officer of United Community Banks, Inc., as adopted pursuant to</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41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68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Certification by Rex S. Schuette, Executive Vice President and Chief Financial Officer of United Community Banks, Inc., as adopted</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432"/>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68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bl>
    <w:p>
      <w:pPr>
        <w:spacing w:after="0" w:line="198" w:lineRule="exact"/>
        <w:rPr>
          <w:sz w:val="20"/>
          <w:szCs w:val="20"/>
          <w:color w:val="auto"/>
        </w:rPr>
      </w:pPr>
    </w:p>
    <w:p>
      <w:pPr>
        <w:ind w:left="5580" w:right="4620" w:hanging="5257"/>
        <w:spacing w:after="0" w:line="814" w:lineRule="auto"/>
        <w:tabs>
          <w:tab w:leader="none" w:pos="150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TARP Compliance Certification pursuant to 31 C.F.R. Section 30.15.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914" w:right="55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10.21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746760</wp:posOffset>
            </wp:positionV>
            <wp:extent cx="72504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9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dated as of January 7, 2014</w:t>
      </w:r>
    </w:p>
    <w:p>
      <w:pPr>
        <w:spacing w:after="0" w:line="200" w:lineRule="exact"/>
        <w:rPr>
          <w:sz w:val="20"/>
          <w:szCs w:val="20"/>
          <w:color w:val="auto"/>
        </w:rPr>
      </w:pPr>
    </w:p>
    <w:p>
      <w:pPr>
        <w:spacing w:after="0" w:line="29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among</w:t>
      </w:r>
    </w:p>
    <w:p>
      <w:pPr>
        <w:spacing w:after="0" w:line="200" w:lineRule="exact"/>
        <w:rPr>
          <w:sz w:val="20"/>
          <w:szCs w:val="20"/>
          <w:color w:val="auto"/>
        </w:rPr>
      </w:pPr>
    </w:p>
    <w:p>
      <w:pPr>
        <w:spacing w:after="0" w:line="29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UNITED COMMUNITY BANKS, INC.,</w:t>
      </w:r>
    </w:p>
    <w:p>
      <w:pPr>
        <w:spacing w:after="0" w:line="4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Borrower</w:t>
      </w:r>
    </w:p>
    <w:p>
      <w:pPr>
        <w:spacing w:after="0" w:line="23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and</w:t>
      </w:r>
    </w:p>
    <w:p>
      <w:pPr>
        <w:spacing w:after="0" w:line="24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SYNOVUS BANK,</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50430" cy="450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391795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52"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774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18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Page</w:t>
            </w:r>
          </w:p>
        </w:tc>
        <w:tc>
          <w:tcPr>
            <w:tcW w:w="100" w:type="dxa"/>
            <w:vAlign w:val="bottom"/>
          </w:tcPr>
          <w:p>
            <w:pPr>
              <w:spacing w:after="0"/>
              <w:rPr>
                <w:sz w:val="24"/>
                <w:szCs w:val="24"/>
                <w:color w:val="auto"/>
              </w:rPr>
            </w:pPr>
          </w:p>
        </w:tc>
      </w:tr>
      <w:tr>
        <w:trPr>
          <w:trHeight w:val="453"/>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DEFINITIONS; CONSTRUCTION</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10"/>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Definitions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1.2.</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Terms and Determination</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1.3.</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Terms Generally</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AMOUNT AND TERMS OF THE REVOLVING LOAN</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410"/>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2.1.</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Revolving Loan Commitment</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2.2.</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Procedure for Borrowing Revolving Loan</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2.3.</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Funding of Borrowing</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2.4.</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Elections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2.5.</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of Revolving Loans; Prepayments; Mandatory Commitment Reductions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2.6.</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Rates and Payment of Interest on Revolving Loans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2.7.</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Fees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2.8.</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2.9.</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Inability to Determine Interest Rates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2.10.</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Evidence of Indebtedness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2.11.</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Illegality</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2.12.</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Increased Costs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2.13.</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Funding Indemnity</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2.14.</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2.15.</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Generally</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III</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CONDITIONS PRECEDENT TO EFFECTIVENESS AND BORROWING</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432"/>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3.1.</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To Effectiveness and Initial Borrowing</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IV</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410"/>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4.1.</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Existence; Power</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4.2.</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Organizational Power; Authorization</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4.3.</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4.4.</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4.5.</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Litigation Matters and Enforcement Actions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4.6.</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with Laws and Agreements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4.7.</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Company Act</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4.8.</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4.9.</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Margin Regulations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4.10.</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ERISA</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4.11.</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Disclosure</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8"/>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4.12.</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Subsidiaries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4.13.</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 Restrictions; Other Restrictions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4.14.</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Measures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4.15.</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Ownership of Property</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4.16.</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Patriot Act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4.17.</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Solvency</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4.18.</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Labor Relations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4.19.</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Regulatory Matters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4.20.</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 Reports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4.21.</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Controls and Disclosure Controls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4.22.</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Corrupt Practices Act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4.23.</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Laundering Laws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4.24.</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OFAC</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8"/>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4.25.</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Liens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AFFIRMATIVE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410"/>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5.1.</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5.2.</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5.3.</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5.4.</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with Laws, Etc</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5.5.</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Obligations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5.6.</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Books and Records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5.7.</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Visitation, Inspection, Etc</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5.8.</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Maintenance of Properties; Insurance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5.9.</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Use of Proceeds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8"/>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5.10.</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Further Assurances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432"/>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6.1.</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Regulatory Capital</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NEGATIVE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410"/>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7.1.</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Indebtedness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7.2.</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Negative Pledge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7.3.</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Fundamental Changes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7.4.</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Payments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7.5.</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Restrictive Agreements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7.6.</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Investments, Etc</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7.7.</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7.8.</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Hedging Transactions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7.9.</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to Material Documents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7.10.</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 and Leaseback Transaction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7.11.</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Changes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7.13.</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Most Favored Lender Status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VIII</w:t>
            </w:r>
          </w:p>
        </w:tc>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8"/>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8.1.</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Events of Default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IX</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410"/>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9.1.</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9.2.</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Waiver; Amendments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9.3.</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Expenses; Indemnification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9.4.</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Successors and Assigns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9.5.</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9.6.</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WAIVER OF JURY TRIAL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9.7.</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Right of Setoff</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9.8.</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Counterparts; Integration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9.9.</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Survival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9.10.</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9.11.</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Confidentiality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9.12.</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Waiver of Effect of Corporate Seal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9.13.</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Patriot Act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9.14.</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Independence of Covenants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9.15.</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 Advisory or Fiduciary Relationship</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8"/>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9.16.</w:t>
            </w: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19"/>
        </w:trPr>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Schedules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34"/>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Schedule 4.12</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2600" w:type="dxa"/>
            <w:vAlign w:val="bottom"/>
          </w:tcPr>
          <w:p>
            <w:pPr>
              <w:spacing w:after="0"/>
              <w:rPr>
                <w:sz w:val="24"/>
                <w:szCs w:val="24"/>
                <w:color w:val="auto"/>
              </w:rPr>
            </w:pP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Schedule 7.1</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Indebtedness</w:t>
            </w:r>
          </w:p>
        </w:tc>
        <w:tc>
          <w:tcPr>
            <w:tcW w:w="2600" w:type="dxa"/>
            <w:vAlign w:val="bottom"/>
          </w:tcPr>
          <w:p>
            <w:pPr>
              <w:spacing w:after="0"/>
              <w:rPr>
                <w:sz w:val="18"/>
                <w:szCs w:val="18"/>
                <w:color w:val="auto"/>
              </w:rPr>
            </w:pPr>
          </w:p>
        </w:tc>
      </w:tr>
      <w:tr>
        <w:trPr>
          <w:trHeight w:val="234"/>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Schedule 7.6</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2600" w:type="dxa"/>
            <w:vAlign w:val="bottom"/>
          </w:tcPr>
          <w:p>
            <w:pPr>
              <w:spacing w:after="0"/>
              <w:rPr>
                <w:sz w:val="20"/>
                <w:szCs w:val="20"/>
                <w:color w:val="auto"/>
              </w:rPr>
            </w:pPr>
          </w:p>
        </w:tc>
      </w:tr>
      <w:tr>
        <w:trPr>
          <w:trHeight w:val="392"/>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34"/>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Exhibit A</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Assignment and Acceptance Agreement</w:t>
            </w:r>
          </w:p>
        </w:tc>
        <w:tc>
          <w:tcPr>
            <w:tcW w:w="2600" w:type="dxa"/>
            <w:vAlign w:val="bottom"/>
          </w:tcPr>
          <w:p>
            <w:pPr>
              <w:spacing w:after="0"/>
              <w:rPr>
                <w:sz w:val="24"/>
                <w:szCs w:val="24"/>
                <w:color w:val="auto"/>
              </w:rPr>
            </w:pP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Exhibit B</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Revolving Credit Note</w:t>
            </w:r>
          </w:p>
        </w:tc>
        <w:tc>
          <w:tcPr>
            <w:tcW w:w="2600" w:type="dxa"/>
            <w:vAlign w:val="bottom"/>
          </w:tcPr>
          <w:p>
            <w:pPr>
              <w:spacing w:after="0"/>
              <w:rPr>
                <w:sz w:val="18"/>
                <w:szCs w:val="18"/>
                <w:color w:val="auto"/>
              </w:rPr>
            </w:pP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Exhibit 2.2</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Notice of Borrowing</w:t>
            </w:r>
          </w:p>
        </w:tc>
        <w:tc>
          <w:tcPr>
            <w:tcW w:w="2600" w:type="dxa"/>
            <w:vAlign w:val="bottom"/>
          </w:tcPr>
          <w:p>
            <w:pPr>
              <w:spacing w:after="0"/>
              <w:rPr>
                <w:sz w:val="18"/>
                <w:szCs w:val="18"/>
                <w:color w:val="auto"/>
              </w:rPr>
            </w:pP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Exhibit 2.4</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Notice of Continuation/Conversion</w:t>
            </w:r>
          </w:p>
        </w:tc>
        <w:tc>
          <w:tcPr>
            <w:tcW w:w="2600" w:type="dxa"/>
            <w:vAlign w:val="bottom"/>
          </w:tcPr>
          <w:p>
            <w:pPr>
              <w:spacing w:after="0"/>
              <w:rPr>
                <w:sz w:val="18"/>
                <w:szCs w:val="18"/>
                <w:color w:val="auto"/>
              </w:rPr>
            </w:pP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Exhibit 3.1(b)</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Secretary’s Certificate</w:t>
            </w:r>
          </w:p>
        </w:tc>
        <w:tc>
          <w:tcPr>
            <w:tcW w:w="2600" w:type="dxa"/>
            <w:vAlign w:val="bottom"/>
          </w:tcPr>
          <w:p>
            <w:pPr>
              <w:spacing w:after="0"/>
              <w:rPr>
                <w:sz w:val="18"/>
                <w:szCs w:val="18"/>
                <w:color w:val="auto"/>
              </w:rPr>
            </w:pP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(iii)</w:t>
            </w:r>
          </w:p>
        </w:tc>
        <w:tc>
          <w:tcPr>
            <w:tcW w:w="4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Exhibit 3.1(b)</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Officer’s Certificate</w:t>
            </w:r>
          </w:p>
        </w:tc>
        <w:tc>
          <w:tcPr>
            <w:tcW w:w="2600" w:type="dxa"/>
            <w:vAlign w:val="bottom"/>
          </w:tcPr>
          <w:p>
            <w:pPr>
              <w:spacing w:after="0"/>
              <w:rPr>
                <w:sz w:val="18"/>
                <w:szCs w:val="18"/>
                <w:color w:val="auto"/>
              </w:rPr>
            </w:pPr>
          </w:p>
        </w:tc>
      </w:tr>
      <w:tr>
        <w:trPr>
          <w:trHeight w:val="216"/>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(vi)</w:t>
            </w:r>
          </w:p>
        </w:tc>
        <w:tc>
          <w:tcPr>
            <w:tcW w:w="4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34"/>
        </w:trPr>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Exhibit 5.1(c)</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2600" w:type="dxa"/>
            <w:vAlign w:val="bottom"/>
          </w:tcPr>
          <w:p>
            <w:pPr>
              <w:spacing w:after="0"/>
              <w:rPr>
                <w:sz w:val="20"/>
                <w:szCs w:val="20"/>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CREDIT AGREEMENT</w:t>
      </w:r>
    </w:p>
    <w:p>
      <w:pPr>
        <w:spacing w:after="0" w:line="252" w:lineRule="exact"/>
        <w:rPr>
          <w:sz w:val="20"/>
          <w:szCs w:val="20"/>
          <w:color w:val="auto"/>
        </w:rPr>
      </w:pPr>
    </w:p>
    <w:p>
      <w:pPr>
        <w:ind w:right="104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CREDIT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January 7, 2014, by and among</w:t>
      </w:r>
      <w:r>
        <w:rPr>
          <w:rFonts w:ascii="Times New Roman" w:cs="Times New Roman" w:eastAsia="Times New Roman" w:hAnsi="Times New Roman"/>
          <w:sz w:val="18"/>
          <w:szCs w:val="18"/>
          <w:b w:val="1"/>
          <w:bCs w:val="1"/>
          <w:color w:val="auto"/>
        </w:rPr>
        <w:t xml:space="preserve"> UNITED COMMUNITY BANKS, INC.</w:t>
      </w:r>
      <w:r>
        <w:rPr>
          <w:rFonts w:ascii="Times New Roman" w:cs="Times New Roman" w:eastAsia="Times New Roman" w:hAnsi="Times New Roman"/>
          <w:sz w:val="18"/>
          <w:szCs w:val="18"/>
          <w:color w:val="auto"/>
        </w:rPr>
        <w:t>, a Georgia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SYNOVUS BANK</w:t>
      </w:r>
      <w:r>
        <w:rPr>
          <w:rFonts w:ascii="Times New Roman" w:cs="Times New Roman" w:eastAsia="Times New Roman" w:hAnsi="Times New Roman"/>
          <w:sz w:val="18"/>
          <w:szCs w:val="18"/>
          <w:color w:val="auto"/>
        </w:rPr>
        <w:t>, as Lender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25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has requested that the Lender, and the Lender has agreed subject to the terms and conditions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establish a revolving credit facility in an aggregate initial principal amount of $50,000,000;</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covenants herein contained, the Borrower and the Lender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0" w:lineRule="exact"/>
        <w:rPr>
          <w:sz w:val="20"/>
          <w:szCs w:val="20"/>
          <w:color w:val="auto"/>
        </w:rPr>
      </w:pPr>
    </w:p>
    <w:p>
      <w:pPr>
        <w:jc w:val="center"/>
        <w:ind w:left="340"/>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ARTICLE I</w:t>
      </w:r>
      <w:r>
        <w:rPr>
          <w:sz w:val="20"/>
          <w:szCs w:val="20"/>
          <w:color w:val="auto"/>
        </w:rPr>
        <w:tab/>
      </w:r>
      <w:r>
        <w:rPr>
          <w:rFonts w:ascii="Times New Roman" w:cs="Times New Roman" w:eastAsia="Times New Roman" w:hAnsi="Times New Roman"/>
          <w:sz w:val="17"/>
          <w:szCs w:val="17"/>
          <w:b w:val="1"/>
          <w:bCs w:val="1"/>
          <w:u w:val="single" w:color="auto"/>
          <w:color w:val="auto"/>
        </w:rPr>
        <w:t>DEFINITIONS; CONSTRUCTION</w:t>
      </w:r>
    </w:p>
    <w:p>
      <w:pPr>
        <w:spacing w:after="0" w:line="25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other terms defined herein, the following terms used herein shall have the meanings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(to be equally applicable to both the singular and plural forms of the terms defined):</w:t>
      </w:r>
    </w:p>
    <w:p>
      <w:pPr>
        <w:spacing w:after="0" w:line="182"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shall mean any transaction or a series of related transactions for the purpose of, or resulting, directly or indirectly, in (a) the acquisition of all or substantially all of the assets of a Person, or of any business or division of any Person, (b) the acquisition of greater than 50% of the Capital Stock, partnership interest, membership interest or other equity interests of any Person, or otherwise causing a Person to become a Subsidiary, or (c) a merger or consolidation of, or any other combination with, another Person (other than a Person that is a Subsidiary).</w:t>
      </w:r>
    </w:p>
    <w:p>
      <w:pPr>
        <w:spacing w:after="0" w:line="204"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Covenant</w:t>
      </w:r>
      <w:r>
        <w:rPr>
          <w:rFonts w:ascii="Times New Roman" w:cs="Times New Roman" w:eastAsia="Times New Roman" w:hAnsi="Times New Roman"/>
          <w:sz w:val="18"/>
          <w:szCs w:val="18"/>
          <w:color w:val="auto"/>
        </w:rPr>
        <w:t xml:space="preserve">” shall mean any affirmative or negative covenant or similar restriction applicable to the Borrower or any of its Subsidiaries (regardless of whether such provision is labeled or otherwise characterized as a covenant) the subject matter of which either (i) is similar to that of any covenant in </w:t>
      </w:r>
      <w:r>
        <w:rPr>
          <w:rFonts w:ascii="Times New Roman" w:cs="Times New Roman" w:eastAsia="Times New Roman" w:hAnsi="Times New Roman"/>
          <w:sz w:val="18"/>
          <w:szCs w:val="18"/>
          <w:u w:val="single" w:color="auto"/>
          <w:color w:val="auto"/>
        </w:rPr>
        <w:t>Articles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of this Agreement, or related definitions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Agreement, but contains one or more percentages, amounts or formulas that is more restrictive than those set forth herein or more beneficial to the holder or holders of the Indebtedness of the Borrower or its Subsidiaries created or evidenced by the document in which such covenant or similar restriction is contained (and such covenant or similar restriction shall be deemed an Additional Covenant only to the extent that it is more restrictive or more beneficial) or (ii) is different from the subject matter of any covenant in </w:t>
      </w:r>
      <w:r>
        <w:rPr>
          <w:rFonts w:ascii="Times New Roman" w:cs="Times New Roman" w:eastAsia="Times New Roman" w:hAnsi="Times New Roman"/>
          <w:sz w:val="18"/>
          <w:szCs w:val="18"/>
          <w:u w:val="single" w:color="auto"/>
          <w:color w:val="auto"/>
        </w:rPr>
        <w:t>Articles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of this Agreement, or related definitions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31" w:name="page132"/>
    <w:bookmarkEnd w:id="131"/>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Default</w:t>
      </w:r>
      <w:r>
        <w:rPr>
          <w:rFonts w:ascii="Times New Roman" w:cs="Times New Roman" w:eastAsia="Times New Roman" w:hAnsi="Times New Roman"/>
          <w:sz w:val="18"/>
          <w:szCs w:val="18"/>
          <w:color w:val="auto"/>
        </w:rPr>
        <w:t xml:space="preserve">” shall mean any provision contained in any document or instrument creating or evidencing Indebtedness of the Borrower or any of its Subsidiaries which permits the holder or holders of such Indebtedness to accelerate (with the passage of time or giving of notice or both) the maturity thereof or otherwise requires the Borrower or any of its Subsidiaries to purchase such Indebtedness prior to the stated maturity thereof and which either (i) is similar to any Default or Event of Default contained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of this Agreement, or related definitions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Agreement, but contains one or more percentages, amounts or formulas that is more restrictive or has a shorter grace period than those set forth herein or is more beneficial to the holder or holders of such other Indebtedness (and such provision shall be deemed an Additional Default only to the extent that it is more restrictive or more beneficial) or (ii) is different from the subject matter of any Default or Event of Default contained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of this Agreement, or related definitions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Agreement.</w:t>
      </w:r>
    </w:p>
    <w:p>
      <w:pPr>
        <w:spacing w:after="0" w:line="212"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Questionnaire</w:t>
      </w:r>
      <w:r>
        <w:rPr>
          <w:rFonts w:ascii="Times New Roman" w:cs="Times New Roman" w:eastAsia="Times New Roman" w:hAnsi="Times New Roman"/>
          <w:sz w:val="18"/>
          <w:szCs w:val="18"/>
          <w:color w:val="auto"/>
        </w:rPr>
        <w:t>” shall mean, with respect to the Lender, an administrative questionnaire in the form prepared by the Lender and submitted to the Lender.</w:t>
      </w:r>
    </w:p>
    <w:p>
      <w:pPr>
        <w:spacing w:after="0" w:line="182"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as to any Person, any other Person that directly, or indirectly through one or more intermediaries, Controls, is Controlled by, or is under common Control with, such Person.</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Anti-Terrorism Laws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4.16.</w:t>
      </w:r>
    </w:p>
    <w:p>
      <w:pPr>
        <w:spacing w:after="0" w:line="252"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Approved Fund</w:t>
      </w:r>
      <w:r>
        <w:rPr>
          <w:rFonts w:ascii="Times New Roman" w:cs="Times New Roman" w:eastAsia="Times New Roman" w:hAnsi="Times New Roman"/>
          <w:sz w:val="18"/>
          <w:szCs w:val="18"/>
          <w:color w:val="auto"/>
        </w:rPr>
        <w:t>” shall mean any Person (other than a natural Person) that is (or will be) engaged in making, purchasing, holding or otherwise investing in commercial loans and similar extensions of credit in the ordinary course of its business and that is administered or managed by (i) the Lender, (ii) an Affiliate of the Lender or (iii) an entity or an Affiliate of an entity that administers or manages the Lender.</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Sale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 and Acceptance</w:t>
      </w:r>
      <w:r>
        <w:rPr>
          <w:rFonts w:ascii="Times New Roman" w:cs="Times New Roman" w:eastAsia="Times New Roman" w:hAnsi="Times New Roman"/>
          <w:sz w:val="18"/>
          <w:szCs w:val="18"/>
          <w:color w:val="auto"/>
        </w:rPr>
        <w:t xml:space="preserve">” shall mean an Assignment and Acceptance entered into by the Lender and an assignee,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Availability Period</w:t>
      </w:r>
      <w:r>
        <w:rPr>
          <w:rFonts w:ascii="Times New Roman" w:cs="Times New Roman" w:eastAsia="Times New Roman" w:hAnsi="Times New Roman"/>
          <w:sz w:val="18"/>
          <w:szCs w:val="18"/>
          <w:color w:val="auto"/>
        </w:rPr>
        <w:t>” shall mean the period from the Closing Date to the Maturity Date.</w:t>
      </w:r>
    </w:p>
    <w:p>
      <w:pPr>
        <w:spacing w:after="0" w:line="252" w:lineRule="exact"/>
        <w:rPr>
          <w:sz w:val="20"/>
          <w:szCs w:val="20"/>
          <w:color w:val="auto"/>
        </w:rPr>
      </w:pPr>
    </w:p>
    <w:p>
      <w:pPr>
        <w:jc w:val="both"/>
        <w:ind w:firstLine="134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w:t>
      </w:r>
      <w:r>
        <w:rPr>
          <w:rFonts w:ascii="Times New Roman" w:cs="Times New Roman" w:eastAsia="Times New Roman" w:hAnsi="Times New Roman"/>
          <w:sz w:val="18"/>
          <w:szCs w:val="18"/>
          <w:color w:val="auto"/>
        </w:rPr>
        <w:t xml:space="preserve">” shall mean the highest of: (i) the prevailing rate of interest, on a per annum basis, described in the Eastern Edition of </w:t>
      </w:r>
      <w:r>
        <w:rPr>
          <w:rFonts w:ascii="Times New Roman" w:cs="Times New Roman" w:eastAsia="Times New Roman" w:hAnsi="Times New Roman"/>
          <w:sz w:val="18"/>
          <w:szCs w:val="18"/>
          <w:u w:val="single" w:color="auto"/>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Street Journal</w:t>
      </w:r>
      <w:r>
        <w:rPr>
          <w:rFonts w:ascii="Times New Roman" w:cs="Times New Roman" w:eastAsia="Times New Roman" w:hAnsi="Times New Roman"/>
          <w:sz w:val="18"/>
          <w:szCs w:val="18"/>
          <w:color w:val="auto"/>
        </w:rPr>
        <w:t xml:space="preserve"> as the prime lending rate, as in effect from time to time, (ii) the Federal Funds Rate, as in effect from time to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one-half of one percent (0.50%) per annum and (iii) LIBOR determined on a daily basis for an Interest Period of one (1) month,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one percent (1.00%) per annum. The Lender’s prime lending rate is a reference rate and does not necessarily represent the lowest or best rate actually charged to any customer. The Lender may make commercial loans or other loans at rates of interest at, above or below the Lender’s prime lending rate. Each change in the any of the rates described above in this definition shall be effective from and including the date such change is announced as being effective.</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 Borrowing</w:t>
      </w:r>
      <w:r>
        <w:rPr>
          <w:rFonts w:ascii="Times New Roman" w:cs="Times New Roman" w:eastAsia="Times New Roman" w:hAnsi="Times New Roman"/>
          <w:sz w:val="18"/>
          <w:szCs w:val="18"/>
          <w:color w:val="auto"/>
        </w:rPr>
        <w:t>” shall mean a Borrowing of a Revolving Loan as a Base Rate Loan.</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 Loan</w:t>
      </w:r>
      <w:r>
        <w:rPr>
          <w:rFonts w:ascii="Times New Roman" w:cs="Times New Roman" w:eastAsia="Times New Roman" w:hAnsi="Times New Roman"/>
          <w:sz w:val="18"/>
          <w:szCs w:val="18"/>
          <w:color w:val="auto"/>
        </w:rPr>
        <w:t>” shall mean a Revolving Loan to the extent it is accruing interest at the Base Rate.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32" w:name="page133"/>
    <w:bookmarkEnd w:id="13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 Margin</w:t>
      </w:r>
      <w:r>
        <w:rPr>
          <w:rFonts w:ascii="Times New Roman" w:cs="Times New Roman" w:eastAsia="Times New Roman" w:hAnsi="Times New Roman"/>
          <w:sz w:val="18"/>
          <w:szCs w:val="18"/>
          <w:color w:val="auto"/>
        </w:rPr>
        <w:t>” shall mean 2.50% per annum.</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hereof.</w:t>
      </w:r>
    </w:p>
    <w:p>
      <w:pPr>
        <w:spacing w:after="0" w:line="25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Borrowing</w:t>
      </w:r>
      <w:r>
        <w:rPr>
          <w:rFonts w:ascii="Times New Roman" w:cs="Times New Roman" w:eastAsia="Times New Roman" w:hAnsi="Times New Roman"/>
          <w:sz w:val="18"/>
          <w:szCs w:val="18"/>
          <w:color w:val="auto"/>
        </w:rPr>
        <w:t>” shall mean a borrowing consisting of a Revolving Loan of the same Type, made, converted or continued on the same date and, in the case of Eurodollar Loans, as to which a single Interest Period is in effect.</w:t>
      </w:r>
    </w:p>
    <w:p>
      <w:pPr>
        <w:spacing w:after="0" w:line="182"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(i) any day other than a Saturday, Sunday or other day on which commercial banks in Columbus, Georgia are authorized or required by law to close and (ii) if such day relates to a continuation of, a payment or prepayment of principal or interest on, or an Interest Period for, a Eurodollar Loan or a notice with respect thereto, any day on which dealings in Dollars are carried on in the London interbank market.</w:t>
      </w:r>
    </w:p>
    <w:p>
      <w:pPr>
        <w:spacing w:after="0" w:line="198"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Call Report</w:t>
      </w:r>
      <w:r>
        <w:rPr>
          <w:rFonts w:ascii="Times New Roman" w:cs="Times New Roman" w:eastAsia="Times New Roman" w:hAnsi="Times New Roman"/>
          <w:sz w:val="18"/>
          <w:szCs w:val="18"/>
          <w:color w:val="auto"/>
        </w:rPr>
        <w:t>” shall mean, with respect to each Financial Institution Subsidiary, the “Consolidated Reports of Condition and Income” (FFIEC Form 031 or 041 or any successor form of the Federal Financial Institutions Examination Council).</w:t>
      </w:r>
    </w:p>
    <w:p>
      <w:pPr>
        <w:spacing w:after="0" w:line="182"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any and all shares, equity interests, participations or other equivalents (however designated) of capital stock of a corporation, any and all equivalent ownership interests in a Person (other than a corporation), including any preferred interests and preferred shares, partnership interests and membership interests, and any and all warrants, rights or options to purchase or other arrangements or rights to acquire any of the foregoing.</w:t>
      </w:r>
    </w:p>
    <w:p>
      <w:pPr>
        <w:spacing w:after="0" w:line="204"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Lease Obligations</w:t>
      </w:r>
      <w:r>
        <w:rPr>
          <w:rFonts w:ascii="Times New Roman" w:cs="Times New Roman" w:eastAsia="Times New Roman" w:hAnsi="Times New Roman"/>
          <w:sz w:val="18"/>
          <w:szCs w:val="18"/>
          <w:color w:val="auto"/>
        </w:rPr>
        <w:t>” of any Person shall mean all obligations of such Person to pay rent or other amounts under any lease (or other arrangement conveying the right to use) of real or personal property, or a combination thereof, which obligations are required to be classified and accounted for as capital lease obligations on a balance sheet of such Person under GAAP, and the amount of such obligations shall be the capitalized amount thereof determined in accordance with GAAP.</w:t>
      </w:r>
    </w:p>
    <w:p>
      <w:pPr>
        <w:spacing w:after="0" w:line="204"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means money, currency or a credit balance in any Deposit Account, in each case, owned by the Borrower or its Subsidiaries, but only to the extent the foregoing is not subject to any Lien.</w:t>
      </w:r>
    </w:p>
    <w:p>
      <w:pPr>
        <w:spacing w:after="0" w:line="182"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mean (a) with respect to the Borrower, the occurrence of one or more of the following events: (i) any sale, lease, exchange or other transfer (in a single transaction or a series of related transactions) of all or a material portion of the assets of the Borrower to any Person or “group” (within the meaning of the Exchange Act and the rules of the SEC thereunder in effect on the date hereof), (ii) the acquisition of ownership, directly or indirectly, beneficially or of record, by any Person or “group” (within the meaning of the Exchange Act and the rules of the SEC thereunder as in effect on the date hereof) of: (x) 25.0% or more of the outstanding shares of the Voting Stock of the Borrower and/or (y) other Capital Stock of the Borrower representing 25.0% or more of the economic interests of the Borrower, (iii) occupation of a majority of the seats (other than vacant seats) on the board of directors of the Borrower by Persons who were neither (A) nominated by the Borrower’s board of directors as constituted as of the Closing Date or</w:t>
      </w:r>
    </w:p>
    <w:p>
      <w:pPr>
        <w:spacing w:after="0" w:line="1" w:lineRule="exact"/>
        <w:rPr>
          <w:sz w:val="20"/>
          <w:szCs w:val="20"/>
          <w:color w:val="auto"/>
        </w:rPr>
      </w:pPr>
    </w:p>
    <w:p>
      <w:pPr>
        <w:ind w:firstLine="8"/>
        <w:spacing w:after="0" w:line="261" w:lineRule="auto"/>
        <w:tabs>
          <w:tab w:leader="none" w:pos="2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directors so nominated after the Closing Date, or (b) the Borrower shall own, directly or indirectly, less than 100% of the Voting Stock of any Financial Institution Subsidiary.</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660" w:hanging="96"/>
        <w:spacing w:after="0"/>
        <w:tabs>
          <w:tab w:leader="none" w:pos="5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33" w:name="page134"/>
    <w:bookmarkEnd w:id="133"/>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Law</w:t>
      </w:r>
      <w:r>
        <w:rPr>
          <w:rFonts w:ascii="Times New Roman" w:cs="Times New Roman" w:eastAsia="Times New Roman" w:hAnsi="Times New Roman"/>
          <w:sz w:val="18"/>
          <w:szCs w:val="18"/>
          <w:color w:val="auto"/>
        </w:rPr>
        <w:t xml:space="preserve">” shall mean (i) the adoption of any applicable law, rule or regulation after the date of this Agreement, (ii) any change in any applicable law, rule or regulation, or any change in the interpretation or application thereof, by any Governmental Authority after the date of this Agreement, or (iii) compliance by the Lender with any request, guideline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herein to the contrary, (x) all requests, rules, guidelines or directives under the Dodd-Frank Wall Street Reform and Consumer Protection Act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Charges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shall mean the date on which the conditions precedent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have been satisfied or waived in accordance with the terms of this Agreement.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shall mean the Internal Revenue Code of 1986, as amended and in effect from time to time.</w:t>
      </w:r>
    </w:p>
    <w:p>
      <w:pPr>
        <w:spacing w:after="0" w:line="25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 xml:space="preserve">” shall mean a certificate from a Responsible Officer of the Borrower in the form of, and containing the certifications set forth in, the certificate attached hereto as </w:t>
      </w:r>
      <w:r>
        <w:rPr>
          <w:rFonts w:ascii="Times New Roman" w:cs="Times New Roman" w:eastAsia="Times New Roman" w:hAnsi="Times New Roman"/>
          <w:sz w:val="18"/>
          <w:szCs w:val="18"/>
          <w:u w:val="single" w:color="auto"/>
          <w:color w:val="auto"/>
        </w:rPr>
        <w:t>Exhibit 5.1(c)</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Contractual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Person shall mean any provision of any security issued by such Person or of any agreement, instrument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undertaking under which such Person is obligated or by which it or any of the property in which it has an interest is bound.</w:t>
      </w:r>
    </w:p>
    <w:p>
      <w:pPr>
        <w:spacing w:after="0" w:line="182"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shall mean the power, directly or indirectly, to direct or cause the direction of the management and policies of a Person, whether through the ability to exercise voting power, by contract or otherwise.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have meanings correlative thereto.</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shall mean any condition or event that, with the giving of notice or the lapse of time or both, would constitute an Event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w:t>
      </w:r>
    </w:p>
    <w:p>
      <w:pPr>
        <w:spacing w:after="0" w:line="2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Interest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34" w:name="page135"/>
    <w:bookmarkEnd w:id="134"/>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 Account</w:t>
      </w:r>
      <w:r>
        <w:rPr>
          <w:rFonts w:ascii="Times New Roman" w:cs="Times New Roman" w:eastAsia="Times New Roman" w:hAnsi="Times New Roman"/>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shall mean lawful money of the United States of America.</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Assignee</w:t>
      </w:r>
      <w:r>
        <w:rPr>
          <w:rFonts w:ascii="Times New Roman" w:cs="Times New Roman" w:eastAsia="Times New Roman" w:hAnsi="Times New Roman"/>
          <w:sz w:val="18"/>
          <w:szCs w:val="18"/>
          <w:color w:val="auto"/>
        </w:rPr>
        <w:t>” shall mean: (a) an Affiliate of the Lender or (b) an Approved Fund.</w:t>
      </w:r>
    </w:p>
    <w:p>
      <w:pPr>
        <w:spacing w:after="0" w:line="252"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Benefit Plan</w:t>
      </w:r>
      <w:r>
        <w:rPr>
          <w:rFonts w:ascii="Times New Roman" w:cs="Times New Roman" w:eastAsia="Times New Roman" w:hAnsi="Times New Roman"/>
          <w:sz w:val="18"/>
          <w:szCs w:val="18"/>
          <w:color w:val="auto"/>
        </w:rPr>
        <w:t>” shall have that meaning as defined in Section 3(3) of ERISA (not including any Multiemployer Plan) and for which the Borrower or any Subsidiary of the Borrower maintains, contributes to or has an obligation to contribute to on behalf of participants who are or were employed by the Borrower or any Subsidiary of the Borrower or on behalf of beneficiaries of such participants.</w:t>
      </w:r>
    </w:p>
    <w:p>
      <w:pPr>
        <w:spacing w:after="0" w:line="198"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shall mean all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w:t>
      </w:r>
    </w:p>
    <w:p>
      <w:pPr>
        <w:spacing w:after="0" w:line="19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“Environmental Liability</w:t>
      </w:r>
      <w:r>
        <w:rPr>
          <w:rFonts w:ascii="Times New Roman" w:cs="Times New Roman" w:eastAsia="Times New Roman" w:hAnsi="Times New Roman"/>
          <w:sz w:val="18"/>
          <w:szCs w:val="18"/>
          <w:color w:val="auto"/>
        </w:rPr>
        <w:t>” shall mean any liability, contingent or otherwise (including any liability for damages, costs of environmental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investigation and remediation, costs of administrative oversight, fines, natural resource damages, penalties or indemnities), of the Borrower or any Subsidiary directly or indirectly resulting from or based upon (a) any actual or alleged violation of any Environmental Law, (b) the generation, use, handling, transportation, storage, treatment or disposal of any Hazardous Materials, (c) any actual or alleged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210"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shall mean the Employee Retirement Income Security Act of 1974, as amended from time to time, and any successor statute including any regulations promulgated thereunder.</w:t>
      </w:r>
    </w:p>
    <w:p>
      <w:pPr>
        <w:spacing w:after="0" w:line="182"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shall mean any trade or business (whether or not incorporated), which, together with the Borrower, is treated as a single employer under Section 414(b) or (c) of the Code or, solely for the purposes of Section 303 of ERISA and Section 430 of the Code, is treated as a single employer under Section 414 of the Code.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35" w:name="page136"/>
    <w:bookmarkEnd w:id="135"/>
    <w:p>
      <w:pPr>
        <w:jc w:val="both"/>
        <w:ind w:firstLine="12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Event</w:t>
      </w:r>
      <w:r>
        <w:rPr>
          <w:rFonts w:ascii="Times New Roman" w:cs="Times New Roman" w:eastAsia="Times New Roman" w:hAnsi="Times New Roman"/>
          <w:sz w:val="18"/>
          <w:szCs w:val="18"/>
          <w:color w:val="auto"/>
        </w:rPr>
        <w:t>” shall mean with respect to the Borrower or any ERISA Affiliate, (i) any “reportable event”, as defined in Section 4043 of ERISA with respect to a Plan (other than an event for which the 30-day notice period is waived); (ii) the failure to make required contributions when due to a Multiemployer Plan or Plan or the imposition of a Lien in favor of a Plan under Section 430(k) of the Code or Section 303(k) of ERISA; (iii) the filing pursuant to Section 412(c) of the Code or Section 302(c) of ERISA of an application for a waiver of the minimum funding standard with respect to any Plan;</w:t>
      </w:r>
    </w:p>
    <w:p>
      <w:pPr>
        <w:jc w:val="both"/>
        <w:ind w:firstLine="8"/>
        <w:spacing w:after="0" w:line="251" w:lineRule="auto"/>
        <w:tabs>
          <w:tab w:leader="none" w:pos="3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any liability under Title IV of ERISA, other than for PBGC premiums due but not delinquent under Section 4007 of ERISA, or the imposition of an Lien in favor of the PBGC under Title IV of ERISA; (v) the receipt from the PBGC or a plan administrator appointed by the PBGC of any notice relating to an intention to terminate any Plan or Plans or to appoint a trustee to administer any Plan; (vi) any other event or condition that might reasonably be expected to constitute grounds under Section 4042 of ERISA for the termination of, or the appointment of a trustee to administer, any Plan or Multiemployer Plan or for the imposition of liability under Section 4069 or 4212(c) of ERISA; (vii) the incurrence of any liability with respect to the withdrawal or partial withdrawal from any Plan including the withdrawal from a Plan subject to Section 4063 of ERISA during a plan year in which it was a substantial employer, as defined in Section 4001(a)(2) of ERISA, or a cessation of operations that is treated as such a withdrawal under Section 4062(e) of ERISA; (viii) or the incurrence of any Withdrawal Liability with respect to any Multiemployer Plan; (ix) the receipt of any notice, concerning the imposition of Withdrawal Liability or a determination that a Multiemployer Plan is, or is expected to be, insolvent (within the meaning of Section 4245 of ERISA) or in reorganization (within the meaning of Section 4241 of ERISA), or in “critical” status (within the meaning of Section 432 of the Code or Section 305 of ERISA); or (x) a determination that a Plan is, or is reasonably expected to be, in “at risk” status (within the meaning of Section 430 of the Code or Section 303 of ERISA).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Eurodollar</w:t>
      </w:r>
      <w:r>
        <w:rPr>
          <w:rFonts w:ascii="Times New Roman" w:cs="Times New Roman" w:eastAsia="Times New Roman" w:hAnsi="Times New Roman"/>
          <w:sz w:val="18"/>
          <w:szCs w:val="18"/>
          <w:color w:val="auto"/>
        </w:rPr>
        <w:t>” when used in reference to a Revolving Loan, refers to a Revolving Loan bearing interest at a rate determined by reference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LIBOR.</w:t>
      </w:r>
    </w:p>
    <w:p>
      <w:pPr>
        <w:spacing w:after="0" w:line="2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Eurodollar Borrowing</w:t>
      </w:r>
      <w:r>
        <w:rPr>
          <w:rFonts w:ascii="Times New Roman" w:cs="Times New Roman" w:eastAsia="Times New Roman" w:hAnsi="Times New Roman"/>
          <w:sz w:val="18"/>
          <w:szCs w:val="18"/>
          <w:color w:val="auto"/>
        </w:rPr>
        <w:t>” shall mean the Borrowing of a Revolving Loan as a Eurodollar Loan.</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Eurodollar Loan</w:t>
      </w:r>
      <w:r>
        <w:rPr>
          <w:rFonts w:ascii="Times New Roman" w:cs="Times New Roman" w:eastAsia="Times New Roman" w:hAnsi="Times New Roman"/>
          <w:sz w:val="18"/>
          <w:szCs w:val="18"/>
          <w:color w:val="auto"/>
        </w:rPr>
        <w:t>” shall mean a Revolving Loan to the extent it is accruing interest based on LIBOR.</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52"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Taxes</w:t>
      </w:r>
      <w:r>
        <w:rPr>
          <w:rFonts w:ascii="Times New Roman" w:cs="Times New Roman" w:eastAsia="Times New Roman" w:hAnsi="Times New Roman"/>
          <w:sz w:val="18"/>
          <w:szCs w:val="18"/>
          <w:color w:val="auto"/>
        </w:rPr>
        <w:t>” shall mean with respect to the Lender or any other recipient of any payment to be made by or on account of any obligation of the Borrower hereunder, (a) income or franchise taxes imposed on (or measured by) its net income by the United States of America, or by the jurisdiction under the laws of which such recipient is organized or in which its principal office is located or, in the case of the Lender, in which its applicable lending office is located, and (b) any branch profits taxes imposed by the United States of America or any similar tax imposed by any other jurisdiction in which the Lender is located.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hereof.</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FDIC</w:t>
      </w:r>
      <w:r>
        <w:rPr>
          <w:rFonts w:ascii="Times New Roman" w:cs="Times New Roman" w:eastAsia="Times New Roman" w:hAnsi="Times New Roman"/>
          <w:sz w:val="18"/>
          <w:szCs w:val="18"/>
          <w:color w:val="auto"/>
        </w:rPr>
        <w:t>” shall mean the Federal Deposit Insurance Corporation.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36" w:name="page137"/>
    <w:bookmarkEnd w:id="136"/>
    <w:p>
      <w:pPr>
        <w:jc w:val="both"/>
        <w:ind w:firstLine="1297"/>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Federal Funds Rate</w:t>
      </w:r>
      <w:r>
        <w:rPr>
          <w:rFonts w:ascii="Times New Roman" w:cs="Times New Roman" w:eastAsia="Times New Roman" w:hAnsi="Times New Roman"/>
          <w:sz w:val="18"/>
          <w:szCs w:val="18"/>
          <w:color w:val="auto"/>
        </w:rPr>
        <w:t>” shall mean, for any day, the rate per annum (rounded upwards, if necessary, to the next 1/100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1%) equal to the weighted average of the rates on overnight Federal funds transactions with member banks of the Federal Reserve System arranged by Federal funds brokers, as published by the Federal Reserve Bank of New York on the next succeeding Business Day or if such rate is not so published for any Business Day, the Federal Funds Rate for such day shall be the average rounded upwards, if necessary, to the next 1/100th of 1% of the quotations for such day on such transactions received by the Lender from three Federal funds brokers of recognized standing selected by the Lender.</w:t>
      </w:r>
    </w:p>
    <w:p>
      <w:pPr>
        <w:spacing w:after="0" w:line="22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Institution Subsidiary</w:t>
      </w:r>
      <w:r>
        <w:rPr>
          <w:rFonts w:ascii="Times New Roman" w:cs="Times New Roman" w:eastAsia="Times New Roman" w:hAnsi="Times New Roman"/>
          <w:sz w:val="18"/>
          <w:szCs w:val="18"/>
          <w:color w:val="auto"/>
        </w:rPr>
        <w:t xml:space="preserve">” shall mean each of (a) those Financial Institution Subsidiaries set forth on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xml:space="preserve"> and designated as a “Financial Institution Subsidiary” and (b) each other Subsidiary hereafter formed or acquired that is a regulated financial institution.</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Quarter</w:t>
      </w:r>
      <w:r>
        <w:rPr>
          <w:rFonts w:ascii="Times New Roman" w:cs="Times New Roman" w:eastAsia="Times New Roman" w:hAnsi="Times New Roman"/>
          <w:sz w:val="18"/>
          <w:szCs w:val="18"/>
          <w:color w:val="auto"/>
        </w:rPr>
        <w:t>” shall mean each fiscal quarter (including the fiscal quarter at the fiscal year-end) of the Borrower and its Subsidiaries.</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shall mean each fiscal year of the Borrower and its Subsidiaries.</w:t>
      </w:r>
    </w:p>
    <w:p>
      <w:pPr>
        <w:spacing w:after="0" w:line="25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Fixed Rate Perpetual Preferred Stock</w:t>
      </w:r>
      <w:r>
        <w:rPr>
          <w:rFonts w:ascii="Times New Roman" w:cs="Times New Roman" w:eastAsia="Times New Roman" w:hAnsi="Times New Roman"/>
          <w:sz w:val="18"/>
          <w:szCs w:val="18"/>
          <w:color w:val="auto"/>
        </w:rPr>
        <w:t>” shall mean the Borrower’s Fixed Rate Cumulative Perpetual Preferred Stock, Series B, with a liquidation preference of $1,000 per share issued initially to the United States Department of the Treasury.</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FRB</w:t>
      </w:r>
      <w:r>
        <w:rPr>
          <w:rFonts w:ascii="Times New Roman" w:cs="Times New Roman" w:eastAsia="Times New Roman" w:hAnsi="Times New Roman"/>
          <w:sz w:val="18"/>
          <w:szCs w:val="18"/>
          <w:color w:val="auto"/>
        </w:rPr>
        <w:t>” shall mean the Board of Governors of the Federal Reserve System.</w:t>
      </w:r>
    </w:p>
    <w:p>
      <w:pPr>
        <w:spacing w:after="0" w:line="252"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 Y-9C Report</w:t>
      </w:r>
      <w:r>
        <w:rPr>
          <w:rFonts w:ascii="Times New Roman" w:cs="Times New Roman" w:eastAsia="Times New Roman" w:hAnsi="Times New Roman"/>
          <w:sz w:val="18"/>
          <w:szCs w:val="18"/>
          <w:color w:val="auto"/>
        </w:rPr>
        <w:t>” shall mean the “Consolidated Financial Statements for Bank Holding Companies (FR Y-9C)” submitted by the Borrower as required by Section 5(c) of the Bank Holding Company Act (12 U.S.C. 1844) and Section 225.5(b) of Regulation Y (12 CFR 225.5(b)), or any successor or similar replacement report.</w:t>
      </w:r>
    </w:p>
    <w:p>
      <w:pPr>
        <w:spacing w:after="0" w:line="198"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 Y-9LP Report</w:t>
      </w:r>
      <w:r>
        <w:rPr>
          <w:rFonts w:ascii="Times New Roman" w:cs="Times New Roman" w:eastAsia="Times New Roman" w:hAnsi="Times New Roman"/>
          <w:sz w:val="18"/>
          <w:szCs w:val="18"/>
          <w:color w:val="auto"/>
        </w:rPr>
        <w:t>” shall mean the “Parent Company Only Financial Statements for Large Bank Holding Companies (FR Y-9LP)” submitted by the Borrower as required by Section 5(c) of the Bank Holding Company Act (12 U.S.C. 1844) and Section 225.5(b) of Regulation Y (12 CFR 225.5(b)), or any successor or similar replacement report.</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shall mean generally accepted accounting principles in the United States applied on a consistent basis and subject to the terms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shall mean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the FRB, the FDIC and any other federal or state agency charged with the supervision or regulation of depositary institutions or holding companies of depositary institutions (as used herein, including any trust company subsidiaries whether or not they take deposits), or engaged in the insurance of depositary institution deposits, or any court, administrative agency or commission or other governmental agency, authority or instrumentality having supervisory or regulatory authority with respect to the Borrower and/or any of its Subsidiaries.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37" w:name="page138"/>
    <w:bookmarkEnd w:id="137"/>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98"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Hedging Obligations</w:t>
      </w:r>
      <w:r>
        <w:rPr>
          <w:rFonts w:ascii="Times New Roman" w:cs="Times New Roman" w:eastAsia="Times New Roman" w:hAnsi="Times New Roman"/>
          <w:sz w:val="18"/>
          <w:szCs w:val="18"/>
          <w:color w:val="auto"/>
        </w:rPr>
        <w:t>” of any Person shall mean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Transactions.</w:t>
      </w:r>
    </w:p>
    <w:p>
      <w:pPr>
        <w:spacing w:after="0" w:line="204"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Hedging Transaction</w:t>
      </w:r>
      <w:r>
        <w:rPr>
          <w:rFonts w:ascii="Times New Roman" w:cs="Times New Roman" w:eastAsia="Times New Roman" w:hAnsi="Times New Roman"/>
          <w:sz w:val="18"/>
          <w:szCs w:val="18"/>
          <w:color w:val="auto"/>
        </w:rPr>
        <w:t>” 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213"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“Holding Company MoU” </w:t>
      </w:r>
      <w:r>
        <w:rPr>
          <w:rFonts w:ascii="Times New Roman" w:cs="Times New Roman" w:eastAsia="Times New Roman" w:hAnsi="Times New Roman"/>
          <w:sz w:val="18"/>
          <w:szCs w:val="18"/>
          <w:color w:val="auto"/>
        </w:rPr>
        <w:t>shall mean that certain informal memorandum of understanding entered into by the Borrower and the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Reserve Bank of Atlanta and the Georgia Department of Banking and Finance in November 2011, as the same has been amended, modified or supplemented from time to time.</w:t>
      </w:r>
    </w:p>
    <w:p>
      <w:pPr>
        <w:spacing w:after="0" w:line="198"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Immaterial Subsidiary</w:t>
      </w:r>
      <w:r>
        <w:rPr>
          <w:rFonts w:ascii="Times New Roman" w:cs="Times New Roman" w:eastAsia="Times New Roman" w:hAnsi="Times New Roman"/>
          <w:sz w:val="18"/>
          <w:szCs w:val="18"/>
          <w:color w:val="auto"/>
        </w:rPr>
        <w:t>” shall mean any Subsidiary (other than any Financial Institutions Subsidiary) of the Borrower (or group of Subsidiaries of the Borrower (other than any Financial Institutions Subsidiaries)) that (a) at any time (i) has revenue attributable to such Subsidiary(ies) for the period of four consecutive Fiscal Quarters most recently ended in an amount less than five percent (5.0%) of the consolidated revenue of the Borrower and its Subsidiaries for such period and (ii) holds assets with an aggregate fair market value of less than five percent (5.0%) of the aggregate fair market value of the total assets of the Borrower and its Subsidiaries.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38" w:name="page139"/>
    <w:bookmarkEnd w:id="138"/>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xml:space="preserve">” of any Person shall mean, without duplication (i) all obligations of such Person for borrowed money, (ii) all obligations of such Person evidenced by bonds, debentures, notes or other similar instruments, (iii) all obligations of such Person in respect of the deferred purchase price of property or services (other than trade payables incurred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trade payables overdue by more than 90 days shall be included in this definition except to the extent that any of such trade payables are being disputed in good faith and by appropriate measures), (iv) all obligations of such Person under any conditional sale or other title retention agreement(s) relating to property acquired by such Person, (v) all obligations of such Person under capital leases and all monetary obligations of such Person under Synthetic Leases, (vi) all obligations, contingent or otherwise, of such Person as an account party in respect of letters of credit, acceptances or similar extensions of credit, (vii) all guarantees by such Person of Indebtedness of others, (viii) all Indebtedness of a third party secured by any Lien on property owned by such Person, whether or not such Indebtedness has been assumed by such Person, (ix) all obligations of such Person, contingent or otherwise, to purchase, redeem, retire or otherwise acquire for value any Capital Stock of such Person, (x) all Hedging Obligations of such Person; and (xi) all obligations of such Person in respect of any trust preferred securities, preferred equity or other types of hybrid capital securities issued by such Person. For purposes of determining the amount of attributed Indebtedness from Hedging Obligations, the “principal amount” of any Hedging Obligations at any time shall be the Net Mark-to-Market Exposure of such Hedging Obligations.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Taxes</w:t>
      </w:r>
      <w:r>
        <w:rPr>
          <w:rFonts w:ascii="Times New Roman" w:cs="Times New Roman" w:eastAsia="Times New Roman" w:hAnsi="Times New Roman"/>
          <w:sz w:val="18"/>
          <w:szCs w:val="18"/>
          <w:color w:val="auto"/>
        </w:rPr>
        <w:t>” shall mean Taxes other than Excluded Taxes.</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Period</w:t>
      </w:r>
      <w:r>
        <w:rPr>
          <w:rFonts w:ascii="Times New Roman" w:cs="Times New Roman" w:eastAsia="Times New Roman" w:hAnsi="Times New Roman"/>
          <w:sz w:val="18"/>
          <w:szCs w:val="18"/>
          <w:color w:val="auto"/>
        </w:rPr>
        <w:t xml:space="preserve">” shall mean, in the case of a Eurodollar Loan, a period of one, two or three months,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56" w:lineRule="exact"/>
        <w:rPr>
          <w:sz w:val="20"/>
          <w:szCs w:val="20"/>
          <w:color w:val="auto"/>
        </w:rPr>
      </w:pPr>
    </w:p>
    <w:p>
      <w:pPr>
        <w:ind w:left="660" w:firstLine="645"/>
        <w:spacing w:after="0" w:line="282" w:lineRule="auto"/>
        <w:tabs>
          <w:tab w:leader="none" w:pos="211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Interest Period for any such Eurodollar Loan shall commence on the date of such Eurodollar Loan and each Interest Period occurring thereafter in respect of such Revolving Loan shall commence on the day on which the preceding Interest Period expires;</w:t>
      </w:r>
    </w:p>
    <w:p>
      <w:pPr>
        <w:spacing w:after="0" w:line="188"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0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other than a Business Day, such Interest Period shall be extended to the next succeeding Business Day, unless such Business Day falls in another calendar month, in which case such Interest Period would end on the next preceding Business Day;</w:t>
      </w:r>
    </w:p>
    <w:p>
      <w:pPr>
        <w:spacing w:after="0" w:line="203"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1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which begins on the last Business Day of a calendar month or on a day for which there is no numerically corresponding day in the calendar month at the end of such Interest Period shall end on the last Business Day of such calendar month;</w:t>
      </w:r>
    </w:p>
    <w:p>
      <w:pPr>
        <w:spacing w:after="0" w:line="188"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may extend beyond the Maturity Date; and</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no more than four (4) Interest Periods for Eurodollar Loans outstanding at the same time.</w:t>
      </w:r>
    </w:p>
    <w:p>
      <w:pPr>
        <w:spacing w:after="0" w:line="2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“Investments”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hereof.</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“Lender” </w:t>
      </w:r>
      <w:r>
        <w:rPr>
          <w:rFonts w:ascii="Times New Roman" w:cs="Times New Roman" w:eastAsia="Times New Roman" w:hAnsi="Times New Roman"/>
          <w:sz w:val="18"/>
          <w:szCs w:val="18"/>
          <w:color w:val="auto"/>
        </w:rPr>
        <w:t>shall have the meaning assigned to such term in the opening paragraph of this Agreement.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39" w:name="page140"/>
    <w:bookmarkEnd w:id="139"/>
    <w:p>
      <w:pPr>
        <w:ind w:right="20" w:firstLine="129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“LIBOR” </w:t>
      </w:r>
      <w:r>
        <w:rPr>
          <w:rFonts w:ascii="Times New Roman" w:cs="Times New Roman" w:eastAsia="Times New Roman" w:hAnsi="Times New Roman"/>
          <w:sz w:val="18"/>
          <w:szCs w:val="18"/>
          <w:color w:val="auto"/>
        </w:rPr>
        <w:t>shall mean, for any applicable Interest Period with respect to any Eurodollar Loan, that rate per annum (rounded upwards,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the nearest 1/100 of 1%) that is equal to the quotient of:</w:t>
      </w:r>
    </w:p>
    <w:p>
      <w:pPr>
        <w:spacing w:after="0" w:line="186" w:lineRule="exact"/>
        <w:rPr>
          <w:sz w:val="20"/>
          <w:szCs w:val="20"/>
          <w:color w:val="auto"/>
        </w:rPr>
      </w:pPr>
    </w:p>
    <w:p>
      <w:pPr>
        <w:jc w:val="both"/>
        <w:ind w:left="660" w:firstLine="645"/>
        <w:spacing w:after="0" w:line="254" w:lineRule="auto"/>
        <w:tabs>
          <w:tab w:leader="none" w:pos="20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rate per annum for deposits in Dollars for a period equal to such Interest Period appearing on Reuters Screen LIBOR01 Page (or any successor page), or such similar service as determined by the Lender that displays the British Bankers’ Association Interest Settlement Rates for deposits in Dollars as of 11:00 a.m. (London, England time) on the day that is two Business Days prior to the first day of the Interest Period, or if such page or service shall cease to be available, such other page or such other service (as the case may be) for the purpose of displaying British Bankers’ Association Interest Settlement Rates for Dollars as the Lender, in its discretion, shall select;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Lender determines that the relevant foregoing sources are unavailable for the relevant Interest Period, LIBOR shall mean the rate of interest determined by the Lender to be the average (rounded upward, if necessary, to the nearest 1/100th of 1%) of the rates per annum at which deposits in Dollars are offered to the Lender two (2) Business Days preceding the first day of such Interest Period by leading banks in the London interbank market as of 10:00 a.m. (New York, New York time) for delivery on the first day of such Interest Period and for the number of days comprised therein, divided by</w:t>
      </w:r>
    </w:p>
    <w:p>
      <w:pPr>
        <w:spacing w:after="0" w:line="216"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213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equal to 1.00 minus the maximum reserve percentages (including any emergency, supplemental, special or other marginal reserves) expressed as a decimal (rounded upward to the next 1/100th of 1%) in effect on any day for the applicable Interest Period to which the Lender is subject with respect to a Eurodollar Loan pursuant to regulations issued by the FRB with respect to eurocurrency funding (currently referred to as “eurocurrency liabilities” under Regulation D). A Eurodollar Loan shall be deemed to constitute eurocurrency funding and to be subject to such reserve requirements without benefit of or credit for proration, exemptions or offsets that may be available from time to time to the Lender under Regulation D. This percentage will be adjusted automatically on and as of the effective date of any change in any reserve percentage.</w:t>
      </w:r>
    </w:p>
    <w:p>
      <w:pPr>
        <w:spacing w:after="0" w:line="212"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shall mean any mortgage, pledge, security interest, lien (statutory or otherwise), charge, encumbrance, hypothecation, assignment, deposit arrangement, or other arrangement having the practical effect of the foregoing or any preference, priority or other security agreement or preferential arrangement of any kind or nature whatsoever (including any conditional sale or other title retention agreement and any capital lease having the same economic effect as any of the foregoing).</w:t>
      </w:r>
    </w:p>
    <w:p>
      <w:pPr>
        <w:spacing w:after="0" w:line="204"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Documents</w:t>
      </w:r>
      <w:r>
        <w:rPr>
          <w:rFonts w:ascii="Times New Roman" w:cs="Times New Roman" w:eastAsia="Times New Roman" w:hAnsi="Times New Roman"/>
          <w:sz w:val="18"/>
          <w:szCs w:val="18"/>
          <w:color w:val="auto"/>
        </w:rPr>
        <w:t>” shall mean, collectively, this Agreement, the Revolving Credit Note, and any and all other instruments, agreements, documents and writings executed in connection with any of the foregoing.</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Master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40" w:name="page141"/>
    <w:bookmarkEnd w:id="140"/>
    <w:p>
      <w:pPr>
        <w:jc w:val="both"/>
        <w:ind w:firstLine="12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shall mean,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on, (i) the business, results of operations, financial condition, assets or liabilities of the Borrower and of the Borrower and its Subsidiaries taken as a whole, (ii) the ability of the Borrower to perform any of its material obligations under the Loan Documents, (iii) the rights and remedies of the Lender under any of the Loan Documents or (iv) the legality, validity or enforceability of any of the Loan Documents.</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xml:space="preserve">” shall mean January 7, 2017, or such earlier date as the Revolving Commitments are terminated pursuant to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hereof.</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shall have the meaning set forth in Section 4001(a)(3) of ERISA.</w:t>
      </w:r>
    </w:p>
    <w:p>
      <w:pPr>
        <w:spacing w:after="0" w:line="252"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Cash Proceeds</w:t>
      </w:r>
      <w:r>
        <w:rPr>
          <w:rFonts w:ascii="Times New Roman" w:cs="Times New Roman" w:eastAsia="Times New Roman" w:hAnsi="Times New Roman"/>
          <w:sz w:val="18"/>
          <w:szCs w:val="18"/>
          <w:color w:val="auto"/>
        </w:rPr>
        <w:t xml:space="preserve">” shall mean, with respect to any sale or disposition by the Borrower or any of its Subsidiaries of assets, the amount of cash proceeds received (directly or indirectly) from time to time (whether as initial consideration or through the payment of deferred consideration) by or on behalf of the Borrower or its Subsidiaries, in connection therewith after deducting therefrom only (i) the amount of any Indebtedness secured by any Lien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hereof on any asset (other than (A) Indebtedness owing to the Lender under this Agreement or the other Loan Documents and (B) Indebtedness assumed by the purchaser of such asset) which is required to be, and is, repaid in connection with such sale or disposition, (ii) reasonable fees, commissions, and expenses related thereto and required to be paid by the Borrower or such Subsidiary in connection with such sale or disposition and (iii) taxes paid or payable to any taxing authorities by the Borrower or such Subsidiary in connection with such sale or disposition, in each case, to the extent, but only to the extent, that the amounts so deducted are, at the time of receipt of such cash, actually paid or payable to a Person that is not an Affiliate of the Borrower or any of its Subsidiaries, and are properly attributable to such transaction.</w:t>
      </w:r>
    </w:p>
    <w:p>
      <w:pPr>
        <w:spacing w:after="0" w:line="209"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Mark-to-Market Exposure</w:t>
      </w:r>
      <w:r>
        <w:rPr>
          <w:rFonts w:ascii="Times New Roman" w:cs="Times New Roman" w:eastAsia="Times New Roman" w:hAnsi="Times New Roman"/>
          <w:sz w:val="18"/>
          <w:szCs w:val="18"/>
          <w:color w:val="auto"/>
        </w:rPr>
        <w:t>” of any Person shall mean, as of any date of determination with respect to any Hedging Obligation, the excess (if any) of all unrealized losses over all unrealized profits of such Person arising from such Hedging Obligation. “Unrealized losses” shall mean the fair market value of the cost to such Person of replacing the Hedging Transaction giving rise to such Hedging Obligation as of the date of determination (assuming the Hedging Transaction were to be terminated as of that date), and “unrealized profits” means the fair market value of the gain to such Person of replacing such Hedging Transaction as of the date of determination (assuming such Hedging Transaction were to be terminated as of that date).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Borrowing</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41" w:name="page142"/>
    <w:bookmarkEnd w:id="141"/>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Conversion/Continuation</w:t>
      </w:r>
      <w:r>
        <w:rPr>
          <w:rFonts w:ascii="Times New Roman" w:cs="Times New Roman" w:eastAsia="Times New Roman" w:hAnsi="Times New Roman"/>
          <w:sz w:val="18"/>
          <w:szCs w:val="18"/>
          <w:color w:val="auto"/>
        </w:rPr>
        <w:t xml:space="preserve">” shall mean the notice given by the Borrower to the Lender in respect of the conversion or continuation of a Revolving Loan as provided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shall mean all indebtedness, obligations, liabilities and other amounts owing by the Borrower to the Lender and, only with respect to Hedging Transactions, any Affiliate of the Lender, pursuant to or in connection with (a) this Agreement or any other Loan Document, including without limitation, all principal, interest (including any interest accruing after the filing of any petition in bankruptcy or the commencement of any insolvency, reorganization or like proceeding relating to the Borrower, whether or not a claim for post-filing or post-petition interest is allowed in such proceeding), all reimbursement obligations under letters of credit, all Hedging Obligations of the Borrower, fees, expenses, indemnification and reimbursement payments, costs and expenses (including all fees and expenses of counsel to the Lender incurred pursuant to this Agreement or any other Loan Document), whether direct or indirect, absolute or contingent, liquidated or unliquidated, now existing or hereafter arising hereunder or thereunder, together with all renewals, extensions, modifications or refinancings thereof and (b) any agreement governing the provision to the Borrower or any Subsidiary of treasury or cash management services.</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hereof.</w:t>
      </w:r>
    </w:p>
    <w:p>
      <w:pPr>
        <w:spacing w:after="0" w:line="252"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Real Estate Owned</w:t>
      </w:r>
      <w:r>
        <w:rPr>
          <w:rFonts w:ascii="Times New Roman" w:cs="Times New Roman" w:eastAsia="Times New Roman" w:hAnsi="Times New Roman"/>
          <w:sz w:val="18"/>
          <w:szCs w:val="18"/>
          <w:color w:val="auto"/>
        </w:rPr>
        <w:t>” shall mean the sum, without duplication, of: (a) real estate acquired in satisfaction of debts through foreclosure (as determined by reference to the line item “foreclosed assets” under “Selected Financial Data” (Non-performing assets) in the Borrower’s most recent Form 10-Q or 10-K, as applicable) and (b) other real estate owned, as set forth on Schedule HC-M of Borrower’s FR Y-9C Report.</w:t>
      </w:r>
    </w:p>
    <w:p>
      <w:pPr>
        <w:spacing w:after="0" w:line="198"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Taxes</w:t>
      </w:r>
      <w:r>
        <w:rPr>
          <w:rFonts w:ascii="Times New Roman" w:cs="Times New Roman" w:eastAsia="Times New Roman" w:hAnsi="Times New Roman"/>
          <w:sz w:val="18"/>
          <w:szCs w:val="18"/>
          <w:color w:val="auto"/>
        </w:rPr>
        <w:t>” shall mean any and all present and future stamp or documentary taxes or any other excise or property taxes, charges or similar levies arising from any payment made by, or on behalf of, the Borrower hereunder or from the execution, delivery or enforcement of, or otherwise with respect to, this Agreement or any other Loan Documents.</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Patriot Act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Office</w:t>
      </w:r>
      <w:r>
        <w:rPr>
          <w:rFonts w:ascii="Times New Roman" w:cs="Times New Roman" w:eastAsia="Times New Roman" w:hAnsi="Times New Roman"/>
          <w:sz w:val="18"/>
          <w:szCs w:val="18"/>
          <w:color w:val="auto"/>
        </w:rPr>
        <w:t>” shall mean the office of the Lender located at 3280 Peachtree Rd NE, Suite 500, Atlanta, Georgia 30305, Attention: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Vickie Summey.</w:t>
      </w:r>
    </w:p>
    <w:p>
      <w:pPr>
        <w:spacing w:after="0" w:line="2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PBGC</w:t>
      </w:r>
      <w:r>
        <w:rPr>
          <w:rFonts w:ascii="Times New Roman" w:cs="Times New Roman" w:eastAsia="Times New Roman" w:hAnsi="Times New Roman"/>
          <w:sz w:val="18"/>
          <w:szCs w:val="18"/>
          <w:color w:val="auto"/>
        </w:rPr>
        <w:t>” shall mean the Pension Benefit Guaranty Corporation referred to and defined in ERISA, and any successor entity performing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functions.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42" w:name="page143"/>
    <w:bookmarkEnd w:id="142"/>
    <w:p>
      <w:pPr>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Acquisition</w:t>
      </w:r>
      <w:r>
        <w:rPr>
          <w:rFonts w:ascii="Times New Roman" w:cs="Times New Roman" w:eastAsia="Times New Roman" w:hAnsi="Times New Roman"/>
          <w:sz w:val="18"/>
          <w:szCs w:val="18"/>
          <w:color w:val="auto"/>
        </w:rPr>
        <w:t xml:space="preserve">” means any Acquisition by the Borrower or any Subsidiary, whether by purchase, merger or otherwise, of all or substantially all of the assets of, a majority of the Capital Stock of, or a business line or unit or a division of, any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6" w:lineRule="exact"/>
        <w:rPr>
          <w:sz w:val="20"/>
          <w:szCs w:val="20"/>
          <w:color w:val="auto"/>
        </w:rPr>
      </w:pPr>
    </w:p>
    <w:p>
      <w:pPr>
        <w:ind w:firstLine="1305"/>
        <w:spacing w:after="0" w:line="282" w:lineRule="auto"/>
        <w:tabs>
          <w:tab w:leader="none" w:pos="20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such Acquisition and after giving effect thereto, no Default or Event of Default shall have occurred or would result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from the making or consummation of such Acquisition;</w:t>
      </w:r>
    </w:p>
    <w:p>
      <w:pPr>
        <w:spacing w:after="0" w:line="188" w:lineRule="exact"/>
        <w:rPr>
          <w:rFonts w:ascii="Times New Roman" w:cs="Times New Roman" w:eastAsia="Times New Roman" w:hAnsi="Times New Roman"/>
          <w:sz w:val="18"/>
          <w:szCs w:val="18"/>
          <w:color w:val="auto"/>
        </w:rPr>
      </w:pPr>
    </w:p>
    <w:p>
      <w:pPr>
        <w:jc w:val="both"/>
        <w:ind w:firstLine="1305"/>
        <w:spacing w:after="0" w:line="266" w:lineRule="auto"/>
        <w:tabs>
          <w:tab w:leader="none" w:pos="20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acquisition of Capital Stock of a regulated financial institution, all of the Capital Stock acquired or otherwise issued by such Person or any newly formed, direct or indirect, Subsidiary of the Borrower in connection with such Acquisition shall be owned 100% by the Borrower or its Subsidiaries;</w:t>
      </w:r>
    </w:p>
    <w:p>
      <w:pPr>
        <w:spacing w:after="0" w:line="203" w:lineRule="exact"/>
        <w:rPr>
          <w:rFonts w:ascii="Times New Roman" w:cs="Times New Roman" w:eastAsia="Times New Roman" w:hAnsi="Times New Roman"/>
          <w:sz w:val="18"/>
          <w:szCs w:val="18"/>
          <w:color w:val="auto"/>
        </w:rPr>
      </w:pPr>
    </w:p>
    <w:p>
      <w:pPr>
        <w:ind w:firstLine="1305"/>
        <w:spacing w:after="0" w:line="282" w:lineRule="auto"/>
        <w:tabs>
          <w:tab w:leader="none" w:pos="209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receive at least ten (10) Business Days’ prior written notice of such proposed Acquisition, which notice shall include a reasonably detailed description of such proposed Acquisition;</w:t>
      </w:r>
    </w:p>
    <w:p>
      <w:pPr>
        <w:spacing w:after="0" w:line="188" w:lineRule="exact"/>
        <w:rPr>
          <w:rFonts w:ascii="Times New Roman" w:cs="Times New Roman" w:eastAsia="Times New Roman" w:hAnsi="Times New Roman"/>
          <w:sz w:val="18"/>
          <w:szCs w:val="18"/>
          <w:color w:val="auto"/>
        </w:rPr>
      </w:pPr>
    </w:p>
    <w:p>
      <w:pPr>
        <w:jc w:val="both"/>
        <w:ind w:firstLine="1305"/>
        <w:spacing w:after="0" w:line="266" w:lineRule="auto"/>
        <w:tabs>
          <w:tab w:leader="none" w:pos="213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such acquisition shall only involve a business permitted in accordance with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and which business would not subject the Lender to regulatory or third party approvals in connection with the exercise of its rights and remedies under this Agreement or any other Loan Documents and (ii) substantially all of the operations of which are located in the United States;</w:t>
      </w:r>
    </w:p>
    <w:p>
      <w:pPr>
        <w:spacing w:after="0" w:line="203" w:lineRule="exact"/>
        <w:rPr>
          <w:rFonts w:ascii="Times New Roman" w:cs="Times New Roman" w:eastAsia="Times New Roman" w:hAnsi="Times New Roman"/>
          <w:sz w:val="18"/>
          <w:szCs w:val="18"/>
          <w:color w:val="auto"/>
        </w:rPr>
      </w:pPr>
    </w:p>
    <w:p>
      <w:pPr>
        <w:ind w:firstLine="1305"/>
        <w:spacing w:after="0" w:line="282" w:lineRule="auto"/>
        <w:tabs>
          <w:tab w:leader="none" w:pos="205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shall have been approved by the board of directors or other governing body or controlling Person of the Person acquired or the Person from whom such assets or division is acquired; and</w:t>
      </w:r>
    </w:p>
    <w:p>
      <w:pPr>
        <w:spacing w:after="0" w:line="188" w:lineRule="exact"/>
        <w:rPr>
          <w:rFonts w:ascii="Times New Roman" w:cs="Times New Roman" w:eastAsia="Times New Roman" w:hAnsi="Times New Roman"/>
          <w:sz w:val="18"/>
          <w:szCs w:val="18"/>
          <w:color w:val="auto"/>
        </w:rPr>
      </w:pPr>
    </w:p>
    <w:p>
      <w:pPr>
        <w:jc w:val="both"/>
        <w:ind w:firstLine="1305"/>
        <w:spacing w:after="0" w:line="261" w:lineRule="auto"/>
        <w:tabs>
          <w:tab w:leader="none" w:pos="198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delivery of the notice referred to in clause (d) of this definition, the Borrower shall have delivered to the Lender, in form and substance reasonably satisfactory to the Lender, a certificate of a Responsible Officer of the Borrower to the effect that the Borrower will be,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proposed Acquisition, in compliance with the covenants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together with the calculations thereof reasonably demonstrating such compliance.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case of any Acquisition by the Borrower or any Subsidiary in which the Borrower or such Subsidiary acquires, directly or indirectly, fifty percent (50%) or more of the voting stock of any Person that is a regulated financial institution, such acquired Person shall become a Financial Institution Subsidiary for purposes of this Agreement. In the event the proposed Acquisition does not satisfy one or more of the above criteria, but the Lender nevertheless, in its sole discretion, consents to such Acquisition, such Acquisition shall constitute a “Permitted Acquisition” and be included in the calculations set forth in clause (f) hereof and other applicable provisions 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Encumbrances</w:t>
      </w:r>
      <w:r>
        <w:rPr>
          <w:rFonts w:ascii="Times New Roman" w:cs="Times New Roman" w:eastAsia="Times New Roman" w:hAnsi="Times New Roman"/>
          <w:sz w:val="18"/>
          <w:szCs w:val="18"/>
          <w:color w:val="auto"/>
        </w:rPr>
        <w:t>” shall mean</w:t>
      </w:r>
    </w:p>
    <w:p>
      <w:pPr>
        <w:spacing w:after="0" w:line="256" w:lineRule="exact"/>
        <w:rPr>
          <w:sz w:val="20"/>
          <w:szCs w:val="20"/>
          <w:color w:val="auto"/>
        </w:rPr>
      </w:pPr>
    </w:p>
    <w:p>
      <w:pPr>
        <w:ind w:left="660" w:firstLine="645"/>
        <w:spacing w:after="0" w:line="282" w:lineRule="auto"/>
        <w:tabs>
          <w:tab w:leader="none" w:pos="20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not yet past due or which are being contested in good faith by appropriate proceedings and with respect to which adequate reserves are being maintained in accordance with GAAP;</w:t>
      </w:r>
    </w:p>
    <w:p>
      <w:pPr>
        <w:spacing w:after="0" w:line="188"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9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of landlords and Liens of carriers, warehousemen, mechanics, materialmen and other Liens imposed by law created in the ordinary course of business for amounts not yet past due or which are being contested in good faith by appropriate proceedings and with respect to which adequate reserves are being maintained in accordance with GAAP;</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43" w:name="page144"/>
    <w:bookmarkEnd w:id="143"/>
    <w:p>
      <w:pPr>
        <w:jc w:val="both"/>
        <w:ind w:firstLine="645"/>
        <w:spacing w:after="0" w:line="255" w:lineRule="auto"/>
        <w:tabs>
          <w:tab w:leader="none" w:pos="159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compliance with workers’ compensation, unemployment insurance and other social security laws or regulations and Liens arising by statute in connection with worker’s compensation, unemployment insurance, old age benefits, social security obligations, taxes, assessments, statutory obligations or other similar charges, good faith cash deposits in connection with tenders, contracts or leases to which the Borrower or any of its Subsidiaries is a party or other cash deposits in any such foregoing case that is required to be made in the ordinary course of business, provided in each case that the obligation is not for borrowed money and that the obligation secured is not overdue or, if overdue, is being contested in good faith by appropriate proceedings which prevent enforcement of the matter under contest and adequate reserves have been established therefor;</w:t>
      </w:r>
    </w:p>
    <w:p>
      <w:pPr>
        <w:spacing w:after="0" w:line="216" w:lineRule="exact"/>
        <w:rPr>
          <w:rFonts w:ascii="Times New Roman" w:cs="Times New Roman" w:eastAsia="Times New Roman" w:hAnsi="Times New Roman"/>
          <w:sz w:val="18"/>
          <w:szCs w:val="18"/>
          <w:color w:val="auto"/>
        </w:rPr>
      </w:pPr>
    </w:p>
    <w:p>
      <w:pPr>
        <w:ind w:firstLine="645"/>
        <w:spacing w:after="0" w:line="282" w:lineRule="auto"/>
        <w:tabs>
          <w:tab w:leader="none" w:pos="14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88" w:lineRule="exact"/>
        <w:rPr>
          <w:rFonts w:ascii="Times New Roman" w:cs="Times New Roman" w:eastAsia="Times New Roman" w:hAnsi="Times New Roman"/>
          <w:sz w:val="18"/>
          <w:szCs w:val="18"/>
          <w:color w:val="auto"/>
        </w:rPr>
      </w:pPr>
    </w:p>
    <w:p>
      <w:pPr>
        <w:jc w:val="both"/>
        <w:ind w:firstLine="645"/>
        <w:spacing w:after="0" w:line="266" w:lineRule="auto"/>
        <w:tabs>
          <w:tab w:leader="none" w:pos="1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and attachment Liens not giving rise to an Event of Default or Liens created by or existing from any litigation or legal proceeding that are currently being contested in good faith by appropriate proceedings and with respect to which adequate reserves are being maintained in accordance with GAAP;</w:t>
      </w:r>
    </w:p>
    <w:p>
      <w:pPr>
        <w:spacing w:after="0" w:line="203" w:lineRule="exact"/>
        <w:rPr>
          <w:rFonts w:ascii="Times New Roman" w:cs="Times New Roman" w:eastAsia="Times New Roman" w:hAnsi="Times New Roman"/>
          <w:sz w:val="18"/>
          <w:szCs w:val="18"/>
          <w:color w:val="auto"/>
        </w:rPr>
      </w:pPr>
    </w:p>
    <w:p>
      <w:pPr>
        <w:jc w:val="both"/>
        <w:ind w:right="20" w:firstLine="645"/>
        <w:spacing w:after="0" w:line="266" w:lineRule="auto"/>
        <w:tabs>
          <w:tab w:leader="none" w:pos="133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and its Subsidiaries taken as a whole;</w:t>
      </w:r>
    </w:p>
    <w:p>
      <w:pPr>
        <w:spacing w:after="0" w:line="203" w:lineRule="exact"/>
        <w:rPr>
          <w:rFonts w:ascii="Times New Roman" w:cs="Times New Roman" w:eastAsia="Times New Roman" w:hAnsi="Times New Roman"/>
          <w:sz w:val="18"/>
          <w:szCs w:val="18"/>
          <w:color w:val="auto"/>
        </w:rPr>
      </w:pPr>
    </w:p>
    <w:p>
      <w:pPr>
        <w:ind w:firstLine="645"/>
        <w:spacing w:after="0" w:line="282" w:lineRule="auto"/>
        <w:tabs>
          <w:tab w:leader="none" w:pos="13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charges and encumbrances incidental to the conduct of the business of the Financial Institution Subsidiaries incurred in the ordinary course of business and consistent with past practices;</w:t>
      </w:r>
    </w:p>
    <w:p>
      <w:pPr>
        <w:spacing w:after="0" w:line="188" w:lineRule="exact"/>
        <w:rPr>
          <w:rFonts w:ascii="Times New Roman" w:cs="Times New Roman" w:eastAsia="Times New Roman" w:hAnsi="Times New Roman"/>
          <w:sz w:val="18"/>
          <w:szCs w:val="18"/>
          <w:color w:val="auto"/>
        </w:rPr>
      </w:pPr>
    </w:p>
    <w:p>
      <w:pPr>
        <w:ind w:left="1320" w:hanging="675"/>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public funds or other pledges of funds required by law to secure deposits; and</w:t>
      </w:r>
    </w:p>
    <w:p>
      <w:pPr>
        <w:spacing w:after="0" w:line="252" w:lineRule="exact"/>
        <w:rPr>
          <w:rFonts w:ascii="Times New Roman" w:cs="Times New Roman" w:eastAsia="Times New Roman" w:hAnsi="Times New Roman"/>
          <w:sz w:val="18"/>
          <w:szCs w:val="18"/>
          <w:color w:val="auto"/>
        </w:rPr>
      </w:pPr>
    </w:p>
    <w:p>
      <w:pPr>
        <w:ind w:right="20" w:firstLine="645"/>
        <w:spacing w:after="0" w:line="282" w:lineRule="auto"/>
        <w:tabs>
          <w:tab w:leader="none" w:pos="150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reverse repurchase agreements and other similar transactions entered into by any Financial Institution Subsidiary in the ordinary course of its banking, deposit or trust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“Permitted Encumbrances” shall not include any Lien securing Indebtedness.</w:t>
      </w:r>
    </w:p>
    <w:p>
      <w:pPr>
        <w:spacing w:after="0" w:line="200" w:lineRule="exact"/>
        <w:rPr>
          <w:sz w:val="20"/>
          <w:szCs w:val="20"/>
          <w:color w:val="auto"/>
        </w:rPr>
      </w:pPr>
    </w:p>
    <w:p>
      <w:pPr>
        <w:spacing w:after="0" w:line="26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18" w:right="239" w:bottom="1440" w:gutter="0" w:footer="0" w:header="0"/>
        </w:sectPr>
      </w:pPr>
    </w:p>
    <w:bookmarkStart w:id="144" w:name="page145"/>
    <w:bookmarkEnd w:id="144"/>
    <w:p>
      <w:pPr>
        <w:jc w:val="both"/>
        <w:ind w:firstLine="129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“Permitted Financial Institution Subsidiary Indebtedness” </w:t>
      </w:r>
      <w:r>
        <w:rPr>
          <w:rFonts w:ascii="Times New Roman" w:cs="Times New Roman" w:eastAsia="Times New Roman" w:hAnsi="Times New Roman"/>
          <w:sz w:val="21"/>
          <w:szCs w:val="21"/>
          <w:color w:val="auto"/>
        </w:rPr>
        <w:t>means obligations incurred by any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Institution Subsidiary in the ordinary course of business in such circumstances as may be incidental or usual in carrying on the banking or trust or mortgage business of a bank, thrift, trust company, or mortgage company incurred in accordance with applicable laws and regulations and safe and sound practices, including obligations incurred in connection with: (a) any deposits with or funds collected by such Subsidiary; (b) the endorsement of instruments for deposit or collection in the ordinary course of business,</w:t>
      </w:r>
    </w:p>
    <w:p>
      <w:pPr>
        <w:spacing w:after="0" w:line="1" w:lineRule="exact"/>
        <w:rPr>
          <w:sz w:val="20"/>
          <w:szCs w:val="20"/>
          <w:color w:val="auto"/>
        </w:rPr>
      </w:pPr>
    </w:p>
    <w:p>
      <w:pPr>
        <w:jc w:val="both"/>
        <w:ind w:firstLine="8"/>
        <w:spacing w:after="0" w:line="231" w:lineRule="auto"/>
        <w:tabs>
          <w:tab w:leader="none" w:pos="29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bankers acceptance credit of such Subsidiary; (d) any check, note, certificate of deposit, money order, traveler’s check, draft or bill of exchange issued, accepted or endorsed by such Subsidiary or letter of credit issued by such Subsidiary; (e) any discount with, borrowing from, or other obligation to, any Federal Reserve Bank or any Federal Home Loan Bank; (f) any agreement made by such Subsidiary to purchase or repurchase securities, loans or Federal funds or any interest or participation in any thereof; (g) any guarantee, indemnity or similar obligation incurred by such Subsidiary in the ordinary course of its banking or trust business and consistent with past practices; (h) any transaction in the nature of an extension of credit, whether in the form of a commitment or otherwise, undertaken by such Subsidiary for the account of a third party with the application of the same banking considerations and legal lending limits that would be applicable if the transaction were a loan to such party; (i) any transaction in which such Subsidiary acts solely in the fiduciary or agency capacity; (j) other short-term liabilities similar to those enumerated in clauses (a) and (f) above, including United States Treasury tax and loan borrowings, (k) any Hedging Obligations or other obligations or liabilities relating to Hedging Transactions entered into by such Subsidiary in connection with facilitating the hedging risk of a customer of such Subsidiary or another Financial Institution Subsidiary, but excluding any Hedging Obligations or other obligations or liabilities relating to Hedging Transactions entered into for speculative purposes or that are speculative in nature, (l) any Indebtedness of one Financial Institution Subsidiary to another Financial Institution Subsidiary and (m) any Indebtedness of such Subsidiary relating to letters of credit issued or confirmed by a third party financial institution for the account of such Subsidiary for the ultimate account of such Subsidiary’s customer.</w:t>
      </w:r>
    </w:p>
    <w:p>
      <w:pPr>
        <w:spacing w:after="0" w:line="218"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partnership, firm, corporation, association, joint venture, limited liability company, trust or other entity, or any Governmental Authority.</w:t>
      </w:r>
    </w:p>
    <w:p>
      <w:pPr>
        <w:spacing w:after="0" w:line="182"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mean any employee pension benefit plan within the meaning of Section 3(2)(A) of ERISA (other than a Multiemployer Plan) subject to the provisions of Title IV of ERISA or Section 412 of the Code or Section 302 of ERISA, and in respect of which the Borrower or any ERISA Affiliate either (i) maintains, contributes to or has an obligation to contribute to on behalf of participants who are or were employed by any of them (or on behalf of beneficiaries of such participants) or (ii) is (or, if such plan were terminated, would under Section 4069 of ERISA be deemed to be) an “employer” as defined in Section 3(5) of ERISA or a “contributing sponsor” (as defined in ERISA Section 4001(a)(13)).</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Plan</w:t>
      </w:r>
      <w:r>
        <w:rPr>
          <w:rFonts w:ascii="Times New Roman" w:cs="Times New Roman" w:eastAsia="Times New Roman" w:hAnsi="Times New Roman"/>
          <w:sz w:val="18"/>
          <w:szCs w:val="18"/>
          <w:color w:val="auto"/>
        </w:rPr>
        <w:t>” shall mean an Employee Benefit Plan that is intended to be tax-qualified under Section 401(a) of the Code.</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9.4(c)</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D</w:t>
      </w:r>
      <w:r>
        <w:rPr>
          <w:rFonts w:ascii="Times New Roman" w:cs="Times New Roman" w:eastAsia="Times New Roman" w:hAnsi="Times New Roman"/>
          <w:sz w:val="18"/>
          <w:szCs w:val="18"/>
          <w:color w:val="auto"/>
        </w:rPr>
        <w:t>” shall mean Regulation D of the FRB, as the same may be in effect from time to time, and any successor regulations.</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 xml:space="preserve"> hereof.</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5" w:name="page146"/>
    <w:bookmarkEnd w:id="145"/>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the environment (including ambient air, surface water, groundwater, land surface or subsurface strata) or within any building, structure, facility or fixture.</w:t>
      </w:r>
    </w:p>
    <w:p>
      <w:pPr>
        <w:spacing w:after="0" w:line="198"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shall mean any of the president, the chief executive officer, the chief operating officer, the chief financial officer, the treasurer or a managing director of the Borrower or such other representative of the Borrower as may be designated in writing by any one of the foregoing with the consent of the Lender; and, with respect to the financial covenants only, the chief financial officer, controller or the treasurer of the Borrower.</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Commitment</w:t>
      </w:r>
      <w:r>
        <w:rPr>
          <w:rFonts w:ascii="Times New Roman" w:cs="Times New Roman" w:eastAsia="Times New Roman" w:hAnsi="Times New Roman"/>
          <w:sz w:val="18"/>
          <w:szCs w:val="18"/>
          <w:color w:val="auto"/>
        </w:rPr>
        <w:t>” shall mean the obligation of the Lender to make Revolving Loans hereunder in an aggregate principal amount not exceeding $50,000,000.</w:t>
      </w:r>
    </w:p>
    <w:p>
      <w:pPr>
        <w:spacing w:after="0" w:line="18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Credit Note</w:t>
      </w:r>
      <w:r>
        <w:rPr>
          <w:rFonts w:ascii="Times New Roman" w:cs="Times New Roman" w:eastAsia="Times New Roman" w:hAnsi="Times New Roman"/>
          <w:sz w:val="18"/>
          <w:szCs w:val="18"/>
          <w:color w:val="auto"/>
        </w:rPr>
        <w:t xml:space="preserve">” shall mean a promissory note of the Borrower payable to the order of the Lender in the principal amount of $50,000,000,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Loan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“RICO Related Law</w:t>
      </w:r>
      <w:r>
        <w:rPr>
          <w:rFonts w:ascii="Times New Roman" w:cs="Times New Roman" w:eastAsia="Times New Roman" w:hAnsi="Times New Roman"/>
          <w:sz w:val="18"/>
          <w:szCs w:val="18"/>
          <w:color w:val="auto"/>
        </w:rPr>
        <w:t>” shall mean the Racketeer Influenced and Corrupt Organizations Act of 1970 or any other federal, state or local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which forfeiture of assets is a potential penalty.</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hereof.</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52" w:lineRule="exact"/>
        <w:rPr>
          <w:sz w:val="20"/>
          <w:szCs w:val="20"/>
          <w:color w:val="auto"/>
        </w:rPr>
      </w:pPr>
    </w:p>
    <w:p>
      <w:pPr>
        <w:jc w:val="both"/>
        <w:ind w:right="20"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Solvent</w:t>
      </w:r>
      <w:r>
        <w:rPr>
          <w:rFonts w:ascii="Times New Roman" w:cs="Times New Roman" w:eastAsia="Times New Roman" w:hAnsi="Times New Roman"/>
          <w:sz w:val="18"/>
          <w:szCs w:val="18"/>
          <w:color w:val="auto"/>
        </w:rPr>
        <w:t>” shall mean either (i) not “insolvent,” within the meaning of such term as defined in § 101(32) of Title 11 of the United States Code, as amended from time to time, or (ii) not unable to pay its debts generally as such debts become due, or having an unreasonably small capital to engage in any business or transaction, whether current or contemplated.</w:t>
      </w:r>
    </w:p>
    <w:p>
      <w:pPr>
        <w:spacing w:after="0" w:line="198"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shall mean, with respect to any Person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50% of the equity or more than 50% of the ordinary voting power, or in the case of a partnership, more than 50% of the general partnership interests are, as of such date, owned, Controlled or held, or</w:t>
      </w:r>
    </w:p>
    <w:p>
      <w:pPr>
        <w:spacing w:after="0" w:line="3" w:lineRule="exact"/>
        <w:rPr>
          <w:sz w:val="20"/>
          <w:szCs w:val="20"/>
          <w:color w:val="auto"/>
        </w:rPr>
      </w:pPr>
    </w:p>
    <w:p>
      <w:pPr>
        <w:ind w:firstLine="8"/>
        <w:spacing w:after="0" w:line="261" w:lineRule="auto"/>
        <w:tabs>
          <w:tab w:leader="none" w:pos="2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as of such date, otherwise Controlled, by the parent or one or more subsidiaries of the parent or by the parent and one or more subsidiaries of the parent. Unless otherwise indicated, all references to “Subsidiary” under this Agreement shall mean a Subsidiary of the Borrower.</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46" w:name="page147"/>
    <w:bookmarkEnd w:id="146"/>
    <w:p>
      <w:pPr>
        <w:jc w:val="both"/>
        <w:ind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Synthetic Lease</w:t>
      </w:r>
      <w:r>
        <w:rPr>
          <w:rFonts w:ascii="Times New Roman" w:cs="Times New Roman" w:eastAsia="Times New Roman" w:hAnsi="Times New Roman"/>
          <w:sz w:val="18"/>
          <w:szCs w:val="18"/>
          <w:color w:val="auto"/>
        </w:rPr>
        <w:t>” of any Person shall mean (a) a lease designed to have the characteristics of a loan for federal income tax purposes while obtaining operating lease treatment for financial accounting purposes, or (b) an agreement for the use or possession of property creating obligations that are not required to appear on the balance sheet of such Person but which, upon the insolvency or bankruptcy of such Person would be characterized by a court of competent jurisdiction as indebtedness of such Person.</w:t>
      </w:r>
    </w:p>
    <w:p>
      <w:pPr>
        <w:spacing w:after="0" w:line="204"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all present or future taxes, levies, imposts, duties, deductions, withholdings, assessments, fees or other charges imposed by any Governmental Authority, including any interest, additions to tax or penalties applicable thereto.</w:t>
      </w:r>
    </w:p>
    <w:p>
      <w:pPr>
        <w:spacing w:after="0" w:line="18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Loans</w:t>
      </w:r>
      <w:r>
        <w:rPr>
          <w:rFonts w:ascii="Times New Roman" w:cs="Times New Roman" w:eastAsia="Times New Roman" w:hAnsi="Times New Roman"/>
          <w:sz w:val="18"/>
          <w:szCs w:val="18"/>
          <w:color w:val="auto"/>
        </w:rPr>
        <w:t xml:space="preserve">” shall mean for the Borrower on a consolidated basis the line item “Loans” set forth on the Borrower’s consolidated balance sheet delivered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(and, for the avoidance of doubt, shall exclude loans held for sale).</w:t>
      </w:r>
    </w:p>
    <w:p>
      <w:pPr>
        <w:spacing w:after="0" w:line="18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Tier 1 Capital</w:t>
      </w:r>
      <w:r>
        <w:rPr>
          <w:rFonts w:ascii="Times New Roman" w:cs="Times New Roman" w:eastAsia="Times New Roman" w:hAnsi="Times New Roman"/>
          <w:sz w:val="18"/>
          <w:szCs w:val="18"/>
          <w:color w:val="auto"/>
        </w:rPr>
        <w:t>” shall mean as defined from time to time under each federal and state regulation or order applicable to, or binding upon, the Borrower or any Financial Institution Subsidiary.</w:t>
      </w:r>
    </w:p>
    <w:p>
      <w:pPr>
        <w:spacing w:after="0" w:line="182" w:lineRule="exact"/>
        <w:rPr>
          <w:sz w:val="20"/>
          <w:szCs w:val="20"/>
          <w:color w:val="auto"/>
        </w:rPr>
      </w:pPr>
    </w:p>
    <w:p>
      <w:pPr>
        <w:jc w:val="both"/>
        <w:ind w:right="20"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Tier 1 Risk-based Capital Ratio</w:t>
      </w:r>
      <w:r>
        <w:rPr>
          <w:rFonts w:ascii="Times New Roman" w:cs="Times New Roman" w:eastAsia="Times New Roman" w:hAnsi="Times New Roman"/>
          <w:sz w:val="18"/>
          <w:szCs w:val="18"/>
          <w:color w:val="auto"/>
        </w:rPr>
        <w:t xml:space="preserve">” shall mean, for any Person, the ratio calculated by dividing (a) such Person’s Tier 1 Capital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such Person’s total risk-weighted assets, or as otherwise defined from time to time under each federal and state regulation or order applicable to, or binding upon, the Borrower or any Financial Institution Subsidiary.</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Tier 1 Risk-based Common Capital Ratio</w:t>
      </w:r>
      <w:r>
        <w:rPr>
          <w:rFonts w:ascii="Times New Roman" w:cs="Times New Roman" w:eastAsia="Times New Roman" w:hAnsi="Times New Roman"/>
          <w:sz w:val="18"/>
          <w:szCs w:val="18"/>
          <w:color w:val="auto"/>
        </w:rPr>
        <w:t>” shall mean, for any Person, the ratio calculated by dividing (a) such Person’s Tier 1 Capital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the sum of: (i) qualifying class-A noncontrolling (minority) interests in consolidated Subsidiaries, (ii) qualifying restricted core capital elements,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qualifying mandatory convertible preferred securities of internationally active bank holding companies and (iv) cumulative perpetual preferred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surplus (other than the Fixed Rate Perpetual Preferred Stock which shall not be deducted from Tier 1 Capital for purposes of calculating this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capital ratio)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such Person’s total risk-weighted assets, or as otherwise defined from time to time under each federal and state regulation or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or binding upon, the Borrower or any Financial Institution Subsidiary.</w:t>
      </w:r>
    </w:p>
    <w:p>
      <w:pPr>
        <w:spacing w:after="0" w:line="230"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Tier 1 Leverage Ratio</w:t>
      </w:r>
      <w:r>
        <w:rPr>
          <w:rFonts w:ascii="Times New Roman" w:cs="Times New Roman" w:eastAsia="Times New Roman" w:hAnsi="Times New Roman"/>
          <w:sz w:val="18"/>
          <w:szCs w:val="18"/>
          <w:color w:val="auto"/>
        </w:rPr>
        <w:t xml:space="preserve">” shall mean, for any Person, the ratio calculated by dividing (a) such Person’s Tier 1 Capital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such Person’s average total assets for leverage capital purposes, or as otherwise defined from time to time under each federal and state regulation or order applicable to, or binding upon, the Borrower or any Financial Institution Subsidiary.</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Risk-based Capital Ratio</w:t>
      </w:r>
      <w:r>
        <w:rPr>
          <w:rFonts w:ascii="Times New Roman" w:cs="Times New Roman" w:eastAsia="Times New Roman" w:hAnsi="Times New Roman"/>
          <w:sz w:val="18"/>
          <w:szCs w:val="18"/>
          <w:color w:val="auto"/>
        </w:rPr>
        <w:t xml:space="preserve">” shall mean, for any Person, the ratio calculated by dividing (a) such Person’s total risk-based capital </w:t>
      </w:r>
      <w:r>
        <w:rPr>
          <w:rFonts w:ascii="Times New Roman" w:cs="Times New Roman" w:eastAsia="Times New Roman" w:hAnsi="Times New Roman"/>
          <w:sz w:val="18"/>
          <w:szCs w:val="18"/>
          <w:i w:val="1"/>
          <w:iCs w:val="1"/>
          <w:color w:val="auto"/>
        </w:rPr>
        <w:t>by</w:t>
      </w:r>
    </w:p>
    <w:p>
      <w:pPr>
        <w:spacing w:after="0" w:line="31" w:lineRule="exact"/>
        <w:rPr>
          <w:sz w:val="20"/>
          <w:szCs w:val="20"/>
          <w:color w:val="auto"/>
        </w:rPr>
      </w:pPr>
    </w:p>
    <w:p>
      <w:pPr>
        <w:ind w:firstLine="8"/>
        <w:spacing w:after="0" w:line="261" w:lineRule="auto"/>
        <w:tabs>
          <w:tab w:leader="none" w:pos="27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total risk-weighted assets, or as otherwise defined from time to time under each federal and state regulation or order applicable to, or binding upon, the Borrower or any Financial Institution Subsidiary.</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47" w:name="page148"/>
    <w:bookmarkEnd w:id="147"/>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Type</w:t>
      </w:r>
      <w:r>
        <w:rPr>
          <w:rFonts w:ascii="Times New Roman" w:cs="Times New Roman" w:eastAsia="Times New Roman" w:hAnsi="Times New Roman"/>
          <w:sz w:val="18"/>
          <w:szCs w:val="18"/>
          <w:color w:val="auto"/>
        </w:rPr>
        <w:t>”, when used in reference to a Revolving Loan, refers to whether the rate of interest on such Revolving Loan is determined by reference to LIBOR or the Base Rate.</w:t>
      </w:r>
    </w:p>
    <w:p>
      <w:pPr>
        <w:spacing w:after="0" w:line="18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“United Community Bank” </w:t>
      </w:r>
      <w:r>
        <w:rPr>
          <w:rFonts w:ascii="Times New Roman" w:cs="Times New Roman" w:eastAsia="Times New Roman" w:hAnsi="Times New Roman"/>
          <w:sz w:val="18"/>
          <w:szCs w:val="18"/>
          <w:color w:val="auto"/>
        </w:rPr>
        <w:t>shall mean United Community Bank, a state bank chartered in the State of Georgia and wholly-owned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of the Borrower.</w:t>
      </w:r>
    </w:p>
    <w:p>
      <w:pPr>
        <w:spacing w:after="0" w:line="18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shall mean shares of Capital Stock entitled to vote generally in the election of directors.</w:t>
      </w:r>
    </w:p>
    <w:p>
      <w:pPr>
        <w:spacing w:after="0" w:line="25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Withdrawal Liability</w:t>
      </w:r>
      <w:r>
        <w:rPr>
          <w:rFonts w:ascii="Times New Roman" w:cs="Times New Roman" w:eastAsia="Times New Roman" w:hAnsi="Times New Roman"/>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82"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u w:val="single" w:color="auto"/>
          <w:color w:val="auto"/>
        </w:rPr>
        <w:t>Accounting Terms and Determination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defined or specified herein, all accounting terms used herein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interpreted, all accounting determinations hereunder shall be made, and all financial statements required to be delivered hereunder shall be prepared, in accordance with GAAP as in effect from time to time, applied on a basis consistent (except for such changes approved by the Borrower’s independent public accountants) with the most recent audited consolidated financial statement of the Borrower and its Subsidiaries delivered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(or, if no such financial statements have been delivered, on a basis consistent with the audited consolidated financial statements of the Borrower and its Subsidiaries last delivered to the Lender in connection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notifies the Lender that the Borrower wishes to amend any covenant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eliminate the effect of any change in GAAP on the operation of such covenant (or if the Lender notifies the Borrower that the Lender wishes to amend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Lender. Notwithstanding the foregoing, to the extent any lease would be accounted for as an operating lease under GAAP as in effect on the Closing Date, such lease shall continue to be classified and accounted for as an operating lease for all purposes of this Agreement notwithstanding any change in GAAP relating thereto, unless the parties hereto shall enter into a mutually acceptable amendment addressing such changes, as provided for above.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to value any Indebtedness or other liabilities of the Borrower or any Subsidiary at “fair value”, as defined therein.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48" w:name="page149"/>
    <w:bookmarkEnd w:id="148"/>
    <w:p>
      <w:pPr>
        <w:jc w:val="both"/>
        <w:ind w:firstLine="12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defined. The words “include”, “includes” and “including” shall be deemed to be followed by the phrase “without limitation”. In the computation of periods of time from a specified date to a later specified date, the word “from” means “from and including” and the word “to” means “to but excluding”.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(v) all references to a specific time shall be construed to refer to Columbus, Georgia time, unless otherwise indicated; and (vi) any reference to any law or regulation herein shall, unless otherwise specified, refer to such law or regulation as amended, modified or supplemented from time to time. To the extent that any of the representations and warranties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under this Agreement is qualified by “Material Adverse Effect”, then the qualifier “in any material respect” contained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apply. Unless otherwise expressly provided herein, all references to dollar amounts shall mean Dollars.</w:t>
      </w:r>
    </w:p>
    <w:p>
      <w:pPr>
        <w:spacing w:after="0" w:line="216" w:lineRule="exact"/>
        <w:rPr>
          <w:sz w:val="20"/>
          <w:szCs w:val="20"/>
          <w:color w:val="auto"/>
        </w:rPr>
      </w:pPr>
    </w:p>
    <w:p>
      <w:pPr>
        <w:ind w:left="30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ARTICLE II</w:t>
      </w:r>
      <w:r>
        <w:rPr>
          <w:sz w:val="20"/>
          <w:szCs w:val="20"/>
          <w:color w:val="auto"/>
        </w:rPr>
        <w:tab/>
      </w:r>
      <w:r>
        <w:rPr>
          <w:rFonts w:ascii="Times New Roman" w:cs="Times New Roman" w:eastAsia="Times New Roman" w:hAnsi="Times New Roman"/>
          <w:sz w:val="17"/>
          <w:szCs w:val="17"/>
          <w:b w:val="1"/>
          <w:bCs w:val="1"/>
          <w:u w:val="single" w:color="auto"/>
          <w:color w:val="auto"/>
        </w:rPr>
        <w:t>AMOUNT AND TERMS OF THE REVOLVING LOAN</w:t>
      </w:r>
    </w:p>
    <w:p>
      <w:pPr>
        <w:spacing w:after="0" w:line="252"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u w:val="single" w:color="auto"/>
          <w:color w:val="auto"/>
        </w:rPr>
        <w:t>Revolving Loan Commitment</w:t>
      </w:r>
      <w:r>
        <w:rPr>
          <w:rFonts w:ascii="Times New Roman" w:cs="Times New Roman" w:eastAsia="Times New Roman" w:hAnsi="Times New Roman"/>
          <w:sz w:val="18"/>
          <w:szCs w:val="18"/>
          <w:color w:val="auto"/>
        </w:rPr>
        <w:t>. Subject to the terms and conditions set forth herein,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satisfaction of the conditions set forth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the Lender agrees to make revolving loans (the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xml:space="preserve">”) to the Borrower, from time to time during the Availability Period, in an aggregate principal amount outstanding at any time that shall not exceed the Revolving Commitment. During the Availability Period, the Borrower shall be entitled to borrow, prepay and reborrow Revolving Loans in accordance with the terms and conditions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the Borrower may not borrow or reborrow should there exist a Default or Event of Default and (ii) notwithstanding the first sentence of this Section 2.1 and the definition of “Revolving Commitment”, unless and until the Borrower shall have received formal written notice of the termination of the Holding Company MoU from each of the Federal Reserve Bank of Atlanta and the Georgia Department of Banking and Finance and delivered copies of such terminations to the Lender, the maximum aggregate principal amount of Revolving Loans that the Borrower may borrow hereunder at any one time outstanding shall not exceed $40,000,000.</w:t>
      </w:r>
    </w:p>
    <w:p>
      <w:pPr>
        <w:spacing w:after="0" w:line="209"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u w:val="single" w:color="auto"/>
          <w:color w:val="auto"/>
        </w:rPr>
        <w:t>Procedure for Borrowing Revolving Loans</w:t>
      </w:r>
      <w:r>
        <w:rPr>
          <w:rFonts w:ascii="Times New Roman" w:cs="Times New Roman" w:eastAsia="Times New Roman" w:hAnsi="Times New Roman"/>
          <w:sz w:val="18"/>
          <w:szCs w:val="18"/>
          <w:color w:val="auto"/>
        </w:rPr>
        <w:t>. The Borrower shall give the Lender written notice (or telephonic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promptly confirmed in writing) of its request for Borrowing substantially in the form of </w:t>
      </w:r>
      <w:r>
        <w:rPr>
          <w:rFonts w:ascii="Times New Roman" w:cs="Times New Roman" w:eastAsia="Times New Roman" w:hAnsi="Times New Roman"/>
          <w:sz w:val="18"/>
          <w:szCs w:val="18"/>
          <w:u w:val="single" w:color="auto"/>
          <w:color w:val="auto"/>
        </w:rPr>
        <w:t>Exhibit 2.2</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prior to 11:00 a.m. on, in the case such Borrowing is a Eurodollar Borrowing, the date that is two (2) Business Days prior to the date of the Borrowing or, in the case such Borrowing is a Base Rate Borrowing, the date that is one (1) Business Day prior to the date of such Borrowing. The Notice of Borrowing shall be irrevocable and shall specify: (i) the aggregate principal amount of such Borrowing, (ii) the date of the Borrowing (which shall be a Business Day), (iii) the Type of such Borrowing, (iv) in the case of a Eurodollar Borrowing, the duration of the initial Interest Period applicable thereto (subject to the provisions of the definition of Interest Period) and (v) the account of the Borrower to which the proceeds of the Revolving Loan should be credited. Each Borrowing shall consist entirely of Base Rate Loans or Eurodollar Loans, as the Borrower may request. The aggregate principal amount of each Eurodollar Borrowing shall be not less than $2,500,000 or a larger multiple of $500,000, and the aggregate principal amount of each Base Rate Borrowing shall not be less than $500,000 or a larger multiple of $100,000.</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49" w:name="page150"/>
    <w:bookmarkEnd w:id="149"/>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u w:val="single" w:color="auto"/>
          <w:color w:val="auto"/>
        </w:rPr>
        <w:t>Funding of Borrowing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herein, following the receipt of Notice of Borrowing as described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by no later than 1:00 p.m. Eastern time on the date specified in the Notice of Borrowing, the Lender will make the proceeds of the requested Revolving Loan available to the Borrower by effecting a wire transfer of such amounts to an account designated by the Borrower to the Lender as set forth in the Notice of Borrowing.</w:t>
      </w:r>
    </w:p>
    <w:p>
      <w:pPr>
        <w:spacing w:after="0" w:line="204"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Section 2.4.</w:t>
      </w:r>
      <w:r>
        <w:rPr>
          <w:sz w:val="20"/>
          <w:szCs w:val="20"/>
          <w:color w:val="auto"/>
        </w:rPr>
        <w:tab/>
      </w:r>
      <w:r>
        <w:rPr>
          <w:rFonts w:ascii="Times New Roman" w:cs="Times New Roman" w:eastAsia="Times New Roman" w:hAnsi="Times New Roman"/>
          <w:sz w:val="17"/>
          <w:szCs w:val="17"/>
          <w:u w:val="single" w:color="auto"/>
          <w:color w:val="auto"/>
        </w:rPr>
        <w:t>Interest Elections</w:t>
      </w:r>
      <w:r>
        <w:rPr>
          <w:rFonts w:ascii="Times New Roman" w:cs="Times New Roman" w:eastAsia="Times New Roman" w:hAnsi="Times New Roman"/>
          <w:sz w:val="17"/>
          <w:szCs w:val="17"/>
          <w:b w:val="1"/>
          <w:bCs w:val="1"/>
          <w:u w:val="single" w:color="auto"/>
          <w:color w:val="auto"/>
        </w:rPr>
        <w:t>.</w:t>
      </w:r>
    </w:p>
    <w:p>
      <w:pPr>
        <w:spacing w:after="0" w:line="256" w:lineRule="exact"/>
        <w:rPr>
          <w:sz w:val="20"/>
          <w:szCs w:val="20"/>
          <w:color w:val="auto"/>
        </w:rPr>
      </w:pPr>
    </w:p>
    <w:p>
      <w:pPr>
        <w:jc w:val="both"/>
        <w:ind w:firstLine="1305"/>
        <w:spacing w:after="0" w:line="261" w:lineRule="auto"/>
        <w:tabs>
          <w:tab w:leader="none" w:pos="209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initially shall be of the Type specified in the applicable Notice of Borrowing, and in the case of a Eurodollar Borrowing, shall have an initial Interest Period as specified in such Notice of Borrowing. Thereafter, the Borrower may elect to convert such Borrowing into a different Type or to continue such Borrowing, and in the case of a Eurodollar Borrowing, may elect Interest Periods therefor, all as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w:t>
      </w:r>
    </w:p>
    <w:p>
      <w:pPr>
        <w:spacing w:after="0" w:line="207" w:lineRule="exact"/>
        <w:rPr>
          <w:rFonts w:ascii="Times New Roman" w:cs="Times New Roman" w:eastAsia="Times New Roman" w:hAnsi="Times New Roman"/>
          <w:sz w:val="18"/>
          <w:szCs w:val="18"/>
          <w:color w:val="auto"/>
        </w:rPr>
      </w:pPr>
    </w:p>
    <w:p>
      <w:pPr>
        <w:jc w:val="both"/>
        <w:ind w:firstLine="1305"/>
        <w:spacing w:after="0" w:line="253" w:lineRule="auto"/>
        <w:tabs>
          <w:tab w:leader="none" w:pos="20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Borrower shall give the Lender prior written notice (or telephonic notice promptly confirmed in writing) of each Borrowing substantially in the form of </w:t>
      </w:r>
      <w:r>
        <w:rPr>
          <w:rFonts w:ascii="Times New Roman" w:cs="Times New Roman" w:eastAsia="Times New Roman" w:hAnsi="Times New Roman"/>
          <w:sz w:val="18"/>
          <w:szCs w:val="18"/>
          <w:u w:val="single" w:color="auto"/>
          <w:color w:val="auto"/>
        </w:rPr>
        <w:t>Exhibit 2.4</w:t>
      </w:r>
      <w:r>
        <w:rPr>
          <w:rFonts w:ascii="Times New Roman" w:cs="Times New Roman" w:eastAsia="Times New Roman" w:hAnsi="Times New Roman"/>
          <w:sz w:val="18"/>
          <w:szCs w:val="18"/>
          <w:color w:val="auto"/>
        </w:rPr>
        <w:t xml:space="preserve"> attached hereto (a “</w:t>
      </w:r>
      <w:r>
        <w:rPr>
          <w:rFonts w:ascii="Times New Roman" w:cs="Times New Roman" w:eastAsia="Times New Roman" w:hAnsi="Times New Roman"/>
          <w:sz w:val="18"/>
          <w:szCs w:val="18"/>
          <w:u w:val="single" w:color="auto"/>
          <w:color w:val="auto"/>
        </w:rPr>
        <w:t>Notice of Conversion/Continuation</w:t>
      </w:r>
      <w:r>
        <w:rPr>
          <w:rFonts w:ascii="Times New Roman" w:cs="Times New Roman" w:eastAsia="Times New Roman" w:hAnsi="Times New Roman"/>
          <w:sz w:val="18"/>
          <w:szCs w:val="18"/>
          <w:color w:val="auto"/>
        </w:rPr>
        <w:t xml:space="preserve">”) that is to be converted or continued, as the case may be, (x) prior to 11:00 a.m. one (1) Business Day prior to the requested date of a conversion into a Base Rate Borrowing and (y) prior to 11:00 a.m. two (2) Business Days prior to a continuation of or conversion into a Eurodollar Borrowing. Each such Notice of Conversion/Continuation shall be irrevocable and shall specify (i) the Borrowing to which such Notice of Conversion/Continuation applies and if different options are being elected with respect to different portions thereof, the portions thereof that are to be allocated to each resulting Borrowing (in which case the information to be specified pursuant to clauses (iii) and (iv) shall be specified for each resulting Borrowing); (ii) the effective date of the election made pursuant to such Notice of Conversion/Continuation, which shall be a Business Day, (iii) whether the resulting Borrowing is to be a Base Rate Borrowing or a Eurodollar Borrowing; and (iv) if the resulting Borrowing is to be a Eurodollar Borrowing, the Interest Period applicable thereto after giving effect to such election, which shall be a period contemplated by the definition of “Interest Period”. If any such Notice of Conversion/Continuation requests a Eurodollar Borrowing but does not specify an Interest Period, the Borrower shall be deemed to have selected an Interest Period of one month. The principal amount of any resulting Borrowing shall satisfy the minimum borrowing amount for Eurodollar Borrowings and Base Rate Borrowings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firstLine="1305"/>
        <w:spacing w:after="0" w:line="258" w:lineRule="auto"/>
        <w:tabs>
          <w:tab w:leader="none" w:pos="208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expiration of any Interest Period in respect of any Eurodollar Borrowing, the Borrower shall have failed to deliver a Notice of Conversion/ Continuation, then, unless such Borrowing is repaid as provided herein, the Borrower shall be deemed to have elected to convert such Borrowing to a Base Rate Borrowing. No Borrowing may be converted into, or continued as, a Eurodollar Borrowing if a Default or an Event of Default exists, unless the Lender shall have otherwise consented in writing. No conversion of any Eurodollar Loans shall be permitted except on the last day of the Interest Period in respect thereof.</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50" w:name="page151"/>
    <w:bookmarkEnd w:id="150"/>
    <w:p>
      <w:pPr>
        <w:jc w:val="both"/>
        <w:ind w:left="-8" w:firstLine="1305"/>
        <w:spacing w:after="0" w:line="266" w:lineRule="auto"/>
        <w:tabs>
          <w:tab w:leader="none" w:pos="203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conversion or continuation of any Revolving Loan, such conversion or continuation shall be in an aggregate principal amount of no less than the lesser of: (i) $2,000,000 or a larger multiple of $1,000,000, or (ii) the aggregate principal amount of Revolving Loans then outstanding.</w:t>
      </w:r>
    </w:p>
    <w:p>
      <w:pPr>
        <w:spacing w:after="0" w:line="199" w:lineRule="exact"/>
        <w:rPr>
          <w:sz w:val="20"/>
          <w:szCs w:val="20"/>
          <w:color w:val="auto"/>
        </w:rPr>
      </w:pPr>
    </w:p>
    <w:p>
      <w:pPr>
        <w:ind w:left="1292"/>
        <w:spacing w:after="0"/>
        <w:tabs>
          <w:tab w:leader="none" w:pos="2372" w:val="left"/>
        </w:tabs>
        <w:rPr>
          <w:sz w:val="20"/>
          <w:szCs w:val="20"/>
          <w:color w:val="auto"/>
        </w:rPr>
      </w:pPr>
      <w:r>
        <w:rPr>
          <w:rFonts w:ascii="Times New Roman" w:cs="Times New Roman" w:eastAsia="Times New Roman" w:hAnsi="Times New Roman"/>
          <w:sz w:val="18"/>
          <w:szCs w:val="18"/>
          <w:b w:val="1"/>
          <w:bCs w:val="1"/>
          <w:color w:val="auto"/>
        </w:rPr>
        <w:t>Section 2.5.</w:t>
      </w:r>
      <w:r>
        <w:rPr>
          <w:sz w:val="20"/>
          <w:szCs w:val="20"/>
          <w:color w:val="auto"/>
        </w:rPr>
        <w:tab/>
      </w:r>
      <w:r>
        <w:rPr>
          <w:rFonts w:ascii="Times New Roman" w:cs="Times New Roman" w:eastAsia="Times New Roman" w:hAnsi="Times New Roman"/>
          <w:sz w:val="17"/>
          <w:szCs w:val="17"/>
          <w:u w:val="single" w:color="auto"/>
          <w:color w:val="auto"/>
        </w:rPr>
        <w:t>Repayment of Revolving Loans; Prepayments; Mandatory Commitment Reductions</w:t>
      </w:r>
      <w:r>
        <w:rPr>
          <w:rFonts w:ascii="Times New Roman" w:cs="Times New Roman" w:eastAsia="Times New Roman" w:hAnsi="Times New Roman"/>
          <w:sz w:val="17"/>
          <w:szCs w:val="17"/>
          <w:b w:val="1"/>
          <w:bCs w:val="1"/>
          <w:u w:val="single" w:color="auto"/>
          <w:color w:val="auto"/>
        </w:rPr>
        <w:t>.</w:t>
      </w:r>
    </w:p>
    <w:p>
      <w:pPr>
        <w:spacing w:after="0" w:line="256" w:lineRule="exact"/>
        <w:rPr>
          <w:sz w:val="20"/>
          <w:szCs w:val="20"/>
          <w:color w:val="auto"/>
        </w:rPr>
      </w:pPr>
    </w:p>
    <w:p>
      <w:pPr>
        <w:ind w:left="-8" w:firstLine="1305"/>
        <w:spacing w:after="0" w:line="282" w:lineRule="auto"/>
        <w:tabs>
          <w:tab w:leader="none" w:pos="195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Commitment shall terminate on the Maturity Date and the Borrower unconditionally promises to pay to the Lender the then unpaid principal amount of, and all accrued but unpaid interest on, all of the Revolving Loans on the Maturity Date.</w:t>
      </w:r>
    </w:p>
    <w:p>
      <w:pPr>
        <w:spacing w:after="0" w:line="188" w:lineRule="exact"/>
        <w:rPr>
          <w:rFonts w:ascii="Times New Roman" w:cs="Times New Roman" w:eastAsia="Times New Roman" w:hAnsi="Times New Roman"/>
          <w:sz w:val="18"/>
          <w:szCs w:val="18"/>
          <w:color w:val="auto"/>
        </w:rPr>
      </w:pPr>
    </w:p>
    <w:p>
      <w:pPr>
        <w:jc w:val="both"/>
        <w:ind w:left="-8" w:firstLine="1305"/>
        <w:spacing w:after="0" w:line="257" w:lineRule="auto"/>
        <w:tabs>
          <w:tab w:leader="none" w:pos="212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at least two (2) Business Days’ prior written notice (or telephonic notice promptly confirmed in writing) to the Lender (which notice shall be irrevocable), the Borrower may reduce the Revolving Commitment in part or terminate the Revolving Commitment in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partial reduction pursuant to this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shall be in an amount of at least $2,500,000 and any larger multiple of $500,000 and</w:t>
      </w:r>
    </w:p>
    <w:p>
      <w:pPr>
        <w:spacing w:after="0" w:line="1" w:lineRule="exact"/>
        <w:rPr>
          <w:rFonts w:ascii="Times New Roman" w:cs="Times New Roman" w:eastAsia="Times New Roman" w:hAnsi="Times New Roman"/>
          <w:sz w:val="18"/>
          <w:szCs w:val="18"/>
          <w:color w:val="auto"/>
        </w:rPr>
      </w:pPr>
    </w:p>
    <w:p>
      <w:pPr>
        <w:ind w:left="-8" w:right="20" w:firstLine="8"/>
        <w:spacing w:after="0" w:line="261" w:lineRule="auto"/>
        <w:tabs>
          <w:tab w:leader="none" w:pos="2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reduction shall be permitted which would reduce the Revolving Commitment (after giving effect thereto and any concurrent prepayments made hereunder) to an amount less than the outstanding Revolving Loans of the Lender.</w:t>
      </w:r>
    </w:p>
    <w:p>
      <w:pPr>
        <w:spacing w:after="0" w:line="206" w:lineRule="exact"/>
        <w:rPr>
          <w:rFonts w:ascii="Times New Roman" w:cs="Times New Roman" w:eastAsia="Times New Roman" w:hAnsi="Times New Roman"/>
          <w:sz w:val="18"/>
          <w:szCs w:val="18"/>
          <w:color w:val="auto"/>
        </w:rPr>
      </w:pPr>
    </w:p>
    <w:p>
      <w:pPr>
        <w:jc w:val="both"/>
        <w:ind w:left="-8" w:firstLine="1305"/>
        <w:spacing w:after="0" w:line="261" w:lineRule="auto"/>
        <w:tabs>
          <w:tab w:leader="none" w:pos="196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the Borrower shall have the right at any time and from time to time to prepay any Borrowing, in whole or in part, without premium or penalty, by giving irrevocable written notice (or telephonic notice promptly confirmed in writing) to the Lender no later than:</w:t>
      </w:r>
    </w:p>
    <w:p>
      <w:pPr>
        <w:jc w:val="both"/>
        <w:ind w:left="-8" w:firstLine="8"/>
        <w:spacing w:after="0" w:line="252" w:lineRule="auto"/>
        <w:tabs>
          <w:tab w:leader="none" w:pos="21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prepayment of any Eurodollar Borrowing, 11:00 a.m. not less than two (2) Business Days prior to any such prepayment, and (ii) in the case of any prepayment of any Base Rate Borrowing, 11:00 a.m. not less than one (1) Business Day prior to the date of such prepayment. Each prepayment notice shall be irrevocable and shall specify the proposed date of such prepayment and the principal amount of the outstanding Revolving Loans to be prepaid. If such notice is given, the aggregate amount specified in such notice shall be due and payable on the date designated in such notice, together with accrued interest to such date on the amount so prepaid in accordance with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Each partial prepayment of any Revolving Loan shall be in an amount that would be permitted in the case of an advance of a Borrowing of the same Type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Each prepayment of a Borrowing shall be applied ratably to the Revolving Loans comprising such Borrowing.</w:t>
      </w:r>
    </w:p>
    <w:p>
      <w:pPr>
        <w:spacing w:after="0" w:line="216" w:lineRule="exact"/>
        <w:rPr>
          <w:rFonts w:ascii="Times New Roman" w:cs="Times New Roman" w:eastAsia="Times New Roman" w:hAnsi="Times New Roman"/>
          <w:sz w:val="18"/>
          <w:szCs w:val="18"/>
          <w:color w:val="auto"/>
        </w:rPr>
      </w:pPr>
    </w:p>
    <w:p>
      <w:pPr>
        <w:ind w:left="-8" w:right="20" w:firstLine="1305"/>
        <w:spacing w:after="0" w:line="282" w:lineRule="auto"/>
        <w:tabs>
          <w:tab w:leader="none" w:pos="21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aggregate principal amount of all outstanding Revolving Loans exceeds the Revolving Commitment, the Borrower shall immediately, upon demand, pay to the Lender the amount of such excess.</w:t>
      </w:r>
    </w:p>
    <w:p>
      <w:pPr>
        <w:spacing w:after="0" w:line="188" w:lineRule="exact"/>
        <w:rPr>
          <w:rFonts w:ascii="Times New Roman" w:cs="Times New Roman" w:eastAsia="Times New Roman" w:hAnsi="Times New Roman"/>
          <w:sz w:val="18"/>
          <w:szCs w:val="18"/>
          <w:color w:val="auto"/>
        </w:rPr>
      </w:pPr>
    </w:p>
    <w:p>
      <w:pPr>
        <w:jc w:val="both"/>
        <w:ind w:left="-8" w:firstLine="1305"/>
        <w:spacing w:after="0" w:line="255" w:lineRule="auto"/>
        <w:tabs>
          <w:tab w:leader="none" w:pos="197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receipt by the Borrower or any Subsidiary of the Borrower of any Net Cash Proceeds of any sale or disposition by the Borrower or such Subsidiary in excess of $25,000,000 (excluding (i) any sale or disposition to the Borrower or any other Subsidiary; (ii) the disposition of any Hedging Transaction; (iii) the sale or disposition of loans and/or Other Real Estate Owned in the ordinary course of business having a book value not to exceed $25,000,000 in any single transaction or series of related transactions; and (iv) the disposition of any Cash or Investments made in the ordinary course of business in connection with asset management or other ordinary course operations by any Subsidiary) (an “</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xml:space="preserve">”), the Borrower shall prepay the Obligations in an aggregate amount equal to 100% of such Net Cash Proceeds. Any such prepayment shall be applied in accordance with </w:t>
      </w:r>
      <w:r>
        <w:rPr>
          <w:rFonts w:ascii="Times New Roman" w:cs="Times New Roman" w:eastAsia="Times New Roman" w:hAnsi="Times New Roman"/>
          <w:sz w:val="18"/>
          <w:szCs w:val="18"/>
          <w:u w:val="single" w:color="auto"/>
          <w:color w:val="auto"/>
        </w:rPr>
        <w:t>Section 2.5(g)</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612" w:hanging="101"/>
        <w:spacing w:after="0"/>
        <w:tabs>
          <w:tab w:leader="none" w:pos="5612"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18" w:right="239" w:bottom="1440" w:gutter="0" w:footer="0" w:header="0"/>
        </w:sectPr>
      </w:pPr>
    </w:p>
    <w:bookmarkStart w:id="151" w:name="page152"/>
    <w:bookmarkEnd w:id="151"/>
    <w:p>
      <w:pPr>
        <w:jc w:val="both"/>
        <w:ind w:left="-660" w:firstLine="1305"/>
        <w:spacing w:after="0" w:line="258" w:lineRule="auto"/>
        <w:tabs>
          <w:tab w:leader="none" w:pos="133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any prepayment of the Revolving Loans pursuant to clause (e)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Borrower shall deliver to the Lender a certificate of a Responsible Officer demonstrating the calculation of the amount of the Net Cash Proceeds. In the event that the Borrower shall subsequently determine that the actual amount received exceeded the amount set forth in such certificate, the Borrower shall promptly make an additional prepayment of the Revolving Loans in an amount equal to such excess, and the Borrower shall concurrently therewith deliver to the Lender a certificate of a Responsible Officer demonstrating the derivation of such excess.</w:t>
      </w:r>
    </w:p>
    <w:p>
      <w:pPr>
        <w:spacing w:after="0" w:line="210" w:lineRule="exact"/>
        <w:rPr>
          <w:rFonts w:ascii="Times New Roman" w:cs="Times New Roman" w:eastAsia="Times New Roman" w:hAnsi="Times New Roman"/>
          <w:sz w:val="18"/>
          <w:szCs w:val="18"/>
          <w:color w:val="auto"/>
        </w:rPr>
      </w:pPr>
    </w:p>
    <w:p>
      <w:pPr>
        <w:ind w:left="-660" w:firstLine="1305"/>
        <w:spacing w:after="0" w:line="282" w:lineRule="auto"/>
        <w:tabs>
          <w:tab w:leader="none" w:pos="13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all voluntary prepayments of the Revolving Loans pursuant to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and mandatory prepayments of the Revolving Loans required to be prepaid pursuant to clauses (e) and (f)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applied as follows: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all fees, and all expenses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to the full extent thereof;</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of any accrued Default Interest, if any;</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payment of any accrued interest with respect to the Revolving Loans;</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remaining principal installments of the Revolving Loans, in inverse order of maturity, until the Revolving Loans are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repaid in full;</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to all other Obligations owed to the Lender, until paid in full; and</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any remaining amounts shall be paid to the Borrower or its designee.</w:t>
      </w:r>
    </w:p>
    <w:p>
      <w:pPr>
        <w:spacing w:after="0" w:line="254" w:lineRule="exact"/>
        <w:rPr>
          <w:sz w:val="20"/>
          <w:szCs w:val="20"/>
          <w:color w:val="auto"/>
        </w:rPr>
      </w:pPr>
    </w:p>
    <w:p>
      <w:pPr>
        <w:ind w:left="-660" w:right="20" w:firstLine="1305"/>
        <w:spacing w:after="0" w:line="282" w:lineRule="auto"/>
        <w:tabs>
          <w:tab w:leader="none" w:pos="141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of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applied first to outstanding Base Rate Loans to the full extent thereof before application to Eurodollar Loans in direct order of Interest Period maturities.</w:t>
      </w:r>
    </w:p>
    <w:p>
      <w:pPr>
        <w:spacing w:after="0" w:line="188" w:lineRule="exact"/>
        <w:rPr>
          <w:rFonts w:ascii="Times New Roman" w:cs="Times New Roman" w:eastAsia="Times New Roman" w:hAnsi="Times New Roman"/>
          <w:sz w:val="18"/>
          <w:szCs w:val="18"/>
          <w:color w:val="auto"/>
        </w:rPr>
      </w:pPr>
    </w:p>
    <w:p>
      <w:pPr>
        <w:jc w:val="both"/>
        <w:ind w:left="-660" w:firstLine="1305"/>
        <w:spacing w:after="0" w:line="266" w:lineRule="auto"/>
        <w:tabs>
          <w:tab w:leader="none" w:pos="136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interpreted to permit or authorize the Borrower or any Subsidiary to effect, cause or allow to occur any sale or disposition of assets, sale or issuance of Capital Stock or Indebtedness or any other transaction that would otherwise be prohibited by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or any of the other terms or provisions of this Agreement or the other Loan Documents.</w:t>
      </w:r>
    </w:p>
    <w:p>
      <w:pPr>
        <w:spacing w:after="0" w:line="199"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8"/>
          <w:szCs w:val="18"/>
          <w:u w:val="single" w:color="auto"/>
          <w:color w:val="auto"/>
        </w:rPr>
        <w:t>Rates and Payment of Interest on Revolving Loans</w:t>
      </w:r>
      <w:r>
        <w:rPr>
          <w:rFonts w:ascii="Times New Roman" w:cs="Times New Roman" w:eastAsia="Times New Roman" w:hAnsi="Times New Roman"/>
          <w:sz w:val="18"/>
          <w:szCs w:val="18"/>
          <w:b w:val="1"/>
          <w:bCs w:val="1"/>
          <w:u w:val="single" w:color="auto"/>
          <w:color w:val="auto"/>
        </w:rPr>
        <w:t>.</w:t>
      </w:r>
    </w:p>
    <w:p>
      <w:pPr>
        <w:spacing w:after="0" w:line="256" w:lineRule="exact"/>
        <w:rPr>
          <w:sz w:val="20"/>
          <w:szCs w:val="20"/>
          <w:color w:val="auto"/>
        </w:rPr>
      </w:pPr>
    </w:p>
    <w:p>
      <w:pPr>
        <w:jc w:val="both"/>
        <w:ind w:left="-660" w:firstLine="1305"/>
        <w:spacing w:after="0" w:line="266" w:lineRule="auto"/>
        <w:tabs>
          <w:tab w:leader="none" w:pos="133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pay interest on each Revolving Loan at, in the case of any Revolving Loan that is a Eurodollar Loan, LIBOR for the applicable Interest Period then in effect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3.75% per annum and, in the case of any Revolving Loan that is a Base Rate Loan, the Base Rate in effect from time to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Base Rate Margin.</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960" w:hanging="101"/>
        <w:spacing w:after="0"/>
        <w:tabs>
          <w:tab w:leader="none" w:pos="4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18" w:right="239" w:bottom="1440" w:gutter="0" w:footer="0" w:header="0"/>
        </w:sectPr>
      </w:pPr>
    </w:p>
    <w:bookmarkStart w:id="152" w:name="page153"/>
    <w:bookmarkEnd w:id="152"/>
    <w:p>
      <w:pPr>
        <w:jc w:val="both"/>
        <w:ind w:firstLine="1305"/>
        <w:spacing w:after="0" w:line="262" w:lineRule="auto"/>
        <w:tabs>
          <w:tab w:leader="none" w:pos="19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occurrence of an Event of Default, the Borrower shall pay interest (“</w:t>
      </w:r>
      <w:r>
        <w:rPr>
          <w:rFonts w:ascii="Times New Roman" w:cs="Times New Roman" w:eastAsia="Times New Roman" w:hAnsi="Times New Roman"/>
          <w:sz w:val="18"/>
          <w:szCs w:val="18"/>
          <w:b w:val="1"/>
          <w:bCs w:val="1"/>
          <w:i w:val="1"/>
          <w:iCs w:val="1"/>
          <w:color w:val="auto"/>
        </w:rPr>
        <w:t>Default Interest</w:t>
      </w:r>
      <w:r>
        <w:rPr>
          <w:rFonts w:ascii="Times New Roman" w:cs="Times New Roman" w:eastAsia="Times New Roman" w:hAnsi="Times New Roman"/>
          <w:sz w:val="18"/>
          <w:szCs w:val="18"/>
          <w:color w:val="auto"/>
        </w:rPr>
        <w:t xml:space="preserve">”) with respect to a Eurodollar Loan, at the rate otherwise applicable for the then-current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 additional 2.00% per annum until the last day of such Interest Period, and thereafter, and with respect to a Base Rate Loan and all other Obligations under this Agreement (other than the Revolving Loans), at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Base Rate Margin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2.00% per annum.</w:t>
      </w:r>
    </w:p>
    <w:p>
      <w:pPr>
        <w:spacing w:after="0" w:line="207" w:lineRule="exact"/>
        <w:rPr>
          <w:rFonts w:ascii="Times New Roman" w:cs="Times New Roman" w:eastAsia="Times New Roman" w:hAnsi="Times New Roman"/>
          <w:sz w:val="18"/>
          <w:szCs w:val="18"/>
          <w:color w:val="auto"/>
        </w:rPr>
      </w:pPr>
    </w:p>
    <w:p>
      <w:pPr>
        <w:jc w:val="both"/>
        <w:ind w:firstLine="1305"/>
        <w:spacing w:after="0" w:line="261" w:lineRule="auto"/>
        <w:tabs>
          <w:tab w:leader="none" w:pos="205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outstanding principal amount of each Revolving Loan shall accrue from and including the date of the making of such Revolving Loan to but excluding the date of any repayment thereof. Interest on a Eurodollar Loan shall be payable in arrears on the last day of each Interest Period applicable thereto and on the Maturity Date. Interest on a Base Rate Loan shall be payable in arrears on the last day of each calendar month and on the Maturity Date. All Default Interest shall be payable on demand.</w:t>
      </w:r>
    </w:p>
    <w:p>
      <w:pPr>
        <w:spacing w:after="0" w:line="207" w:lineRule="exact"/>
        <w:rPr>
          <w:rFonts w:ascii="Times New Roman" w:cs="Times New Roman" w:eastAsia="Times New Roman" w:hAnsi="Times New Roman"/>
          <w:sz w:val="18"/>
          <w:szCs w:val="18"/>
          <w:color w:val="auto"/>
        </w:rPr>
      </w:pPr>
    </w:p>
    <w:p>
      <w:pPr>
        <w:jc w:val="both"/>
        <w:ind w:firstLine="1305"/>
        <w:spacing w:after="0" w:line="266" w:lineRule="auto"/>
        <w:tabs>
          <w:tab w:leader="none" w:pos="199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determine the interest rate applicable to each Revolving Loan hereunder and shall promptly notify the Borrower of such rate in writing (or by telephone, promptly confirmed in writing). Any such determination shall be conclusive and binding for all purposes, absent manifest error.</w:t>
      </w:r>
    </w:p>
    <w:p>
      <w:pPr>
        <w:spacing w:after="0" w:line="199"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Section 2.7.</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firstLine="1305"/>
        <w:spacing w:after="0" w:line="282" w:lineRule="auto"/>
        <w:tabs>
          <w:tab w:leader="none" w:pos="21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Lender an upfront fee equal to 0.375% of the aggregate principal amount of the Revolving Commitment (and in any event without giving effect to clause (ii) of Section 2.1 hereof), which shall be due and payable on the Closing Date.</w:t>
      </w:r>
    </w:p>
    <w:p>
      <w:pPr>
        <w:spacing w:after="0" w:line="188" w:lineRule="exact"/>
        <w:rPr>
          <w:rFonts w:ascii="Times New Roman" w:cs="Times New Roman" w:eastAsia="Times New Roman" w:hAnsi="Times New Roman"/>
          <w:sz w:val="18"/>
          <w:szCs w:val="18"/>
          <w:color w:val="auto"/>
        </w:rPr>
      </w:pPr>
    </w:p>
    <w:p>
      <w:pPr>
        <w:jc w:val="both"/>
        <w:ind w:firstLine="1305"/>
        <w:spacing w:after="0" w:line="255" w:lineRule="auto"/>
        <w:tabs>
          <w:tab w:leader="none" w:pos="201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Availability Period, the Borrower agrees to pay to the Lender a quarterly unused fee, which shall accrue at 0.25% per annum on the average daily unused portion of the Revolving Commitment for such quarter (and in any event without giving effect to clause (ii) of Section 2.1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Lender continues to have any Revolving Loans after the Maturity Date, then the unused fee shall continue to accrue on the daily unused portion of the Revolving Commitment from and after the Maturity Date to the date that all of the Lender’s Revolving Loans have been paid in full and the Revolving Commitment is terminated. Accrued unused fees shall be payable in arrears on the last day of each March, June, September and December of each year and on the Maturity Date, commencing on the first such date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unused fees accruing after the Maturity Date shall be payable on demand.</w:t>
      </w:r>
    </w:p>
    <w:p>
      <w:pPr>
        <w:spacing w:after="0" w:line="212"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Interest hereunder based on the Lender’s prime lending rate shall be computed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of a year of 365 days (or 366 days in a leap year) and paid for the actual number of days elapsed (including the first day but excluding the last day). All other computations of interest and fees hereunder shall be made on the basis of a year of 360 days for the actual number of days (including the first day but excluding the last day) occurring in the period for which such interest or fees are payable (to the extent computed on the basis of days elapsed). Each determination by the Lender of an interest amount or fee hereunder shall be made in good faith and, except for manifest error, shall be final, conclusive and binding for all purposes.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53" w:name="page154"/>
    <w:bookmarkEnd w:id="153"/>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u w:val="single" w:color="auto"/>
          <w:color w:val="auto"/>
        </w:rPr>
        <w:t>Inability to Determine Interest Rates</w:t>
      </w:r>
      <w:r>
        <w:rPr>
          <w:rFonts w:ascii="Times New Roman" w:cs="Times New Roman" w:eastAsia="Times New Roman" w:hAnsi="Times New Roman"/>
          <w:sz w:val="18"/>
          <w:szCs w:val="18"/>
          <w:color w:val="auto"/>
        </w:rPr>
        <w:t>. If prior to the commencement of any Interest Period for any Borrowing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Eurodollar Loan, the Lender shall have determined (which determination shall be conclusive and binding upon the Borrower) that (a) by reason of circumstances affecting the relevant interbank market, adequate means do not exist for ascertaining LIBOR for such Interest Period, or (b) the Lender shall have determined that LIBOR does not adequately and fairly reflect the cost to the Lender of making, funding or maintaining its Eurodollar Loan, the Lender shall give written notice (or telephonic notice, promptly confirmed in writing) to the Borrower as soon as practicable thereafter. Until the Lender notifies the Borrower that the circumstances giving rise to such notice no longer exist, (x) the obligations of the Lender to make Eurodollar Loans or to continue or convert outstanding Revolving Loans as or into Eurodollar Loans shall be suspended and (y) the outstanding Revolving Loans shall be deemed to be converted into a Base Rate Loan as of such date and shall bear interest at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Base Rate Margin.</w:t>
      </w:r>
    </w:p>
    <w:p>
      <w:pPr>
        <w:spacing w:after="0" w:line="212"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u w:val="single" w:color="auto"/>
          <w:color w:val="auto"/>
        </w:rPr>
        <w:t>Evidence of Indebtedness</w:t>
      </w:r>
      <w:r>
        <w:rPr>
          <w:rFonts w:ascii="Times New Roman" w:cs="Times New Roman" w:eastAsia="Times New Roman" w:hAnsi="Times New Roman"/>
          <w:sz w:val="18"/>
          <w:szCs w:val="18"/>
          <w:color w:val="auto"/>
        </w:rPr>
        <w:t>. The Lender shall maintain in accordance with its usual practice appropriate records evidencing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Indebtedness of the Borrower to the Lender resulting from the Revolving Loans made or held by the Lender, including the amounts of principal and interest payable thereon and paid to the Lender from time to time under this Agreement. The entries made in such records shall be prima facie evidence (absent manifest error) of the existence and amounts of the obligations of the Borrower therein recorded;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or delay of the Lender in maintaining or making entries into any such record or any error therein shall not in any manner affect the obligation of the Borrower to repay the Revolving Loans (both principal and unpaid accrued interest) in accordance with the terms of this Agreement. On the Closing Date, the Borrower will execute and deliver a Revolving Credit Note to the Lender.</w:t>
      </w:r>
    </w:p>
    <w:p>
      <w:pPr>
        <w:spacing w:after="0" w:line="210"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Change in Law shall make it unlawful or impossible for the Lender to make, maintain or fund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Eurodollar Loan, the Lender shall promptly give notice thereof to the Borrower, whereupon until the Lender notifies the Borrower that the circumstances giving rise to such suspension no longer exist, the obligation of the Lender to continue to make Revolving Loans as Eurodollar Loans shall be suspended and the Lender’s Revolving Loans shall be made as Base Rate Loans. In the case of a Eurodollar Loan then outstanding, such Eurodollar Loan shall be converted to a Base Rate Loan either (x) on the last day of the then current Interest Period applicable to such Eurodollar Loan if the Lender may lawfully continue to maintain such Eurodollar Loan to the date or (y) immediately if such Lender shall determine that it may not lawfully continue to maintain such Eurodollar Loan to such date.</w:t>
      </w:r>
    </w:p>
    <w:p>
      <w:pPr>
        <w:spacing w:after="0" w:line="21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18"/>
          <w:szCs w:val="18"/>
          <w:b w:val="1"/>
          <w:bCs w:val="1"/>
          <w:color w:val="auto"/>
        </w:rPr>
        <w:t>Section 2.12.</w:t>
      </w:r>
      <w:r>
        <w:rPr>
          <w:sz w:val="20"/>
          <w:szCs w:val="20"/>
          <w:color w:val="auto"/>
        </w:rPr>
        <w:tab/>
      </w: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b w:val="1"/>
          <w:bCs w:val="1"/>
          <w:u w:val="single" w:color="auto"/>
          <w:color w:val="auto"/>
        </w:rPr>
        <w:t>.</w:t>
      </w:r>
    </w:p>
    <w:p>
      <w:pPr>
        <w:spacing w:after="0" w:line="256" w:lineRule="exact"/>
        <w:rPr>
          <w:sz w:val="20"/>
          <w:szCs w:val="20"/>
          <w:color w:val="auto"/>
        </w:rPr>
      </w:pPr>
    </w:p>
    <w:p>
      <w:pPr>
        <w:ind w:left="1960" w:hanging="655"/>
        <w:spacing w:after="0"/>
        <w:tabs>
          <w:tab w:leader="none" w:pos="1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52" w:lineRule="exact"/>
        <w:rPr>
          <w:sz w:val="20"/>
          <w:szCs w:val="20"/>
          <w:color w:val="auto"/>
        </w:rPr>
      </w:pPr>
    </w:p>
    <w:p>
      <w:pPr>
        <w:jc w:val="both"/>
        <w:ind w:left="660" w:firstLine="645"/>
        <w:spacing w:after="0" w:line="266" w:lineRule="auto"/>
        <w:tabs>
          <w:tab w:leader="none" w:pos="22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or similar requirement that is not otherwise included in the determination of LIBOR hereunder against assets of, deposits with or for the account of, or credit extended by, the Lender (except any such reserve requirement reflected in the calculation of LIBOR); or</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54" w:name="page155"/>
    <w:bookmarkEnd w:id="154"/>
    <w:p>
      <w:pPr>
        <w:ind w:left="660" w:right="20" w:firstLine="645"/>
        <w:spacing w:after="0" w:line="282" w:lineRule="auto"/>
        <w:tabs>
          <w:tab w:leader="none" w:pos="201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the Lender or the eurodollar interbank market any other condition affecting this Agreement or a Eurodollar Loan made or held by the Lender;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result of the foregoing is to increase the cost to the Lender of making, converting into, continuing or maintaining a Eurodollar Loan or to reduce the amount received or receivable by the Lender hereunder (whether of principal, interest or any other amount), then the Borrower shall promptly pay, upon written notice from and demand by the Lender to the Borrower, to the Lender, within fifteen (15) days after the date of such notice and demand, additional amount or amounts sufficient to compensate such Lender for the additional costs incurred or reduction suffered.</w:t>
      </w:r>
    </w:p>
    <w:p>
      <w:pPr>
        <w:spacing w:after="0" w:line="207" w:lineRule="exact"/>
        <w:rPr>
          <w:sz w:val="20"/>
          <w:szCs w:val="20"/>
          <w:color w:val="auto"/>
        </w:rPr>
      </w:pPr>
    </w:p>
    <w:p>
      <w:pPr>
        <w:jc w:val="both"/>
        <w:ind w:firstLine="1305"/>
        <w:spacing w:after="0" w:line="255" w:lineRule="auto"/>
        <w:tabs>
          <w:tab w:leader="none" w:pos="199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shall have determined that on or after the date of this Agreement (but subject to the proviso contained in the defined term “Change in Law”) any Change in Law regarding capital or liquidity requirements has or would have the effect of reducing the rate of return on the Lender’s capital (or on the capital of the Lender’s direct or indirect parent) as a consequence of its obligations hereunder to a level below that the Lender or the Lender’s direct or indirect parent could have achieved but for such Change in Law (taking into consideration the Lender’s policies or the policies of the Lender’s direct or indirect parent with respect to capital adequacy and liquidity) then, from time to time, within five Business Days after receipt by the Borrower of written demand by the Lender, the Borrower shall pay to the Lender such additional amounts as will compensate the Lender or the Lender’s direct or indirect parent for any such reduction suffered.</w:t>
      </w:r>
    </w:p>
    <w:p>
      <w:pPr>
        <w:spacing w:after="0" w:line="21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97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Lender setting forth the amount or amounts necessary to compensate the Lender or its direct or indirect parent, as the case may be, specified in paragraph (a) or (b) of this Section shall be delivered to the Borrower and shall be conclusive, absent manifest error. The Borrower shall pay the Lender such amount or amounts within fifteen (15) days after receipt thereof.</w:t>
      </w:r>
    </w:p>
    <w:p>
      <w:pPr>
        <w:spacing w:after="0" w:line="203" w:lineRule="exact"/>
        <w:rPr>
          <w:rFonts w:ascii="Times New Roman" w:cs="Times New Roman" w:eastAsia="Times New Roman" w:hAnsi="Times New Roman"/>
          <w:sz w:val="18"/>
          <w:szCs w:val="18"/>
          <w:color w:val="auto"/>
        </w:rPr>
      </w:pPr>
    </w:p>
    <w:p>
      <w:pPr>
        <w:jc w:val="both"/>
        <w:ind w:firstLine="1305"/>
        <w:spacing w:after="0" w:line="258" w:lineRule="auto"/>
        <w:tabs>
          <w:tab w:leader="none" w:pos="207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the Lender to demand compensation pursuant to this Section shall not constitute a waiver of the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the Lender pursuant to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for any increased costs or reductions incurred more than 180 days prior to the date that Lender notifies the Borrower of the Change in Law giving rise to such increased costs or reductions and or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207"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u w:val="single" w:color="auto"/>
          <w:color w:val="auto"/>
        </w:rPr>
        <w:t>Funding Indemnity</w:t>
      </w:r>
      <w:r>
        <w:rPr>
          <w:rFonts w:ascii="Times New Roman" w:cs="Times New Roman" w:eastAsia="Times New Roman" w:hAnsi="Times New Roman"/>
          <w:sz w:val="18"/>
          <w:szCs w:val="18"/>
          <w:color w:val="auto"/>
        </w:rPr>
        <w:t>. In the event of (a) the payment of any principal of a Eurodollar Loan other than on the last day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 Period applicable thereto (including as a result of an Event of Default), (b) the conversion (even though involuntary) of a Eurodollar Loan other than on the last day of the Interest Period applicable thereto, or (c) the failure by the Borrower to prepay or continue a Eurodollar Loan on the date specified in any applicable notice (regardless of whether such notice is withdrawn or revoked), then, in any such event, the Borrower shall compensate the Lender, within fifteen (15) days after written demand from the Lender, for any actual loss, cost or expense incurred by the Lender attributable to such event. Such loss, cost or expense shall be deemed to include an amount determined by the Lender to be the excess, if any, of (A) the amount of interest that would have accrued on the principal amount of such Eurodollar Loan if such event had not occurred at LIBOR applicable to such Eurodollar Loan for the period from the date of such event to the last day of the then current Interest Period therefor (or in the case of a failure to continue for the period that would have been the Interest Period for such Eurodollar Loan) over (B) the amount of interest that would accrue on the principal amount of such Eurodollar Loan for the same period if LIBOR were set on the date such Eurodollar Loan was prepaid or the date on which the Borrower failed to continue such Eurodollar Loan. A certificate as to any additional amount payable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submitted to the Borrower by the Lender shall be conclusive, absent manifest error.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55" w:name="page156"/>
    <w:bookmarkEnd w:id="155"/>
    <w:p>
      <w:pPr>
        <w:ind w:left="1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2.14.</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b w:val="1"/>
          <w:bCs w:val="1"/>
          <w:u w:val="single" w:color="auto"/>
          <w:color w:val="auto"/>
        </w:rPr>
        <w:t>.</w:t>
      </w:r>
    </w:p>
    <w:p>
      <w:pPr>
        <w:spacing w:after="0" w:line="256" w:lineRule="exact"/>
        <w:rPr>
          <w:sz w:val="20"/>
          <w:szCs w:val="20"/>
          <w:color w:val="auto"/>
        </w:rPr>
      </w:pPr>
    </w:p>
    <w:p>
      <w:pPr>
        <w:jc w:val="both"/>
        <w:ind w:left="-1200" w:firstLine="1305"/>
        <w:spacing w:after="0" w:line="256" w:lineRule="auto"/>
        <w:tabs>
          <w:tab w:leader="none" w:pos="80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 of the Borrower under this Agreement or the Term Note shall be made free and clear of and without deduction for any Indemnified Taxes or Other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Borrower shall be required to deduct any Indemnified Taxes or Other Taxes from such payments, then (i) the sum payable shall be increased as necessary so that after making all required deductions (including deductions applicable to additional sums payable under this Section) the Lender shall receive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214" w:lineRule="exact"/>
        <w:rPr>
          <w:rFonts w:ascii="Times New Roman" w:cs="Times New Roman" w:eastAsia="Times New Roman" w:hAnsi="Times New Roman"/>
          <w:sz w:val="18"/>
          <w:szCs w:val="18"/>
          <w:color w:val="auto"/>
        </w:rPr>
      </w:pPr>
    </w:p>
    <w:p>
      <w:pPr>
        <w:ind w:left="760" w:hanging="655"/>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Borrower shall pay any Other Taxes to the relevant Governmental Authority in accordance with applicable law.</w:t>
      </w:r>
    </w:p>
    <w:p>
      <w:pPr>
        <w:spacing w:after="0" w:line="252" w:lineRule="exact"/>
        <w:rPr>
          <w:rFonts w:ascii="Times New Roman" w:cs="Times New Roman" w:eastAsia="Times New Roman" w:hAnsi="Times New Roman"/>
          <w:sz w:val="18"/>
          <w:szCs w:val="18"/>
          <w:color w:val="auto"/>
        </w:rPr>
      </w:pPr>
    </w:p>
    <w:p>
      <w:pPr>
        <w:jc w:val="both"/>
        <w:ind w:left="-1200" w:firstLine="1305"/>
        <w:spacing w:after="0" w:line="255" w:lineRule="auto"/>
        <w:tabs>
          <w:tab w:leader="none" w:pos="90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indemnify the Lender, within ten Business Days after written demand therefor, for the full amount of any Indemnified Taxes or Other Taxes paid by the Lender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Lender shall make written demand for indemnification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no later than 180 days after the later of the date on which Lender makes payment to the relevant Governmental Authority or files a final tax return in respect thereof. A certificate as to the amount of such payment or liability, together with reasonable evidence of such payment, as applicable, delivered to the Borrower by the Lender shall be conclusive absent manifest error.</w:t>
      </w:r>
    </w:p>
    <w:p>
      <w:pPr>
        <w:spacing w:after="0" w:line="212" w:lineRule="exact"/>
        <w:rPr>
          <w:rFonts w:ascii="Times New Roman" w:cs="Times New Roman" w:eastAsia="Times New Roman" w:hAnsi="Times New Roman"/>
          <w:sz w:val="18"/>
          <w:szCs w:val="18"/>
          <w:color w:val="auto"/>
        </w:rPr>
      </w:pPr>
    </w:p>
    <w:p>
      <w:pPr>
        <w:jc w:val="both"/>
        <w:ind w:left="-1200" w:firstLine="1305"/>
        <w:spacing w:after="0" w:line="266" w:lineRule="auto"/>
        <w:tabs>
          <w:tab w:leader="none" w:pos="7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Indemnified Taxes or Other Taxes by the Borrower to a Governmental Authority, the Borrower shall deliver to the Lender the original or a certified copy of a receipt issued by such Governmental Authority evidencing such payment, a copy of the return reporting such payment or other evidence of such payment reasonably satisfactory to the Lender.</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420" w:hanging="101"/>
        <w:spacing w:after="0"/>
        <w:tabs>
          <w:tab w:leader="none" w:pos="44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14" w:right="239" w:bottom="1440" w:gutter="0" w:footer="0" w:header="0"/>
        </w:sectPr>
      </w:pPr>
    </w:p>
    <w:bookmarkStart w:id="156" w:name="page157"/>
    <w:bookmarkEnd w:id="156"/>
    <w:p>
      <w:pPr>
        <w:ind w:left="1300"/>
        <w:spacing w:after="0"/>
        <w:tabs>
          <w:tab w:leader="none" w:pos="2480" w:val="left"/>
        </w:tabs>
        <w:rPr>
          <w:sz w:val="20"/>
          <w:szCs w:val="20"/>
          <w:color w:val="auto"/>
        </w:rPr>
      </w:pPr>
      <w:r>
        <w:rPr>
          <w:rFonts w:ascii="Times New Roman" w:cs="Times New Roman" w:eastAsia="Times New Roman" w:hAnsi="Times New Roman"/>
          <w:sz w:val="18"/>
          <w:szCs w:val="18"/>
          <w:b w:val="1"/>
          <w:bCs w:val="1"/>
          <w:color w:val="auto"/>
        </w:rPr>
        <w:t>Section 2.15.</w:t>
      </w:r>
      <w:r>
        <w:rPr>
          <w:sz w:val="20"/>
          <w:szCs w:val="20"/>
          <w:color w:val="auto"/>
        </w:rPr>
        <w:tab/>
      </w:r>
      <w:r>
        <w:rPr>
          <w:rFonts w:ascii="Times New Roman" w:cs="Times New Roman" w:eastAsia="Times New Roman" w:hAnsi="Times New Roman"/>
          <w:sz w:val="17"/>
          <w:szCs w:val="17"/>
          <w:u w:val="single" w:color="auto"/>
          <w:color w:val="auto"/>
        </w:rPr>
        <w:t>Payments Generally</w:t>
      </w:r>
      <w:r>
        <w:rPr>
          <w:rFonts w:ascii="Times New Roman" w:cs="Times New Roman" w:eastAsia="Times New Roman" w:hAnsi="Times New Roman"/>
          <w:sz w:val="17"/>
          <w:szCs w:val="17"/>
          <w:b w:val="1"/>
          <w:bCs w:val="1"/>
          <w:u w:val="single" w:color="auto"/>
          <w:color w:val="auto"/>
        </w:rPr>
        <w:t>.</w:t>
      </w:r>
    </w:p>
    <w:p>
      <w:pPr>
        <w:spacing w:after="0" w:line="256" w:lineRule="exact"/>
        <w:rPr>
          <w:sz w:val="20"/>
          <w:szCs w:val="20"/>
          <w:color w:val="auto"/>
        </w:rPr>
      </w:pPr>
    </w:p>
    <w:p>
      <w:pPr>
        <w:jc w:val="both"/>
        <w:ind w:firstLine="1305"/>
        <w:spacing w:after="0" w:line="255" w:lineRule="auto"/>
        <w:tabs>
          <w:tab w:leader="none" w:pos="201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make each payment required to be made by it hereunder (whether of principal, interest or fees or of amounts payable under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otherwise) prior to 12:00 noon, on the date when due, in immediately available funds, without set-off or counterclaim. Any amounts received after such time on any date may, in the discretion of the Lender, be deemed to have been received on the next succeeding Business Day for purposes of calculating interest thereon. All such payments shall be made to the Lender at the Payment Office, including, for the avoidance of doubt, the payments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If any payment hereunder shall be due on a day that is not a Business Day, the date for payment shall be extended to the next succeeding Business Day, and, in the case of any payment accruing interest, interest thereon shall be made payable for the period of such extension. All payments hereunder shall be made in Dollars.</w:t>
      </w:r>
    </w:p>
    <w:p>
      <w:pPr>
        <w:spacing w:after="0" w:line="21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99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insufficient funds are received by and available to the Lender to pay fully all amounts of principal, interest and fees then due hereunder, such funds shall be applied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towards payment of interest and fees then due hereunder, and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towards payment of principal then due hereunder.</w:t>
      </w:r>
    </w:p>
    <w:p>
      <w:pPr>
        <w:spacing w:after="0" w:line="199" w:lineRule="exact"/>
        <w:rPr>
          <w:sz w:val="20"/>
          <w:szCs w:val="20"/>
          <w:color w:val="auto"/>
        </w:rPr>
      </w:pPr>
    </w:p>
    <w:p>
      <w:pPr>
        <w:ind w:left="2320"/>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ARTICLE III</w:t>
      </w:r>
      <w:r>
        <w:rPr>
          <w:sz w:val="20"/>
          <w:szCs w:val="20"/>
          <w:color w:val="auto"/>
        </w:rPr>
        <w:tab/>
      </w:r>
      <w:r>
        <w:rPr>
          <w:rFonts w:ascii="Times New Roman" w:cs="Times New Roman" w:eastAsia="Times New Roman" w:hAnsi="Times New Roman"/>
          <w:sz w:val="17"/>
          <w:szCs w:val="17"/>
          <w:b w:val="1"/>
          <w:bCs w:val="1"/>
          <w:u w:val="single" w:color="auto"/>
          <w:color w:val="auto"/>
        </w:rPr>
        <w:t>CONDITIONS PRECEDENT TO EFFECTIVENESS AND BORROWING</w:t>
      </w:r>
    </w:p>
    <w:p>
      <w:pPr>
        <w:spacing w:after="0" w:line="252"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u w:val="single" w:color="auto"/>
          <w:color w:val="auto"/>
        </w:rPr>
        <w:t>Conditions To Effectiveness and Initial Borrowing</w:t>
      </w:r>
      <w:r>
        <w:rPr>
          <w:rFonts w:ascii="Times New Roman" w:cs="Times New Roman" w:eastAsia="Times New Roman" w:hAnsi="Times New Roman"/>
          <w:sz w:val="18"/>
          <w:szCs w:val="18"/>
          <w:color w:val="auto"/>
        </w:rPr>
        <w:t>. The obligation of the Lender to fund the Revolving Loans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after the date hereof shall not become effective until the date on which each of the following conditions is satisfied (or waived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firstLine="1305"/>
        <w:spacing w:after="0" w:line="261" w:lineRule="auto"/>
        <w:tabs>
          <w:tab w:leader="none" w:pos="206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have received all fees and other amounts due and payable on or prior to the Closing Date, including, without limitation (i) reimbursement or payment of all out-of-pocket expenses (including reasonable fees, charges and disbursements of counsel to the Lender that are invoiced no later than 10:00 a.m. (Eastern) on the Closing Date) required to be reimbursed or paid by the Borrower hereunder, under any other Loan Document and (ii) all fees payable to the Lender in accordance with this Agreement or any other written agreement between the Borrower and the Lender;</w:t>
      </w:r>
    </w:p>
    <w:p>
      <w:pPr>
        <w:spacing w:after="0" w:line="20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(or its counsel) shall have received the following, each in form and substance reasonably satisfactory to the Lender:</w:t>
      </w:r>
    </w:p>
    <w:p>
      <w:pPr>
        <w:spacing w:after="0" w:line="252"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 of this Agreement signed by or on behalf of each party hereto;</w:t>
      </w:r>
    </w:p>
    <w:p>
      <w:pPr>
        <w:spacing w:after="0" w:line="252"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Revolving Credit Note payable to the Lender;</w:t>
      </w:r>
    </w:p>
    <w:p>
      <w:pPr>
        <w:spacing w:after="0" w:line="252" w:lineRule="exact"/>
        <w:rPr>
          <w:rFonts w:ascii="Times New Roman" w:cs="Times New Roman" w:eastAsia="Times New Roman" w:hAnsi="Times New Roman"/>
          <w:sz w:val="18"/>
          <w:szCs w:val="18"/>
          <w:color w:val="auto"/>
        </w:rPr>
      </w:pPr>
    </w:p>
    <w:p>
      <w:pPr>
        <w:jc w:val="both"/>
        <w:ind w:left="820" w:firstLine="1133"/>
        <w:spacing w:after="0" w:line="266" w:lineRule="auto"/>
        <w:tabs>
          <w:tab w:leader="none" w:pos="280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the Secretary or Assistant Secretary of the Borrower in the form of </w:t>
      </w:r>
      <w:r>
        <w:rPr>
          <w:rFonts w:ascii="Times New Roman" w:cs="Times New Roman" w:eastAsia="Times New Roman" w:hAnsi="Times New Roman"/>
          <w:sz w:val="18"/>
          <w:szCs w:val="18"/>
          <w:u w:val="single" w:color="auto"/>
          <w:color w:val="auto"/>
        </w:rPr>
        <w:t>Exhibit 3.1(b)(iii)</w:t>
      </w:r>
      <w:r>
        <w:rPr>
          <w:rFonts w:ascii="Times New Roman" w:cs="Times New Roman" w:eastAsia="Times New Roman" w:hAnsi="Times New Roman"/>
          <w:sz w:val="18"/>
          <w:szCs w:val="18"/>
          <w:color w:val="auto"/>
        </w:rPr>
        <w:t>, attaching and certifying copies of its bylaws and of the resolutions of its board of directors, authorizing the execution, delivery and performance of the Loan Documents and certifying the name, title and true signature of each officer of the Borrower executing the Loan Documents;</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57" w:name="page158"/>
    <w:bookmarkEnd w:id="157"/>
    <w:p>
      <w:pPr>
        <w:jc w:val="both"/>
        <w:ind w:left="-540" w:firstLine="1293"/>
        <w:spacing w:after="0" w:line="256" w:lineRule="auto"/>
        <w:tabs>
          <w:tab w:leader="none" w:pos="167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copies of the certificate of incorporation of the Borrower, together with certificates of good standing or existence, as may be available from the Secretary of State of the jurisdiction of incorporation of the Borrower and each other jurisdiction where the Borrower is required to be qualified to do business as a foreign corporation, and (b) certificates of good standing or existence with respect to each material Subsidiary of the Borrower (which shall include, in any event, each Financial Institution Subsidiary), as may be available from the Secretary of State of the jurisdiction of incorporation of each such Subsidiary and each other jurisdiction where such Subsidiary is required to be qualified to do business as a foreign corporation;</w:t>
      </w:r>
    </w:p>
    <w:p>
      <w:pPr>
        <w:spacing w:after="0" w:line="214" w:lineRule="exact"/>
        <w:rPr>
          <w:rFonts w:ascii="Times New Roman" w:cs="Times New Roman" w:eastAsia="Times New Roman" w:hAnsi="Times New Roman"/>
          <w:sz w:val="18"/>
          <w:szCs w:val="18"/>
          <w:color w:val="auto"/>
        </w:rPr>
      </w:pPr>
    </w:p>
    <w:p>
      <w:pPr>
        <w:ind w:left="-540" w:firstLine="1293"/>
        <w:spacing w:after="0" w:line="282" w:lineRule="auto"/>
        <w:tabs>
          <w:tab w:leader="none" w:pos="159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written opinion of Troutman Sanders LLP, counsel to the Borrower, addressed to the Lender, and covering such matters relating to the Borrower, the Loan Documents and the transactions contemplated therein as the Lender shall reasonably request;</w:t>
      </w:r>
    </w:p>
    <w:p>
      <w:pPr>
        <w:spacing w:after="0" w:line="188" w:lineRule="exact"/>
        <w:rPr>
          <w:rFonts w:ascii="Times New Roman" w:cs="Times New Roman" w:eastAsia="Times New Roman" w:hAnsi="Times New Roman"/>
          <w:sz w:val="18"/>
          <w:szCs w:val="18"/>
          <w:color w:val="auto"/>
        </w:rPr>
      </w:pPr>
    </w:p>
    <w:p>
      <w:pPr>
        <w:jc w:val="both"/>
        <w:ind w:left="-540" w:firstLine="1293"/>
        <w:spacing w:after="0" w:line="256" w:lineRule="auto"/>
        <w:tabs>
          <w:tab w:leader="none" w:pos="167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in the form of </w:t>
      </w:r>
      <w:r>
        <w:rPr>
          <w:rFonts w:ascii="Times New Roman" w:cs="Times New Roman" w:eastAsia="Times New Roman" w:hAnsi="Times New Roman"/>
          <w:sz w:val="18"/>
          <w:szCs w:val="18"/>
          <w:u w:val="single" w:color="auto"/>
          <w:color w:val="auto"/>
        </w:rPr>
        <w:t>Exhibit 3.1(b)(vi)</w:t>
      </w:r>
      <w:r>
        <w:rPr>
          <w:rFonts w:ascii="Times New Roman" w:cs="Times New Roman" w:eastAsia="Times New Roman" w:hAnsi="Times New Roman"/>
          <w:sz w:val="18"/>
          <w:szCs w:val="18"/>
          <w:color w:val="auto"/>
        </w:rPr>
        <w:t xml:space="preserve">, dated the Closing Date and signed by a Responsible Officer, certifying that (w) no Default or Event of Default exists, (x) all representations and warranties of the Borrower set forth in the Loan Documents are true and correct on and as of the Closing Date, (y) since September 30, 2013, there shall have been no change, event or other circumstance which has had or could reasonably be expected to have a Material Adverse Effect and (z) no consents, approvals, authorizations, registrations, filings or orders of the type described in </w:t>
      </w:r>
      <w:r>
        <w:rPr>
          <w:rFonts w:ascii="Times New Roman" w:cs="Times New Roman" w:eastAsia="Times New Roman" w:hAnsi="Times New Roman"/>
          <w:sz w:val="18"/>
          <w:szCs w:val="18"/>
          <w:u w:val="single" w:color="auto"/>
          <w:color w:val="auto"/>
        </w:rPr>
        <w:t>Section 3.1(b)(vii)</w:t>
      </w:r>
      <w:r>
        <w:rPr>
          <w:rFonts w:ascii="Times New Roman" w:cs="Times New Roman" w:eastAsia="Times New Roman" w:hAnsi="Times New Roman"/>
          <w:sz w:val="18"/>
          <w:szCs w:val="18"/>
          <w:color w:val="auto"/>
        </w:rPr>
        <w:t xml:space="preserve"> below are required to be made or obtained in connection with the execution, delivery, performance, validity and enforceability of the Loan Documents or any transaction contemplated thereby, other than those that have been obtained;</w:t>
      </w:r>
    </w:p>
    <w:p>
      <w:pPr>
        <w:spacing w:after="0" w:line="214" w:lineRule="exact"/>
        <w:rPr>
          <w:rFonts w:ascii="Times New Roman" w:cs="Times New Roman" w:eastAsia="Times New Roman" w:hAnsi="Times New Roman"/>
          <w:sz w:val="18"/>
          <w:szCs w:val="18"/>
          <w:color w:val="auto"/>
        </w:rPr>
      </w:pPr>
    </w:p>
    <w:p>
      <w:pPr>
        <w:jc w:val="both"/>
        <w:ind w:left="-540" w:firstLine="1293"/>
        <w:spacing w:after="0" w:line="256" w:lineRule="auto"/>
        <w:tabs>
          <w:tab w:leader="none" w:pos="161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all consents, approvals, authorizations, registrations and filings and orders required to be made or obtained under any applicable laws, or by any Contractual Obligation of the Borrower, in connection with the execution, delivery, performance, validity and enforceability of the Loan Documents or any of the transactions contemplated hereby or thereby, and such consents, approvals, authorizations, registrations, filings and orders shall be in full force and effect and all applicable waiting periods shall have expired, and no investigation or inquiry by any Governmental Authority regarding the Revolving Loans or any transactions being financed with the proceeds thereof shall be ongoing;</w:t>
      </w:r>
    </w:p>
    <w:p>
      <w:pPr>
        <w:spacing w:after="0" w:line="214" w:lineRule="exact"/>
        <w:rPr>
          <w:rFonts w:ascii="Times New Roman" w:cs="Times New Roman" w:eastAsia="Times New Roman" w:hAnsi="Times New Roman"/>
          <w:sz w:val="18"/>
          <w:szCs w:val="18"/>
          <w:color w:val="auto"/>
        </w:rPr>
      </w:pPr>
    </w:p>
    <w:p>
      <w:pPr>
        <w:ind w:left="1560" w:hanging="807"/>
        <w:spacing w:after="0"/>
        <w:tabs>
          <w:tab w:leader="none" w:pos="15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52" w:lineRule="exact"/>
        <w:rPr>
          <w:rFonts w:ascii="Times New Roman" w:cs="Times New Roman" w:eastAsia="Times New Roman" w:hAnsi="Times New Roman"/>
          <w:sz w:val="18"/>
          <w:szCs w:val="18"/>
          <w:color w:val="auto"/>
        </w:rPr>
      </w:pPr>
    </w:p>
    <w:p>
      <w:pPr>
        <w:ind w:left="-540" w:firstLine="1293"/>
        <w:spacing w:after="0" w:line="282" w:lineRule="auto"/>
        <w:tabs>
          <w:tab w:leader="none" w:pos="151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results of a recent UCC, tax, judgment and lien searches in respect of the Borrower, and such searches shall reveal no Liens of record other than Liens expressly permitted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540" w:firstLine="1293"/>
        <w:spacing w:after="0" w:line="282" w:lineRule="auto"/>
        <w:tabs>
          <w:tab w:leader="none" w:pos="172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Notice of Redemption relating to the Fixed Rate Perpetual Preferred Stock being redeemed with the proceeds of the Revolving Loans on the date hereof, if any;</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420" w:hanging="101"/>
        <w:spacing w:after="0"/>
        <w:tabs>
          <w:tab w:leader="none" w:pos="44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18" w:right="239" w:bottom="1440" w:gutter="0" w:footer="0" w:header="0"/>
        </w:sectPr>
      </w:pPr>
    </w:p>
    <w:bookmarkStart w:id="158" w:name="page159"/>
    <w:bookmarkEnd w:id="158"/>
    <w:p>
      <w:pPr>
        <w:ind w:left="2700" w:hanging="747"/>
        <w:spacing w:after="0"/>
        <w:tabs>
          <w:tab w:leader="none" w:pos="27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duly executed Notice of Borrowing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50" w:lineRule="exact"/>
        <w:rPr>
          <w:rFonts w:ascii="Times New Roman" w:cs="Times New Roman" w:eastAsia="Times New Roman" w:hAnsi="Times New Roman"/>
          <w:sz w:val="18"/>
          <w:szCs w:val="18"/>
          <w:color w:val="auto"/>
        </w:rPr>
      </w:pPr>
    </w:p>
    <w:p>
      <w:pPr>
        <w:ind w:left="660" w:firstLine="1293"/>
        <w:spacing w:after="0" w:line="284" w:lineRule="auto"/>
        <w:tabs>
          <w:tab w:leader="none" w:pos="276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duly completed and executed Compliance Certificate calculated as of September 30, 2013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funding of, and the use of the proceeds of, the Revolving Loans to be funded on the Closing Date);</w:t>
      </w:r>
    </w:p>
    <w:p>
      <w:pPr>
        <w:spacing w:after="0" w:line="187" w:lineRule="exact"/>
        <w:rPr>
          <w:rFonts w:ascii="Times New Roman" w:cs="Times New Roman" w:eastAsia="Times New Roman" w:hAnsi="Times New Roman"/>
          <w:sz w:val="18"/>
          <w:szCs w:val="18"/>
          <w:color w:val="auto"/>
        </w:rPr>
      </w:pPr>
    </w:p>
    <w:p>
      <w:pPr>
        <w:ind w:left="660" w:firstLine="1293"/>
        <w:spacing w:after="0" w:line="282" w:lineRule="auto"/>
        <w:tabs>
          <w:tab w:leader="none" w:pos="28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from the Borrower’s insurance broker or other evidence satisfactory to it that all insurance required to be maintained pursuant to clauses (b) and (c) of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is in full force and effect;</w:t>
      </w:r>
    </w:p>
    <w:p>
      <w:pPr>
        <w:spacing w:after="0" w:line="188" w:lineRule="exact"/>
        <w:rPr>
          <w:rFonts w:ascii="Times New Roman" w:cs="Times New Roman" w:eastAsia="Times New Roman" w:hAnsi="Times New Roman"/>
          <w:sz w:val="18"/>
          <w:szCs w:val="18"/>
          <w:color w:val="auto"/>
        </w:rPr>
      </w:pPr>
    </w:p>
    <w:p>
      <w:pPr>
        <w:ind w:left="2780" w:hanging="827"/>
        <w:spacing w:after="0"/>
        <w:tabs>
          <w:tab w:leader="none" w:pos="27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the filing of a Uniform Commercial Code Form UCC-1 negative pledge filing against the Borrower in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Georgia; and</w:t>
      </w:r>
    </w:p>
    <w:p>
      <w:pPr>
        <w:spacing w:after="0" w:line="233" w:lineRule="exact"/>
        <w:rPr>
          <w:rFonts w:ascii="Times New Roman" w:cs="Times New Roman" w:eastAsia="Times New Roman" w:hAnsi="Times New Roman"/>
          <w:sz w:val="18"/>
          <w:szCs w:val="18"/>
          <w:color w:val="auto"/>
        </w:rPr>
      </w:pPr>
    </w:p>
    <w:p>
      <w:pPr>
        <w:ind w:left="2700" w:hanging="747"/>
        <w:spacing w:after="0"/>
        <w:tabs>
          <w:tab w:leader="none" w:pos="27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agreements and instruments as the Lender may reasonably request.</w:t>
      </w:r>
    </w:p>
    <w:p>
      <w:pPr>
        <w:spacing w:after="0" w:line="248" w:lineRule="exact"/>
        <w:rPr>
          <w:sz w:val="20"/>
          <w:szCs w:val="20"/>
          <w:color w:val="auto"/>
        </w:rPr>
      </w:pPr>
    </w:p>
    <w:p>
      <w:pPr>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Each Revolving Loan</w:t>
      </w:r>
      <w:r>
        <w:rPr>
          <w:rFonts w:ascii="Times New Roman" w:cs="Times New Roman" w:eastAsia="Times New Roman" w:hAnsi="Times New Roman"/>
          <w:sz w:val="18"/>
          <w:szCs w:val="18"/>
          <w:color w:val="auto"/>
        </w:rPr>
        <w:t>. The obligation of each Lender to make each Revolving Loan under this Agreement is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of the following conditions:</w:t>
      </w:r>
    </w:p>
    <w:p>
      <w:pPr>
        <w:spacing w:after="0" w:line="186" w:lineRule="exact"/>
        <w:rPr>
          <w:sz w:val="20"/>
          <w:szCs w:val="20"/>
          <w:color w:val="auto"/>
        </w:rPr>
      </w:pPr>
    </w:p>
    <w:p>
      <w:pPr>
        <w:ind w:left="700" w:hanging="692"/>
        <w:spacing w:after="0"/>
        <w:tabs>
          <w:tab w:leader="none" w:pos="7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Revolving Loan, no Default or Event of Default shall exist;</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78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Borrower herein shall be true and correct in all material respects on and as of the date of such Revolving Loan both before and after giving effect thereto (except for representations and warranties expressly made as of a specified date, which such representations and warranties shall be true and correct in all material respects as of such date);</w:t>
      </w:r>
    </w:p>
    <w:p>
      <w:pPr>
        <w:spacing w:after="0" w:line="203"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30, 2013, there shall have been no change which has had or could reasonably be expected to have a Material Adverse Effect;</w:t>
      </w:r>
    </w:p>
    <w:p>
      <w:pPr>
        <w:spacing w:after="0" w:line="252" w:lineRule="exact"/>
        <w:rPr>
          <w:rFonts w:ascii="Times New Roman" w:cs="Times New Roman" w:eastAsia="Times New Roman" w:hAnsi="Times New Roman"/>
          <w:sz w:val="18"/>
          <w:szCs w:val="18"/>
          <w:color w:val="auto"/>
        </w:rPr>
      </w:pPr>
    </w:p>
    <w:p>
      <w:pPr>
        <w:jc w:val="both"/>
        <w:ind w:firstLine="8"/>
        <w:spacing w:after="0" w:line="258" w:lineRule="auto"/>
        <w:tabs>
          <w:tab w:leader="none" w:pos="76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legislation has been passed or any suit or other proceeding has been instituted the effect of which is to prohibit, enjoin (or to declare unlawful or improper) or otherwise adversely affect, in the Lender’s reasonable judgment, the Borrower’s performance of its obligations hereunder, and no litigation or governmental proceeding has been instituted or threatened against the Borrower or any Financial Institution Subsidiary or any of their officers which, in the reasonable discretion of the Lender, may materially and adversely affect the financial condition or operations of the Borrower or such Financial Institution Subsidiary;</w:t>
      </w:r>
    </w:p>
    <w:p>
      <w:pPr>
        <w:spacing w:after="0" w:line="210"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 shall have received a duly executed Notice of Borrowing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w:t>
      </w:r>
    </w:p>
    <w:p>
      <w:pPr>
        <w:spacing w:after="0" w:line="252" w:lineRule="exact"/>
        <w:rPr>
          <w:rFonts w:ascii="Times New Roman" w:cs="Times New Roman" w:eastAsia="Times New Roman" w:hAnsi="Times New Roman"/>
          <w:sz w:val="18"/>
          <w:szCs w:val="18"/>
          <w:color w:val="auto"/>
        </w:rPr>
      </w:pPr>
    </w:p>
    <w:p>
      <w:pPr>
        <w:ind w:right="20" w:firstLine="8"/>
        <w:spacing w:after="0" w:line="282" w:lineRule="auto"/>
        <w:tabs>
          <w:tab w:leader="none" w:pos="92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have received such other documents, certificates, information or legal opinions as it may reasonably request, all in form and substance reasonably satisfactory to the Lender.</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59" w:name="page160"/>
    <w:bookmarkEnd w:id="159"/>
    <w:p>
      <w:pPr>
        <w:jc w:val="both"/>
        <w:ind w:firstLine="45"/>
        <w:spacing w:after="0" w:line="282" w:lineRule="auto"/>
        <w:rPr>
          <w:sz w:val="20"/>
          <w:szCs w:val="20"/>
          <w:color w:val="auto"/>
        </w:rPr>
      </w:pPr>
      <w:r>
        <w:rPr>
          <w:rFonts w:ascii="Times New Roman" w:cs="Times New Roman" w:eastAsia="Times New Roman" w:hAnsi="Times New Roman"/>
          <w:sz w:val="18"/>
          <w:szCs w:val="18"/>
          <w:color w:val="auto"/>
        </w:rPr>
        <w:t xml:space="preserve">Each Borrowing shall be deemed to constitute a representation and warranty by the Borrower on the date thereof as to the matters specified in paragraphs (a), (b), (c) and (d)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left="34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ARTICLE IV</w:t>
      </w:r>
      <w:r>
        <w:rPr>
          <w:sz w:val="20"/>
          <w:szCs w:val="20"/>
          <w:color w:val="auto"/>
        </w:rPr>
        <w:tab/>
      </w:r>
      <w:r>
        <w:rPr>
          <w:rFonts w:ascii="Times New Roman" w:cs="Times New Roman" w:eastAsia="Times New Roman" w:hAnsi="Times New Roman"/>
          <w:sz w:val="17"/>
          <w:szCs w:val="17"/>
          <w:b w:val="1"/>
          <w:bCs w:val="1"/>
          <w:u w:val="single" w:color="auto"/>
          <w:color w:val="auto"/>
        </w:rPr>
        <w:t>REPRESENTATIONS AND WARRANTIES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Borrower represents and warrants to Lender as follows, as of the Closing Date, and as of the delivery of each Notice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Conversion/Continuation delivered or deemed delivered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w:t>
      </w:r>
    </w:p>
    <w:p>
      <w:pPr>
        <w:spacing w:after="0" w:line="230"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u w:val="single" w:color="auto"/>
          <w:color w:val="auto"/>
        </w:rPr>
        <w:t>Existence; Power</w:t>
      </w:r>
      <w:r>
        <w:rPr>
          <w:rFonts w:ascii="Times New Roman" w:cs="Times New Roman" w:eastAsia="Times New Roman" w:hAnsi="Times New Roman"/>
          <w:sz w:val="18"/>
          <w:szCs w:val="18"/>
          <w:color w:val="auto"/>
        </w:rPr>
        <w:t>. Each of the Borrower and its Subsidiaries (i) is duly organized and validly existing as a corporation,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entity, as the case may be, under the laws of the jurisdiction of its organization, (ii) has all requisite power and authority to carry on its business as now conducted, and (iii) is in good standing in its jurisdiction of organization and is duly qualified to do business, in each jurisdiction where such qualification is required, except where a failure to be so qualified could not reasonably be expected to result in a Material Adverse Effect. The Borrower is duly registered as a bank holding company under the Bank Holding Company Act of 1956, as amended. The Financial Institution Subsidiaries are the only “significant subsidiar(ies)” of the Borrower (as such term is defined in Rule 1-02 of Regulation S-X) and have been duly organized and are validly existing and in good standing under the laws of the jurisdiction of their respective incorporation or other organization, have the requisite corporate power and authority to own, lease and operate their respective properties, and to conduct their respective businesses. The deposit accounts of each Financial Institution Subsidiary are insured up to the applicable limits by the Deposit Insurance Fund of the FDIC to the fullest extent permitted by law and the rules and regulations of the FDIC, and no proceeding for the revocation or termination of such insurance is pending or, to the knowledge of the Borrower, threatened in writing.</w:t>
      </w:r>
    </w:p>
    <w:p>
      <w:pPr>
        <w:spacing w:after="0" w:line="200" w:lineRule="exact"/>
        <w:rPr>
          <w:sz w:val="20"/>
          <w:szCs w:val="20"/>
          <w:color w:val="auto"/>
        </w:rPr>
      </w:pPr>
    </w:p>
    <w:p>
      <w:pPr>
        <w:spacing w:after="0" w:line="229"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u w:val="single" w:color="auto"/>
          <w:color w:val="auto"/>
        </w:rPr>
        <w:t>Organizational Power; Authorization</w:t>
      </w:r>
      <w:r>
        <w:rPr>
          <w:rFonts w:ascii="Times New Roman" w:cs="Times New Roman" w:eastAsia="Times New Roman" w:hAnsi="Times New Roman"/>
          <w:sz w:val="18"/>
          <w:szCs w:val="18"/>
          <w:color w:val="auto"/>
        </w:rPr>
        <w:t>. The Borrowing, and the execution, delivery and performance by the Borrower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Loan Documents are within the Borrower’s corporate powers and have been duly authorized by all necessary corporate, and if required, stockholder, action. This Agreement has been duly executed and delivered by the Borrower and constitutes, and each other Loan Document when executed and delivered by the Borrower will constitute, valid and binding obligations of the Borrower, enforceable against it in accordance with their respective terms, except as may be limited by applicable bankruptcy, insolvency, reorganization, moratorium, or similar laws affecting the enforcement of creditors’ rights generally and by general principles of equity.</w:t>
      </w:r>
    </w:p>
    <w:p>
      <w:pPr>
        <w:spacing w:after="0" w:line="210"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The execution, delivery and performance by the Borrower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Loan Documents (a) do not require any consent or approval of, registration or filing with, or any action by, any Governmental Authority, except those as have been obtained or made and are in full force and effect, (b) will not violate any applicable law or regulation or the articles of incorporation or by-laws of the Borrower or any order of any Governmental Authority binding upon Borrower, (c) will not violate or result in a default under any indenture, material agreement or other material instrument binding on the Borrower or any of its Subsidiaries or any of their respective assets or give rise to a right thereunder to require any payment to be made by the Borrower or any such Subsidiary and (d) will not result in the creation or imposition of any Lien on any asset of the Borrower or any Subsidiary. All necessary regulatory approvals have been obtained for the Borrower and its Subsidiaries to conduct their respective businesses.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60" w:name="page161"/>
    <w:bookmarkEnd w:id="160"/>
    <w:p>
      <w:pPr>
        <w:jc w:val="both"/>
        <w:ind w:firstLine="12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Borrower has furnished to the Lender (i) the audited consolidated balance sheet of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Subsidiaries as of December 31, 2012 and the related consolidated statements of income, shareholders’ equity and cash flows for the fiscal year then ended reported on by PricewaterhouseCoopers LLP and (ii) the unaudited consolidated balance sheet of the Borrower and its Subsidiaries as of September 30, 2013, and the related unaudited consolidated statements of income and cash flows for the Fiscal Quarter and year-to-date period then ending, certified by a Responsible Officer. Such financial statements fairly present, in all material respects, the consolidated financial position of the Borrower and its Subsidiaries as of such date and the consolidated results of operations and cash flows for such period in conformity with GAAP consistently applied, subject, with respect to the unaudited financial statements, normal year-end adjustments and the absence of footnotes. Since September 30, 2013, there have been no changes with respect to the Borrower and its Subsidiaries which have had or could reasonably be expected to have, singly or in the aggregate, a Material Adverse Effect. In addition, the Borrower has provided to the Lender copies of the Call Reports filed by its Financial Institution Subsidiaries for the period ending September 30, 2013, and copies of the FRY-9LP Report and the FRY-9C Report filed by the Borrower for the period ending September 30, 2013. Each of such reports filed by the Borrower or the Financial Institution Subsidiaries with any Governmental Authority is true and correct and is in accordance with the respective books of account and records of the Borrower and the Financial Institution Subsidiaries, and has been prepared in accordance with applicable banking regulations, rules and guidelines on a basis consistent with prior periods, and fairly and accurately presents, in all material respects, the financial condition of the Borrower and the Financial Institution Subsidiaries and their respective assets and liabilities and the results of their respective operations as of such date.</w:t>
      </w:r>
    </w:p>
    <w:p>
      <w:pPr>
        <w:spacing w:after="0" w:line="214"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u w:val="single" w:color="auto"/>
          <w:color w:val="auto"/>
        </w:rPr>
        <w:t>Litigation Matters and Enforcement Actions</w:t>
      </w:r>
      <w:r>
        <w:rPr>
          <w:rFonts w:ascii="Times New Roman" w:cs="Times New Roman" w:eastAsia="Times New Roman" w:hAnsi="Times New Roman"/>
          <w:sz w:val="18"/>
          <w:szCs w:val="18"/>
          <w:color w:val="auto"/>
        </w:rPr>
        <w:t>. No litigation, investigation or proceeding of or before any arbitrators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Authorities is pending against, or, to the knowledge of the Borrower, threatened in writing against the Borrower or any of its Subsidiaries (i) as to which there is a reasonable possibility of an adverse determination that could reasonably be expected to have, either individually or in the aggregate, a Material Adverse Effect or (ii) which in any manner draws into question the validity or enforceability of this Agreement or any other Loan Document. None of the Borrower, or any of the Financial Institution Subsidiaries, or any of their respective officers or directors, is now operating under any currently effective written restrictions agreed to by the Borrower or any of the Financial Institution Subsidiaries, or agreements, memoranda, or written commitments by the Borrower or any of the Financial Institution Subsidiaries (other than restrictions of general application) imposed or required by any Governmental Authority nor are any such restrictions threatened or agreements, memoranda or commitments being sought by any Governmental Authority.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61" w:name="page162"/>
    <w:bookmarkEnd w:id="161"/>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The Borrower and each Subsidiary is in compliance with all applicable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all Environmental Laws and all federal and state banking statutes) and all rules, regulations (including without limitation all applicable federal and state banking regulations) and orders of any Governmental Authority, except where failure to do so could not reasonably be expected to result in a Material Adverse Effect. Neither the Borrower nor any of the Financial Institution Subsidiaries is in material default in the performance, observance or fulfillment of any of the terms, obligations, covenants, conditions or provisions contained in any indenture or other agreement creating, evidencing or securing indebtedness of any kind or pursuant to which any such indebtedness is issued, or other agreement or instrument to which the Borrower or any Financial Institution Subsidiary is a party or by which the Borrower or any such Financial Institution Subsidiary or any of their respective properties may be bound or affected.</w:t>
      </w:r>
    </w:p>
    <w:p>
      <w:pPr>
        <w:spacing w:after="0" w:line="21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the Borrower nor any of its Subsidiaries is an “investment company”, as defined 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regulation under, the Investment Company Act of 1940, as amended.</w:t>
      </w:r>
    </w:p>
    <w:p>
      <w:pPr>
        <w:spacing w:after="0" w:line="182"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Borrower and its Subsidiaries have timely filed or caused to be filed all Federal income tax returns and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tax returns that are required to be filed by them, and have paid all taxes shown to be due and payable on such returns or on any assessments made against it or its property and all other taxes, fees or other charges imposed on it or any of its property by any Governmental Authority, except (i) to the extent the failure to do so would not have a Material Adverse Effect or (ii) where the same are currently being contested in good faith by appropriate proceedings and for which the Borrower or such Subsidiary, as the case may be, has set aside on its books adequate reserves.</w:t>
      </w:r>
    </w:p>
    <w:p>
      <w:pPr>
        <w:spacing w:after="0" w:line="207"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None of the proceeds of the Revolving Loans will be used for “purchasing” or “carrying” any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with the respective meanings of each of such terms under Regulation U as now and from time to time hereafter in effect or for any purpose that violates the provisions of Regulation U.</w:t>
      </w:r>
    </w:p>
    <w:p>
      <w:pPr>
        <w:spacing w:after="0" w:line="19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 No ERISA Event has occurred or is reasonably expected to occur that, when taken together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such ERISA Events for which liability is reasonably expected to occur, could reasonably be expected to result in a Material Adverse Effect. The “benefit obligations” of all Plans did not, as of the most recent valuation date, exceed the “fair market value of the assets” of such Plans by more than $1,000,000. No event has occurred since the most recent valuation date that would cause the “benefit obligations” of all Plans to exceed the “fair market value of the assets” of such Plans by the dollar amount specified in the previous sentence. The terms “benefit obligations” and “fair market value of assets” shall be determined by and with such terms defined in accordance with Statement of Financial Accounting Standards No. 158.</w:t>
      </w:r>
    </w:p>
    <w:p>
      <w:pPr>
        <w:spacing w:after="0" w:line="214" w:lineRule="exact"/>
        <w:rPr>
          <w:sz w:val="20"/>
          <w:szCs w:val="20"/>
          <w:color w:val="auto"/>
        </w:rPr>
      </w:pPr>
    </w:p>
    <w:p>
      <w:pPr>
        <w:jc w:val="both"/>
        <w:ind w:left="180" w:firstLine="1287"/>
        <w:spacing w:after="0" w:line="256" w:lineRule="auto"/>
        <w:tabs>
          <w:tab w:leader="none" w:pos="218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is in compliance with the applicable provisions ERISA, the Code and other applicable law except for instances of non-compliance that could not reasonably be expected to result in material liability to Borrower. Except with respect to Multiemployer Plans, each Qualified Plan has received a favorable determination from the IRS applicable to the Qualified Plan’s current remedial amendment cycle or is maintained under a prototype or volume submitter plan and may rely upon a favorable opinion or letter issued by the IRS with respect to such prototype or volume submitter plan. To the best of the Borrower’s knowledge, no event has occurred which would cause the loss of the Borrower’s or any Subsidiary of the Borrower’s reliance on the Qualified Plan’s favorable determination letter or opinion or advisory letter.</w:t>
      </w: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62" w:name="page163"/>
    <w:bookmarkEnd w:id="162"/>
    <w:p>
      <w:pPr>
        <w:ind w:left="180" w:firstLine="1287"/>
        <w:spacing w:after="0" w:line="282" w:lineRule="auto"/>
        <w:tabs>
          <w:tab w:leader="none" w:pos="219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Employee Benefit Plan that is a retiree welfare benefit arrangement, all amounts have been accrued on the Borrower’s financial statements in accordance with, and to the extent required by, Statement of Financial Accounting Standards No. 106.</w:t>
      </w:r>
    </w:p>
    <w:p>
      <w:pPr>
        <w:spacing w:after="0" w:line="188" w:lineRule="exact"/>
        <w:rPr>
          <w:rFonts w:ascii="Times New Roman" w:cs="Times New Roman" w:eastAsia="Times New Roman" w:hAnsi="Times New Roman"/>
          <w:sz w:val="18"/>
          <w:szCs w:val="18"/>
          <w:color w:val="auto"/>
        </w:rPr>
      </w:pPr>
    </w:p>
    <w:p>
      <w:pPr>
        <w:jc w:val="both"/>
        <w:ind w:firstLine="1467"/>
        <w:spacing w:after="0" w:line="256" w:lineRule="auto"/>
        <w:tabs>
          <w:tab w:leader="none" w:pos="2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have a Material Adverse Effect: (i) there are no pending or to the best of the Borrower’s knowledge, threatened claims, actions or lawsuits or action by any Governmental Authority, participant or beneficiary with respect to an Employee Benefit Plan other than claims for benefits in the ordinary course; (ii) to the best of the Borrower’s knowledge, there are no violations of the fiduciary responsibility rules with respect to any Employee Benefit Plan; and (iii) neither the Borrower nor any Subsidiary of the Borrower has engaged in a non-exempt “prohibited transaction,” as defined in Section 406 of ERISA and Section 4975 of the Code, in connection with any Employee Benefit Plan, that would subject the Borrower to a tax on prohibited transactions imposed by Section 502(i) of ERISA or Section 4975 of the Code.</w:t>
      </w:r>
    </w:p>
    <w:p>
      <w:pPr>
        <w:spacing w:after="0" w:line="211"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Borrower has disclosed to the Lender all agreements, instruments, and corporate or other restrictions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Borrower or any of its Subsidiaries is subject, and all other matters known to any of them, that, individually or in the aggregate, could reasonably be expected to result in a Material Adverse Effect. None of the reports (including without limitation all reports that the Borrower is required to file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financial statements, certificates or other information furnished by or on behalf of the Borrower to the Lender in connection with this Agreement or any other Loan Document or delivered hereunder or thereunder (as modified or supplemented by any other information so furnished) contains any material misstatement of fact or omits to state any material fact necessary to make the statements therein, taken as a whole, in light of the circumstances under which they were made, not misleading.</w:t>
      </w:r>
    </w:p>
    <w:p>
      <w:pPr>
        <w:spacing w:after="0" w:line="210"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the name of, the ownership interest of the Borrower in, and the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incorporation of Financial Institution Subsidiary and each other Subsidiary, in each case as of the Closing Date. All of the Capital Stock of each of the Borrower’s Subsidiaries has been duly authorized and validly issued, and is fully paid and non-assessable. Except as set forth on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xml:space="preserve">, the Borrower owns all of the issued and outstanding Capital Stock of each of its Subsidiaries free and clear of any Lien, other than Liens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u w:val="single" w:color="auto"/>
          <w:color w:val="auto"/>
        </w:rPr>
        <w:t>Dividend Restrictions; Other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Except as applicable generally to Georgia chartered banks, no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 Subsidiary of the Borrower is currently prohibited, directly or indirectly, under any order of any Governmental Authority (other than orders applicable to bank or savings and loan holding companies and their subsidiaries generally), under any applicable law, or under any agreement or other instrument to which it is a party or is subject, from paying any dividends to the Borrower, from making any other distribution on such subsidiary’s Capital Stock, from repaying to the Borrower or any other Subsidiary of the Borrower any loans or advances to such Subsidiary or from transferring any of such Subsidiary’s properties, assets or operations to the Borrower or any other Subsidiary of the Borrower.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63" w:name="page164"/>
    <w:bookmarkEnd w:id="163"/>
    <w:p>
      <w:pPr>
        <w:jc w:val="both"/>
        <w:ind w:left="180" w:firstLine="1287"/>
        <w:spacing w:after="0" w:line="266" w:lineRule="auto"/>
        <w:tabs>
          <w:tab w:leader="none" w:pos="226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is, to the best of the Borrower’s knowledge, under investigation by, or is operating under any restrictions (excluding any restrictions on the payment of dividends referenced in subsection (a) above) imposed by or agreed to with, any Governmental Authority, other than routine examinations by such Governmental Authorities.</w:t>
      </w:r>
    </w:p>
    <w:p>
      <w:pPr>
        <w:spacing w:after="0" w:line="203" w:lineRule="exact"/>
        <w:rPr>
          <w:rFonts w:ascii="Times New Roman" w:cs="Times New Roman" w:eastAsia="Times New Roman" w:hAnsi="Times New Roman"/>
          <w:sz w:val="18"/>
          <w:szCs w:val="18"/>
          <w:color w:val="auto"/>
        </w:rPr>
      </w:pPr>
    </w:p>
    <w:p>
      <w:pPr>
        <w:jc w:val="both"/>
        <w:ind w:left="180" w:firstLine="1287"/>
        <w:spacing w:after="0" w:line="258" w:lineRule="auto"/>
        <w:tabs>
          <w:tab w:leader="none" w:pos="227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as an exhibit to the Borrower’s Form 10-K for its fiscal year ended December 31, 2012, or its Quarterly Reports on Form 10-Q for its fiscal quarter ended September 30, 2013, or reports on Form 8-K filed during 2013, or in each case described therein, neither the Borrower nor any of the Financial Institution Subsidiaries is a party, nor is bound by, any material contract or agreement or instrument, or subject to any charter or other corporate restriction, that is of a type that the Borrower is required to file as an exhibit to its Form 10-K annual reports or otherwise describe therein.</w:t>
      </w:r>
    </w:p>
    <w:p>
      <w:pPr>
        <w:spacing w:after="0" w:line="207"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u w:val="single" w:color="auto"/>
          <w:color w:val="auto"/>
        </w:rPr>
        <w:t>Capital Measures</w:t>
      </w:r>
      <w:r>
        <w:rPr>
          <w:rFonts w:ascii="Times New Roman" w:cs="Times New Roman" w:eastAsia="Times New Roman" w:hAnsi="Times New Roman"/>
          <w:sz w:val="18"/>
          <w:szCs w:val="18"/>
          <w:color w:val="auto"/>
        </w:rPr>
        <w:t>. Each of Borrower and its Financial Institution Subsidiaries is “well-capitalized” (as such term is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12 C.F.R. 225.2(r) or the relevant regulation of the Borrower’s or each of its Financial Institution Subsidiaries’ primary federal bank regulator), and “well managed” (as that term is defined at 12 C.F.R. 225.2(s) or the relevant regulation of the Borrower’s or each of its Financial Institutions Subsidiaries’ primary federal bank regulator), and the rating of each Financial Institution Subsidiary under the Community Reinvestment Act of 1997 (“</w:t>
      </w:r>
      <w:r>
        <w:rPr>
          <w:rFonts w:ascii="Times New Roman" w:cs="Times New Roman" w:eastAsia="Times New Roman" w:hAnsi="Times New Roman"/>
          <w:sz w:val="18"/>
          <w:szCs w:val="18"/>
          <w:u w:val="single" w:color="auto"/>
          <w:color w:val="auto"/>
        </w:rPr>
        <w:t>CRA</w:t>
      </w:r>
      <w:r>
        <w:rPr>
          <w:rFonts w:ascii="Times New Roman" w:cs="Times New Roman" w:eastAsia="Times New Roman" w:hAnsi="Times New Roman"/>
          <w:sz w:val="18"/>
          <w:szCs w:val="18"/>
          <w:color w:val="auto"/>
        </w:rPr>
        <w:t>”) is no less than “satisfactory.” Neither the Borrower nor any Financial Institution Subsidiary has been informed that its status as “well-capitalized,” “well managed” or, in the case of each Financial Institution Subsidiary, for CRA purposes, “satisfactory,” will change within one (1) year.</w:t>
      </w:r>
    </w:p>
    <w:p>
      <w:pPr>
        <w:spacing w:after="0" w:line="210"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Each of the Borrower and its Subsidiaries has good title to, or valid leasehold interests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its real and personal property material to the operation of its business, including all such properties reflected in the most recent audited consolidated balance sheet of the Borrower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purported to have been acquired by the Borrower or any Subsidiary after said date (except as sold or otherwise disposed of in the ordinary course of business), in each case free and clear of Liens other than those Liens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All leases that individually or in the aggregate are material to the business or operations of the Borrower and its Subsidiaries are valid and subsisting and are in full force.</w:t>
      </w:r>
    </w:p>
    <w:p>
      <w:pPr>
        <w:spacing w:after="0" w:line="200" w:lineRule="exact"/>
        <w:rPr>
          <w:sz w:val="20"/>
          <w:szCs w:val="20"/>
          <w:color w:val="auto"/>
        </w:rPr>
      </w:pPr>
    </w:p>
    <w:p>
      <w:pPr>
        <w:spacing w:after="0" w:line="231" w:lineRule="exact"/>
        <w:rPr>
          <w:sz w:val="20"/>
          <w:szCs w:val="20"/>
          <w:color w:val="auto"/>
        </w:rPr>
      </w:pPr>
    </w:p>
    <w:p>
      <w:pPr>
        <w:jc w:val="both"/>
        <w:ind w:left="180" w:firstLine="1287"/>
        <w:spacing w:after="0" w:line="266" w:lineRule="auto"/>
        <w:tabs>
          <w:tab w:leader="none" w:pos="230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its Subsidiaries owns, licenses, or otherwise has the right to use, all patents, trademarks, service marks, trade names, copyrights and other intellectual property material to its business, and, to the Borrower’s knowledge, the use thereof by the Borrower and its Subsidiaries does not infringe in any material respect on the rights of any other Person.</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64" w:name="page165"/>
    <w:bookmarkEnd w:id="164"/>
    <w:p>
      <w:pPr>
        <w:jc w:val="both"/>
        <w:ind w:left="180" w:firstLine="1287"/>
        <w:spacing w:after="0" w:line="258" w:lineRule="auto"/>
        <w:tabs>
          <w:tab w:leader="none" w:pos="214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of the Borrower and its Subsidiaries are (i) self-insured through a viable and sound captive insurance company of the Borrower that satisfies all applicable insurance regulatory requirements and as to which “risk of loss” has been transferred to such company under GAAP and/or (ii) insured with financially sound and reputable insurance companies in such amounts with such deductibles and covering such risks as are customarily carried by companies engaged in similar businesses and owning similar properties in localities where the Borrower or any applicable Subsidiary operates.</w:t>
      </w:r>
    </w:p>
    <w:p>
      <w:pPr>
        <w:spacing w:after="0" w:line="207"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Each of the Borrower and its Subsidiaries is in compliance, in all material respects, with (i) the Trading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Enemy Act, as amended, and each of the foreign assets control regulations of the United States Treasury Department (31 CFR, Subtitle B, Chapter V, as amended) and any other enabling legislation or executive order relating thereto and (ii) the Uniting And Strengthening America By Providing Appropriate Tools Required To Intercept And Obstruct Terrorism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(such laws and regulations collectively referred to herein as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No part of the proceeds of the Obligations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10"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4.17.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After giving effect to the execution and delivery of the Loan Documents and the making of all Revolving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under this Agreement and the application of proceeds thereof, the Borrower and its Subsidiaries, on a consolidated basis, will be Solvent.</w:t>
      </w:r>
    </w:p>
    <w:p>
      <w:pPr>
        <w:spacing w:after="0" w:line="182"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4.18. </w:t>
      </w: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There are no strikes, lockouts or other material labor disputes or grievances against the Borrower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or, to the Borrower’s knowledge, threatened in writing against or affecting the Borrower or any Subsidiary, and no significant unfair labor practice, charges or grievances are pending against the Borrower or any Subsidiary, or to the Borrower’s knowledge, threatened against any of them before any Governmental Authority, in each case, which would reasonably be expected to have a Material Adverse Effect. All payments due from the Borrower or any Subsidiary pursuant to the provisions of any collective bargaining agreement have been paid or accrued as a liability on the books of the Borrower or such Subsidiary, except where the failure to do so could not reasonably be expected to have a Material Adverse Effect.</w:t>
      </w:r>
    </w:p>
    <w:p>
      <w:pPr>
        <w:spacing w:after="0" w:line="210"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4.19.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Borrower nor any of its Financial Institution Subsidiaries is subject or is party to, or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any notice or advice that any of them may become subject or party to any investigation with respect to, any corrective, suspension or cease-and-desist order, agreement, consent agreement, memorandum of understanding or other regulatory enforcement action, proceeding or order with or by, or is a party to any commitment letter or similar undertaking to, or is subject to any directive by, or has been a recipient of any supervisory letter from, or has adopted any board resolutions at the request of, any Governmental Authority that currently relates to or restricts in any material respect the conduct of their business or that in any manner relates to their capital adequacy, credit policies, management or business (each, a “</w:t>
      </w:r>
      <w:r>
        <w:rPr>
          <w:rFonts w:ascii="Times New Roman" w:cs="Times New Roman" w:eastAsia="Times New Roman" w:hAnsi="Times New Roman"/>
          <w:sz w:val="18"/>
          <w:szCs w:val="18"/>
          <w:u w:val="single" w:color="auto"/>
          <w:color w:val="auto"/>
        </w:rPr>
        <w:t>Regulatory Agreement</w:t>
      </w:r>
      <w:r>
        <w:rPr>
          <w:rFonts w:ascii="Times New Roman" w:cs="Times New Roman" w:eastAsia="Times New Roman" w:hAnsi="Times New Roman"/>
          <w:sz w:val="18"/>
          <w:szCs w:val="18"/>
          <w:color w:val="auto"/>
        </w:rPr>
        <w:t>”), nor has the Borrower or any of its Financial Institution Subsidiaries been advised by any Governmental Authority that it is considering issuing or requesting any Regulatory Agreement. There is no unresolved violation, criticism or exception by any Governmental Authority with respect to any report or statement relating to any examinations of the Borrower or any of its Financial Institution Subsidiaries. The Borrower and its Financial Institution Subsidiaries are in compliance in all material respects with all laws administered by any Governmental Authority.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65" w:name="page166"/>
    <w:bookmarkEnd w:id="165"/>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4.20.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Borrower has timely filed with or furnished to, as applicable, the SEC all registration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prospectuses, reports, schedules, forms, statements and other documents (including exhibits and all other information incorporated by reference) required to be filed or furnished by it with the SEC since January 1, 2010 (the “</w:t>
      </w:r>
      <w:r>
        <w:rPr>
          <w:rFonts w:ascii="Times New Roman" w:cs="Times New Roman" w:eastAsia="Times New Roman" w:hAnsi="Times New Roman"/>
          <w:sz w:val="18"/>
          <w:szCs w:val="18"/>
          <w:u w:val="single" w:color="auto"/>
          <w:color w:val="auto"/>
        </w:rPr>
        <w:t>Borrower SEC Documents</w:t>
      </w:r>
      <w:r>
        <w:rPr>
          <w:rFonts w:ascii="Times New Roman" w:cs="Times New Roman" w:eastAsia="Times New Roman" w:hAnsi="Times New Roman"/>
          <w:sz w:val="18"/>
          <w:szCs w:val="18"/>
          <w:color w:val="auto"/>
        </w:rPr>
        <w:t xml:space="preserve">”). The Borrower SEC Documents that it has so filed or furnished prior to the date hereof are available on the SEC’s website. As of their respective filing dates (or, if amended or superseded by a subsequent filing, as of the date of the last such amendment or superseding filing prior to the date hereof), each of the Borrower SEC Documents complied as to form in all material respects with the applicable requirements of the Securities Act and Exchange Act applicable to such Borrower SEC Documents. None of the Borrower SEC Documents, including any financial statements, schedules or exhibits included or incorporated by reference therein at the time they were filed or furnished (or, if amended or superseded by a subsequent filing, as of the date of the last such amendment or superseding filing prior to the date hereof), contained any untrue statement of a material fact or omitted to state a material fact required to be stated therein or necessary in order to make the statements therein, in light of the circumstances under which they were made, not misleading. None of the Borrower’s Subsidiaries is required to file with or furnish to the SEC any forms, reports or other documents pursuant to </w:t>
      </w:r>
      <w:r>
        <w:rPr>
          <w:rFonts w:ascii="Times New Roman" w:cs="Times New Roman" w:eastAsia="Times New Roman" w:hAnsi="Times New Roman"/>
          <w:sz w:val="18"/>
          <w:szCs w:val="18"/>
          <w:u w:val="single" w:color="auto"/>
          <w:color w:val="auto"/>
        </w:rPr>
        <w:t>Section 13 or 15</w:t>
      </w:r>
      <w:r>
        <w:rPr>
          <w:rFonts w:ascii="Times New Roman" w:cs="Times New Roman" w:eastAsia="Times New Roman" w:hAnsi="Times New Roman"/>
          <w:sz w:val="18"/>
          <w:szCs w:val="18"/>
          <w:color w:val="auto"/>
        </w:rPr>
        <w:t xml:space="preserve"> of the Exchange Act.</w:t>
      </w:r>
    </w:p>
    <w:p>
      <w:pPr>
        <w:spacing w:after="0" w:line="21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4.21. </w:t>
      </w:r>
      <w:r>
        <w:rPr>
          <w:rFonts w:ascii="Times New Roman" w:cs="Times New Roman" w:eastAsia="Times New Roman" w:hAnsi="Times New Roman"/>
          <w:sz w:val="18"/>
          <w:szCs w:val="18"/>
          <w:u w:val="single" w:color="auto"/>
          <w:color w:val="auto"/>
        </w:rPr>
        <w:t>Accounting Controls and Disclosure Controls</w:t>
      </w:r>
      <w:r>
        <w:rPr>
          <w:rFonts w:ascii="Times New Roman" w:cs="Times New Roman" w:eastAsia="Times New Roman" w:hAnsi="Times New Roman"/>
          <w:sz w:val="18"/>
          <w:szCs w:val="18"/>
          <w:color w:val="auto"/>
        </w:rPr>
        <w:t>. The Borrower and each of its Subsidiaries maintain effective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over financial reporting (as defined under Rule 13-a15 and 15d-15 of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any interactive data in eXtensible Business Reporting Language included in the Borrower’s SEC filings fairly presents the required information and is prepared in accordance with the SEC’s rules and guidelines applicable thereto. Since the end of the Borrower’s most recent audited fiscal year, there has been (1) no material weakness in the Borrower’s internal control over financial reporting (whether or not remediated) and (2) no change in the Borrower’s internal control over financial reporting that has materially affected, or is reasonably likely to materially affect, the Borrower’s internal control over financial reporting. The Borrower and each of its Subsidiaries maintain an effective system of disclosure controls and procedures (as defined in Rule 13a-15 and Rule 15d-15 of the 1934 Act Regulations) that are designed to ensure that the information required to be disclosed by the Borrower in the reports that it files or submits under the 1934 Act is recorded, processed, summarized and reported, within the time periods specified in the SEC’s rules and forms, and is accumulated and communicated to the Borrower’s management, including its principal executive officer or officers and principal financial officer or officers, as appropriate, to allow timely decisions regarding disclosure. Each of the principal executive officer and the principal financial officer of the Borrower (or each former principal executive officer and each former principal financial officer of the Borrower, as applicable) has made all certifications required by Rule 13a-14 or 15d-14 under the Exchange Act and Sections 302 and 906 of the Sarbanes-Oxley Act of 2002 (including the rules and regulations promulgated thereunder,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with respect to the Borrower SEC Documents, and the statements contained in such certifications are true and accurate in all material respects. For purposes of this Agreement, “principal executive officer” and “principal financial officer” shall have the meanings given to such terms in the Sarbanes-Oxley Act. Neither the Borrower nor any of its Financial Institution Subsidiaries has outstanding (nor has arranged or modified since the enactment of the Sarbanes-Oxley Act) any “extensions of credit” (within the meaning of Section 402 of the Sarbanes-Oxley Act) to directors or executive officers (as defined in Rule 3b-7 under the Exchange Act) of the Borrower or any of its Financial Institution Subsidiaries. The Borrower is otherwise in compliance with all applicable provisions of the Sarbanes-Oxley Act, except for any non-compliance that would not reasonably be expected to have,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66" w:name="page167"/>
    <w:bookmarkEnd w:id="166"/>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4.22.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None of the Borrower, nor any of its Financial Institution Subsidiaries or, to the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Borrower, any director, officer, agent, employee, Affiliate or other person acting on behalf of the Borrower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Borrower, its subsidiaries and, to the knowledge of the Borrower, its other affiliates have conducted their businesses in compliance with the FCPA and have instituted and maintain policies and procedures designed to ensure, and which are reasonably expected to continue to ensure, continued compliance therewith.</w:t>
      </w:r>
    </w:p>
    <w:p>
      <w:pPr>
        <w:spacing w:after="0" w:line="209"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4.23.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Borrower and its Subsidiaries are and have been conducted at all times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in all material respects,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No action, suit or proceeding by or before any Governmental Authority involving the Borrower or any of its Subsidiaries with respect to the Money Laundering Laws is pending or, to the best knowledge of the Borrower, threatened.</w:t>
      </w:r>
    </w:p>
    <w:p>
      <w:pPr>
        <w:spacing w:after="0" w:line="210"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4.24.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Borrower, any of its Subsidiaries or, to the knowledge of the Borrower, any director, officer,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affiliate or other person acting on behalf of the Borrower or any of its subsidiaries is (A) currently the subject or target of any sanctions administered or enforced by the United States Government, including, without limitation, the U.S.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Her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(B) located, organized or resident in a country or territory that is the subject of Sanctions.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67" w:name="page168"/>
    <w:bookmarkEnd w:id="167"/>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4.25.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As of the Closing Date, the Liens on the assets or property of the Borrower and its Subsidiaries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Encumbrances (but for purposes of this Section 4.25 including Permitted Encumbrances described in clause (v) of the definition thereof) and Liens securing Permitted Financial Institution Subsidiary Indebtedness), collectively, secure obligations that do not exceed $25,000,000 in the aggregate.</w:t>
      </w:r>
    </w:p>
    <w:p>
      <w:pPr>
        <w:spacing w:after="0" w:line="198" w:lineRule="exact"/>
        <w:rPr>
          <w:sz w:val="20"/>
          <w:szCs w:val="20"/>
          <w:color w:val="auto"/>
        </w:rPr>
      </w:pPr>
    </w:p>
    <w:p>
      <w:pPr>
        <w:jc w:val="center"/>
        <w:ind w:left="32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ARTICLE V</w:t>
      </w:r>
      <w:r>
        <w:rPr>
          <w:sz w:val="20"/>
          <w:szCs w:val="20"/>
          <w:color w:val="auto"/>
        </w:rPr>
        <w:tab/>
      </w:r>
      <w:r>
        <w:rPr>
          <w:rFonts w:ascii="Times New Roman" w:cs="Times New Roman" w:eastAsia="Times New Roman" w:hAnsi="Times New Roman"/>
          <w:sz w:val="17"/>
          <w:szCs w:val="17"/>
          <w:b w:val="1"/>
          <w:bCs w:val="1"/>
          <w:u w:val="single" w:color="auto"/>
          <w:color w:val="auto"/>
        </w:rPr>
        <w:t>AFFIRMATIVE COVENANTS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Borrower covenants and agrees that, so long as this Agreement is in effect and the Revolving Commitment remains outstanding:</w:t>
      </w:r>
    </w:p>
    <w:p>
      <w:pPr>
        <w:spacing w:after="0" w:line="248"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Section 5.1.</w:t>
      </w:r>
      <w:r>
        <w:rPr>
          <w:sz w:val="20"/>
          <w:szCs w:val="20"/>
          <w:color w:val="auto"/>
        </w:rPr>
        <w:tab/>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deliver to the Lender:</w:t>
      </w:r>
    </w:p>
    <w:p>
      <w:pPr>
        <w:spacing w:after="0" w:line="256" w:lineRule="exact"/>
        <w:rPr>
          <w:sz w:val="20"/>
          <w:szCs w:val="20"/>
          <w:color w:val="auto"/>
        </w:rPr>
      </w:pPr>
    </w:p>
    <w:p>
      <w:pPr>
        <w:jc w:val="both"/>
        <w:ind w:firstLine="1305"/>
        <w:spacing w:after="0" w:line="253" w:lineRule="auto"/>
        <w:tabs>
          <w:tab w:leader="none" w:pos="208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and in any event within 90 days after the end of each fiscal year of Borrower, a copy of the annual audited report for such fiscal year for the Borrower and its Subsidiaries, containing (i) a consolidated and consolidating balance sheet and the related consolidated and consolidating statements of income, of changes in shareholders’ equity and of cash flows (together with all footnotes thereto), and (ii) a condensed balance sheet of the Borrower only and the related condensed statements of income and of cash flows, setting forth in each case in comparative form the figures for the previous fiscal year, all in reasonable detail and reported on by PricewaterhouseCoopers LLP or other independent public accountants of nationally recognized standing (without a “going concern” or like qualification, exception or explanation and without any qualification or exception as to scope of such audit) to the effect that such financial statements present fairly in all material respects the financial condition and the results of operations and cash flows on a consolidated and consolidating basis of the Borrower for such fiscal year in accordance with GAAP and that the examination by such accountants in connection with such financial statements has been made in accordance with generally accepted auditing standards;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requirements set forth in this clause (a), other than the certification of the Borrower’s certified public accountants set forth in clause (ii) above, may be fulfilled by providing to the Lender the report of the Borrower to the SEC on Form 10-K for the applicable fiscal year;</w:t>
      </w:r>
    </w:p>
    <w:p>
      <w:pPr>
        <w:spacing w:after="0" w:line="219" w:lineRule="exact"/>
        <w:rPr>
          <w:rFonts w:ascii="Times New Roman" w:cs="Times New Roman" w:eastAsia="Times New Roman" w:hAnsi="Times New Roman"/>
          <w:sz w:val="18"/>
          <w:szCs w:val="18"/>
          <w:color w:val="auto"/>
        </w:rPr>
      </w:pPr>
    </w:p>
    <w:p>
      <w:pPr>
        <w:jc w:val="both"/>
        <w:ind w:firstLine="1305"/>
        <w:spacing w:after="0" w:line="254" w:lineRule="auto"/>
        <w:tabs>
          <w:tab w:leader="none" w:pos="201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and in any event within 45 days after the end of each of the first three fiscal quarters of each fiscal year of the Borrower, an unaudited balance sheet of the Borrower and its Subsidiaries on a consolidated basis as of the end of such fiscal quarter and the related unaudited statements of income and cash flows of the Borrower and its Subsidiaries on a consolidated basis, each for such fiscal quarter and the then elapsed portion of such fiscal year, setting forth in each case in comparative form the figures for the corresponding quarter and the corresponding portion of Borrower’s previous fiscal year, all certified by the chief financial officer or treasurer of the Borrower as presenting fairly in all material respects the financial condition and results of operations of the Borrower and its Subsidiaries on a consolidated basis in accordance with GAAP, subject to normal year-end audit adjustments and the absence of footnotes;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requirements set forth in this clause (b) with respect to the financial information of the Borrower and its Subsidiaries on a consolidated and consolidating basis may be fulfilled by providing to the Lender the report of the Borrower to the SEC on Form 10-Q for the applicable fiscal quarter;</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68" w:name="page169"/>
    <w:bookmarkEnd w:id="168"/>
    <w:p>
      <w:pPr>
        <w:ind w:left="2192" w:hanging="895"/>
        <w:spacing w:after="0"/>
        <w:tabs>
          <w:tab w:leader="none" w:pos="219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statements referred to in clauses (a) and (b) above, a Compliance Certificate,</w:t>
      </w:r>
    </w:p>
    <w:p>
      <w:pPr>
        <w:spacing w:after="0" w:line="27" w:lineRule="exact"/>
        <w:rPr>
          <w:rFonts w:ascii="Times New Roman" w:cs="Times New Roman" w:eastAsia="Times New Roman" w:hAnsi="Times New Roman"/>
          <w:sz w:val="18"/>
          <w:szCs w:val="18"/>
          <w:color w:val="auto"/>
        </w:rPr>
      </w:pPr>
    </w:p>
    <w:p>
      <w:pPr>
        <w:jc w:val="both"/>
        <w:ind w:left="-8" w:right="20" w:firstLine="8"/>
        <w:spacing w:after="0" w:line="255" w:lineRule="auto"/>
        <w:tabs>
          <w:tab w:leader="none" w:pos="22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certifying as to whether there exists a Default or Event of Default on the date of such certificate, and if a Default or an Event of Default then exists, specifying the details thereof and the action which the Borrower has taken or proposes to take with respect thereto, and (ii) setting forth in reasonable detail calculations demonstrating compliance with the financial covenants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jc w:val="both"/>
        <w:ind w:left="-8" w:firstLine="1305"/>
        <w:spacing w:after="0" w:line="255" w:lineRule="auto"/>
        <w:tabs>
          <w:tab w:leader="none" w:pos="213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statements referred to in clauses (a) and (b) above, duly executed copies of the Borrower’s then-current FR Y-9C Report and FR Y-9LP Report and a duly executed copy of the then-current Call Report for each Financial Institution Subsidiary and each such report so filed by the Borrower or the Financial Institution Subsidiaries with any Governmental Authority shall be true and correct and is in accordance with the respective books of account and records of the Borrower and the Financial Institution Subsidiaries, and will be prepared in accordance with applicable banking regulations, rules and guidelines on a basis consistent with prior periods, and fairly and accurately presents, in all material respects, the financial condition of the Borrower and the Financial Institution Subsidiaries and their respective assets and liabilities and the results of their respective operations as of such date;</w:t>
      </w:r>
    </w:p>
    <w:p>
      <w:pPr>
        <w:spacing w:after="0" w:line="216" w:lineRule="exact"/>
        <w:rPr>
          <w:rFonts w:ascii="Times New Roman" w:cs="Times New Roman" w:eastAsia="Times New Roman" w:hAnsi="Times New Roman"/>
          <w:sz w:val="18"/>
          <w:szCs w:val="18"/>
          <w:color w:val="auto"/>
        </w:rPr>
      </w:pPr>
    </w:p>
    <w:p>
      <w:pPr>
        <w:ind w:left="1992" w:hanging="695"/>
        <w:spacing w:after="0"/>
        <w:tabs>
          <w:tab w:leader="none" w:pos="199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52" w:lineRule="exact"/>
        <w:rPr>
          <w:rFonts w:ascii="Times New Roman" w:cs="Times New Roman" w:eastAsia="Times New Roman" w:hAnsi="Times New Roman"/>
          <w:sz w:val="18"/>
          <w:szCs w:val="18"/>
          <w:color w:val="auto"/>
        </w:rPr>
      </w:pPr>
    </w:p>
    <w:p>
      <w:pPr>
        <w:jc w:val="both"/>
        <w:ind w:left="-8" w:right="20" w:firstLine="1305"/>
        <w:spacing w:after="0" w:line="261" w:lineRule="auto"/>
        <w:tabs>
          <w:tab w:leader="none" w:pos="219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financial statements, registration statements, proxy statements and other materials, together with any amendments or exhibits relating to any of the foregoing, filed with the SEC, or any Governmental Authority succeeding to any or all functions of the SEC, or with any national securities exchange, or distributed by the Borrower to its public security holders generally, as the case may be (to the extent not otherwise required to be delivered to the Lender hereunder);</w:t>
      </w:r>
    </w:p>
    <w:p>
      <w:pPr>
        <w:spacing w:after="0" w:line="207" w:lineRule="exact"/>
        <w:rPr>
          <w:rFonts w:ascii="Times New Roman" w:cs="Times New Roman" w:eastAsia="Times New Roman" w:hAnsi="Times New Roman"/>
          <w:sz w:val="18"/>
          <w:szCs w:val="18"/>
          <w:color w:val="auto"/>
        </w:rPr>
      </w:pPr>
    </w:p>
    <w:p>
      <w:pPr>
        <w:jc w:val="both"/>
        <w:ind w:left="-8" w:firstLine="1305"/>
        <w:spacing w:after="0" w:line="261" w:lineRule="auto"/>
        <w:tabs>
          <w:tab w:leader="none" w:pos="225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receiving knowledge thereof, written notice of all material charges, material assessments, actions, suits and proceedings (as well as notice of the outcome of any such charges, assessments, orders, actions, suits and proceedings) that are proposed or initiated by, or brought before, any court or Governmental Authority, in connection with the Borrower or any of the Financial Institution Subsidiaries, other than ordinary course of business litigation or proceedings which, if adversely decided, could not reasonably be expected to have a Material Adverse Effect;</w:t>
      </w:r>
    </w:p>
    <w:p>
      <w:pPr>
        <w:spacing w:after="0" w:line="207" w:lineRule="exact"/>
        <w:rPr>
          <w:rFonts w:ascii="Times New Roman" w:cs="Times New Roman" w:eastAsia="Times New Roman" w:hAnsi="Times New Roman"/>
          <w:sz w:val="18"/>
          <w:szCs w:val="18"/>
          <w:color w:val="auto"/>
        </w:rPr>
      </w:pPr>
    </w:p>
    <w:p>
      <w:pPr>
        <w:ind w:left="-8" w:right="20" w:firstLine="1305"/>
        <w:spacing w:after="0" w:line="282" w:lineRule="auto"/>
        <w:tabs>
          <w:tab w:leader="none" w:pos="203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after the execution or entry thereof, the execution or entry by the Borrower or any Financial Institution Subsidiary of any Regulatory Agreement, together with a copy thereof if such disclosure is permitted by applicable law; and</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612" w:hanging="101"/>
        <w:spacing w:after="0"/>
        <w:tabs>
          <w:tab w:leader="none" w:pos="5612"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18" w:right="239" w:bottom="1440" w:gutter="0" w:footer="0" w:header="0"/>
        </w:sectPr>
      </w:pPr>
    </w:p>
    <w:bookmarkStart w:id="169" w:name="page170"/>
    <w:bookmarkEnd w:id="169"/>
    <w:p>
      <w:pPr>
        <w:ind w:firstLine="1305"/>
        <w:spacing w:after="0" w:line="282" w:lineRule="auto"/>
        <w:tabs>
          <w:tab w:leader="none" w:pos="205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such other information regarding the results of operations, business affairs and financial condition of the Borrower or any Subsidiary, as the Lender may reasonably request.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or (ii) on which such documents are posted on the Borrower’s behalf on an internet or intranet website, if any, to which the Lender have access;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the Borrower shall deliver paper copies of such documents to the Lender if so requested until a written notice is received by the Borrower from the Lender to cease delivering paper copies and (B) the Borrower shall notify (which may be by telefacsimile or email) the Lender of the posting of any such documents and provide to the Lender by electronic mail electronic versions (i.e. soft copies) of such documents. Notwithstanding anything contained herein, in every instance the Borrower shall be required to provide paper or .pdf copies of all Compliance Certificates.</w:t>
      </w:r>
    </w:p>
    <w:p>
      <w:pPr>
        <w:spacing w:after="0" w:line="2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Borrower and each of its Subsidiaries maintain effective internal control over financial reporting (as defined under Rule 13-a15 and 15d-15 of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any interactive data in eXtensible Business Reporting Language included in the Borrower’s SEC filings fairly presents the required information and is prepared in accordance with the SEC’s rules and guidelines applicable thereto. The Borrower and each of its Subsidiaries shall maintain an effective system of disclosure controls and procedures (as defined in Rule 13a-15 and Rule 15d-15 of the 1934 Act Regulations) that are designed to ensure that the information required to be disclosed by the Borrower in the reports that it files or submits under the 1934 Act is recorded, processed, summarized and reported, within the time periods specified in the SEC’s rules and forms, and is accumulated and communicated to the Borrower’s management, including its principal executive officer or officers and principal financial officer or officers, as appropriate, to allow timely decisions regarding disclosure.</w:t>
      </w:r>
    </w:p>
    <w:p>
      <w:pPr>
        <w:spacing w:after="0" w:line="214" w:lineRule="exact"/>
        <w:rPr>
          <w:sz w:val="20"/>
          <w:szCs w:val="20"/>
          <w:color w:val="auto"/>
        </w:rPr>
      </w:pPr>
    </w:p>
    <w:p>
      <w:pPr>
        <w:jc w:val="center"/>
        <w:ind w:right="-9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Section 5.2.</w:t>
      </w:r>
      <w:r>
        <w:rPr>
          <w:sz w:val="20"/>
          <w:szCs w:val="20"/>
          <w:color w:val="auto"/>
        </w:rPr>
        <w:tab/>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Lender prompt written notice of the following:</w:t>
      </w:r>
    </w:p>
    <w:p>
      <w:pPr>
        <w:spacing w:after="0" w:line="256" w:lineRule="exact"/>
        <w:rPr>
          <w:sz w:val="20"/>
          <w:szCs w:val="20"/>
          <w:color w:val="auto"/>
        </w:rPr>
      </w:pPr>
    </w:p>
    <w:p>
      <w:pPr>
        <w:ind w:left="2000" w:hanging="695"/>
        <w:spacing w:after="0"/>
        <w:tabs>
          <w:tab w:leader="none" w:pos="2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w:t>
      </w:r>
    </w:p>
    <w:p>
      <w:pPr>
        <w:spacing w:after="0" w:line="252" w:lineRule="exact"/>
        <w:rPr>
          <w:rFonts w:ascii="Times New Roman" w:cs="Times New Roman" w:eastAsia="Times New Roman" w:hAnsi="Times New Roman"/>
          <w:sz w:val="18"/>
          <w:szCs w:val="18"/>
          <w:color w:val="auto"/>
        </w:rPr>
      </w:pPr>
    </w:p>
    <w:p>
      <w:pPr>
        <w:jc w:val="both"/>
        <w:ind w:firstLine="1305"/>
        <w:spacing w:after="0" w:line="266" w:lineRule="auto"/>
        <w:tabs>
          <w:tab w:leader="none" w:pos="202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to the knowledge of the Borrower, affecting the Borrower or any Subsidiary which, if adversely determined, could reasonably be expected to result in a Material Adverse Effect;</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70" w:name="page171"/>
    <w:bookmarkEnd w:id="170"/>
    <w:p>
      <w:pPr>
        <w:ind w:firstLine="1305"/>
        <w:spacing w:after="0" w:line="282" w:lineRule="auto"/>
        <w:tabs>
          <w:tab w:leader="none" w:pos="203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could reasonably be expected to result in liability to the Borrower in excess of $5,000,000;</w:t>
      </w:r>
    </w:p>
    <w:p>
      <w:pPr>
        <w:spacing w:after="0" w:line="188" w:lineRule="exact"/>
        <w:rPr>
          <w:rFonts w:ascii="Times New Roman" w:cs="Times New Roman" w:eastAsia="Times New Roman" w:hAnsi="Times New Roman"/>
          <w:sz w:val="18"/>
          <w:szCs w:val="18"/>
          <w:color w:val="auto"/>
        </w:rPr>
      </w:pPr>
    </w:p>
    <w:p>
      <w:pPr>
        <w:jc w:val="both"/>
        <w:ind w:firstLine="1305"/>
        <w:spacing w:after="0" w:line="266" w:lineRule="auto"/>
        <w:tabs>
          <w:tab w:leader="none" w:pos="201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investigation of the Borrower or any Subsidiary by any Governmental Authority having regulatory authority over the Borrower or any such Subsidiary (other than routine examinations of the Borrower and/or any such Subsidiary) to the extent that such Governmental Authority has consented to the giving of such notice (if the consent of such Governmental Authority is required for the Borrower to give such notice);</w:t>
      </w:r>
    </w:p>
    <w:p>
      <w:pPr>
        <w:spacing w:after="0" w:line="203" w:lineRule="exact"/>
        <w:rPr>
          <w:rFonts w:ascii="Times New Roman" w:cs="Times New Roman" w:eastAsia="Times New Roman" w:hAnsi="Times New Roman"/>
          <w:sz w:val="18"/>
          <w:szCs w:val="18"/>
          <w:color w:val="auto"/>
        </w:rPr>
      </w:pPr>
    </w:p>
    <w:p>
      <w:pPr>
        <w:jc w:val="both"/>
        <w:ind w:firstLine="1305"/>
        <w:spacing w:after="0" w:line="261" w:lineRule="auto"/>
        <w:tabs>
          <w:tab w:leader="none" w:pos="205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cease and desist order (whether written or oral), execution and delivery of any Regulatory Agreement (to the extent that the Borrower or any such Subsidiary is permitted to disclose such information (provided that the Borrower shall take all reasonable efforts to obtain any necessary regulatory consents)), cancellation of insurance or other public or enforcement action by the FDIC or other Governmental Authority having regulatory authority over the Borrower or any Subsidiary;</w:t>
      </w:r>
    </w:p>
    <w:p>
      <w:pPr>
        <w:spacing w:after="0" w:line="207" w:lineRule="exact"/>
        <w:rPr>
          <w:rFonts w:ascii="Times New Roman" w:cs="Times New Roman" w:eastAsia="Times New Roman" w:hAnsi="Times New Roman"/>
          <w:sz w:val="18"/>
          <w:szCs w:val="18"/>
          <w:color w:val="auto"/>
        </w:rPr>
      </w:pPr>
    </w:p>
    <w:p>
      <w:pPr>
        <w:jc w:val="both"/>
        <w:ind w:firstLine="1305"/>
        <w:spacing w:after="0" w:line="261" w:lineRule="auto"/>
        <w:tabs>
          <w:tab w:leader="none" w:pos="22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material informal enforcement action, including, without limitation, a memorandum of understanding or proposed disciplinary action by or from any Governmental Authority having regulatory authority over the Borrower or any Subsidiary, to the extent that the Borrower or any such Subsidiary is permitted to disclose such information (provided that the Borrower shall take all reasonable efforts to obtain any necessary regulatory consents); and</w:t>
      </w:r>
    </w:p>
    <w:p>
      <w:pPr>
        <w:spacing w:after="0" w:line="207"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development that results in, or could reasonably be expected to result in, a Material Adverse Effect.</w:t>
      </w:r>
    </w:p>
    <w:p>
      <w:pPr>
        <w:spacing w:after="0" w:line="252" w:lineRule="exact"/>
        <w:rPr>
          <w:sz w:val="20"/>
          <w:szCs w:val="20"/>
          <w:color w:val="auto"/>
        </w:rPr>
      </w:pPr>
    </w:p>
    <w:p>
      <w:pPr>
        <w:jc w:val="both"/>
        <w:ind w:right="20" w:firstLine="1297"/>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written statement of a Responsible Officer setting forth the details of the event or development requiring such notice and any action taken or proposed to be taken with respect thereto.</w:t>
      </w:r>
    </w:p>
    <w:p>
      <w:pPr>
        <w:spacing w:after="0" w:line="18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The Borrower will, and will cause each of its Subsidiaries to, do or cause to be done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things necessary to preserve, renew and maintain in full force and effect its legal existence and its respective rights, licenses, permits, privileges, franchises, patents, copyrights, trademarks and trade names material to the conduct of its business and will continue to engage in the same business as presently conducted or such other businesses that are reasonably related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shall prohibit any merger, consolidation, liquidation or dissolution permitted under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Section 5.4.</w:t>
      </w:r>
      <w:r>
        <w:rPr>
          <w:sz w:val="20"/>
          <w:szCs w:val="20"/>
          <w:color w:val="auto"/>
        </w:rPr>
        <w:tab/>
      </w:r>
      <w:r>
        <w:rPr>
          <w:rFonts w:ascii="Times New Roman" w:cs="Times New Roman" w:eastAsia="Times New Roman" w:hAnsi="Times New Roman"/>
          <w:sz w:val="17"/>
          <w:szCs w:val="17"/>
          <w:u w:val="single" w:color="auto"/>
          <w:color w:val="auto"/>
        </w:rPr>
        <w:t>Compliance with Laws, Etc.</w:t>
      </w:r>
    </w:p>
    <w:p>
      <w:pPr>
        <w:spacing w:after="0" w:line="256" w:lineRule="exact"/>
        <w:rPr>
          <w:sz w:val="20"/>
          <w:szCs w:val="20"/>
          <w:color w:val="auto"/>
        </w:rPr>
      </w:pPr>
    </w:p>
    <w:p>
      <w:pPr>
        <w:jc w:val="both"/>
        <w:ind w:firstLine="1305"/>
        <w:spacing w:after="0" w:line="258" w:lineRule="auto"/>
        <w:tabs>
          <w:tab w:leader="none" w:pos="211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and will cause each of its Subsidiaries to, comply with all laws, rules, regulations and requirements of any Governmental Authority (including without limitation all federal and state banking statutes and regulations) applicable to its assets, except where the failure to do so, either individually or in the aggregate, could not reasonably be expected to result in a Material Adverse Effect. In this connection, each of the Borrower and its Subsidiaries shall comply, in all material respects, with (i) all Anti-Terrorism Laws; (ii) all Money Laundering Laws, and (iii) the FCPA or other laws or regulations referenced in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hereof.</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71" w:name="page172"/>
    <w:bookmarkEnd w:id="171"/>
    <w:p>
      <w:pPr>
        <w:jc w:val="both"/>
        <w:ind w:firstLine="1305"/>
        <w:spacing w:after="0" w:line="266" w:lineRule="auto"/>
        <w:tabs>
          <w:tab w:leader="none" w:pos="207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timely file with or furnish to, as applicable, the SEC all Borrower SEC Documents required to be filed by it during the term of this Agreement in accordance with all rules and regulations promulgated from time to time by the SEC. The Borrower shall at all times be in compliance with the Sarbanes-Oxley Act and related rules and regulations referenced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hereof.</w:t>
      </w:r>
    </w:p>
    <w:p>
      <w:pPr>
        <w:spacing w:after="0" w:line="199"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The Borrower will, and will cause each of its Subsidiaries to, pay and discharge at or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maturity, all of its obligations and liabilities (including without limitation all tax liabilities and all claims that could result in a statutory Lien)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207"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Borrower will, and will cause each of its Subsidiaries to, keep proper books of record and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which full, true and correct entries shall be made of all dealings and transactions in relation to its business and activities to the extent necessary to prepare the consolidated and consolidating financial statements of the Borrower in conformity with GAAP.</w:t>
      </w:r>
    </w:p>
    <w:p>
      <w:pPr>
        <w:spacing w:after="0" w:line="198"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u w:val="single" w:color="auto"/>
          <w:color w:val="auto"/>
        </w:rPr>
        <w:t>Visitation, Inspection, Etc</w:t>
      </w:r>
      <w:r>
        <w:rPr>
          <w:rFonts w:ascii="Times New Roman" w:cs="Times New Roman" w:eastAsia="Times New Roman" w:hAnsi="Times New Roman"/>
          <w:sz w:val="18"/>
          <w:szCs w:val="18"/>
          <w:color w:val="auto"/>
        </w:rPr>
        <w:t>. The Borrower will, and will cause each of its Subsidiaries to, permit any representative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 to, subject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visit and inspect its properties, to examine its books and records and to make copies and take extracts therefrom, and to discuss its affairs, finances and accounts with any of its officers and with its independent certified public accountants, all at such reasonable times and as often as the Lender may reasonably request after reasonable prior notice to the Borrower and at the Borrower’s expense.</w:t>
      </w:r>
    </w:p>
    <w:p>
      <w:pPr>
        <w:spacing w:after="0" w:line="204"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Section 5.8.</w:t>
      </w:r>
      <w:r>
        <w:rPr>
          <w:sz w:val="20"/>
          <w:szCs w:val="20"/>
          <w:color w:val="auto"/>
        </w:rPr>
        <w:tab/>
      </w:r>
      <w:r>
        <w:rPr>
          <w:rFonts w:ascii="Times New Roman" w:cs="Times New Roman" w:eastAsia="Times New Roman" w:hAnsi="Times New Roman"/>
          <w:sz w:val="18"/>
          <w:szCs w:val="18"/>
          <w:u w:val="single" w:color="auto"/>
          <w:color w:val="auto"/>
        </w:rPr>
        <w:t>Maintenance of Properties; Insurance</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ind w:firstLine="1305"/>
        <w:spacing w:after="0" w:line="266" w:lineRule="auto"/>
        <w:tabs>
          <w:tab w:leader="none" w:pos="199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of its Subsidiaries to, keep and maintain all property material to the conduct of its business in good working order and condition, except for ordinary wear and tear and except where the failure to do so, either individually or in the aggregate, could not reasonably be expected to result in a Material Adverse Effect.</w:t>
      </w:r>
    </w:p>
    <w:p>
      <w:pPr>
        <w:spacing w:after="0" w:line="203" w:lineRule="exact"/>
        <w:rPr>
          <w:rFonts w:ascii="Times New Roman" w:cs="Times New Roman" w:eastAsia="Times New Roman" w:hAnsi="Times New Roman"/>
          <w:sz w:val="18"/>
          <w:szCs w:val="18"/>
          <w:color w:val="auto"/>
        </w:rPr>
      </w:pPr>
    </w:p>
    <w:p>
      <w:pPr>
        <w:jc w:val="both"/>
        <w:ind w:right="20" w:firstLine="1305"/>
        <w:spacing w:after="0" w:line="266" w:lineRule="auto"/>
        <w:tabs>
          <w:tab w:leader="none" w:pos="208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of its Subsidiaries to, keep and maintain with financially sound and reputable insurance companies, insurance with respect to its properties and business, and the properties and business of its Subsidiaries, against loss or damage of the kinds customarily insured against by companies in the same or similar businesses operating in the same or similar locations.</w:t>
      </w:r>
    </w:p>
    <w:p>
      <w:pPr>
        <w:spacing w:after="0" w:line="203"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deposits of each Financial Institution Subsidiary will at all times be insured by the FDIC.</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72" w:name="page173"/>
    <w:bookmarkEnd w:id="172"/>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 will use the proceeds: (a) in the case of the initial funding of the Revolving Loans, (i)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 together with cash on hand, the redemption of the Borrower’s remaining outstanding Fixed Rate Perpetual Preferred Stock, (ii) to pay the upfront fee owing to the Lender pursuant to Section 2.7(a) and (iii) to pay out-of-pocket costs and expenses incurred by the Lender in connection with the consummation of the financing transactions contemplated hereby, including, without limitation, the fees and expenses of counsel to the Lender and (b) in the case of all other Revolving Loans, for Restricted Payments permitted by Section 7.4, working capital and general corporate purposes. No part of the proceeds of any Revolving Loan will be used, whether directly or indirectly, for any purpose that would violate any rule or regulation of the FRB, including Regulation U or X.</w:t>
      </w:r>
    </w:p>
    <w:p>
      <w:pPr>
        <w:spacing w:after="0" w:line="210"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Borrower agrees, upon request of the Lender, to execute and deliver or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such further instruments, documents and certificates, and to and cause to be done such further acts that may be reasonably necessary or advisable in the reasonable opinion of the Lender to carry out more effectively the provisions and purposes of this Agreement and the other Loan Documents.</w:t>
      </w:r>
    </w:p>
    <w:p>
      <w:pPr>
        <w:spacing w:after="0" w:line="198" w:lineRule="exact"/>
        <w:rPr>
          <w:sz w:val="20"/>
          <w:szCs w:val="20"/>
          <w:color w:val="auto"/>
        </w:rPr>
      </w:pPr>
    </w:p>
    <w:p>
      <w:pPr>
        <w:jc w:val="center"/>
        <w:ind w:left="34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ARTICLE VI</w:t>
      </w:r>
      <w:r>
        <w:rPr>
          <w:sz w:val="20"/>
          <w:szCs w:val="20"/>
          <w:color w:val="auto"/>
        </w:rPr>
        <w:tab/>
      </w:r>
      <w:r>
        <w:rPr>
          <w:rFonts w:ascii="Times New Roman" w:cs="Times New Roman" w:eastAsia="Times New Roman" w:hAnsi="Times New Roman"/>
          <w:sz w:val="18"/>
          <w:szCs w:val="18"/>
          <w:b w:val="1"/>
          <w:bCs w:val="1"/>
          <w:u w:val="single" w:color="auto"/>
          <w:color w:val="auto"/>
        </w:rPr>
        <w:t>FINANCIAL COVENANTS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Borrower covenants and agrees that, so long as this Agreement is in effect and the Revolving Commitment remains outstanding:</w:t>
      </w:r>
    </w:p>
    <w:p>
      <w:pPr>
        <w:spacing w:after="0" w:line="248"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Section 6.1.</w:t>
      </w:r>
      <w:r>
        <w:rPr>
          <w:sz w:val="20"/>
          <w:szCs w:val="20"/>
          <w:color w:val="auto"/>
        </w:rPr>
        <w:tab/>
      </w:r>
      <w:r>
        <w:rPr>
          <w:rFonts w:ascii="Times New Roman" w:cs="Times New Roman" w:eastAsia="Times New Roman" w:hAnsi="Times New Roman"/>
          <w:sz w:val="18"/>
          <w:szCs w:val="18"/>
          <w:u w:val="single" w:color="auto"/>
          <w:color w:val="auto"/>
        </w:rPr>
        <w:t>Regulatory Capital.</w:t>
      </w:r>
    </w:p>
    <w:p>
      <w:pPr>
        <w:spacing w:after="0" w:line="256" w:lineRule="exact"/>
        <w:rPr>
          <w:sz w:val="20"/>
          <w:szCs w:val="20"/>
          <w:color w:val="auto"/>
        </w:rPr>
      </w:pPr>
    </w:p>
    <w:p>
      <w:pPr>
        <w:ind w:left="2000" w:hanging="695"/>
        <w:spacing w:after="0"/>
        <w:tabs>
          <w:tab w:leader="none" w:pos="2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at all times, be “well-capitalized” for all applicable state and federal regulatory purposes, and the Borrower:</w:t>
      </w:r>
    </w:p>
    <w:p>
      <w:pPr>
        <w:spacing w:after="0" w:line="252" w:lineRule="exact"/>
        <w:rPr>
          <w:rFonts w:ascii="Times New Roman" w:cs="Times New Roman" w:eastAsia="Times New Roman" w:hAnsi="Times New Roman"/>
          <w:sz w:val="18"/>
          <w:szCs w:val="18"/>
          <w:color w:val="auto"/>
        </w:rPr>
      </w:pPr>
    </w:p>
    <w:p>
      <w:pPr>
        <w:ind w:left="660" w:firstLine="1293"/>
        <w:spacing w:after="0" w:line="282" w:lineRule="auto"/>
        <w:tabs>
          <w:tab w:leader="none" w:pos="276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maintain (A) a Total Risk-based Capital Ratio of 10.50% or greater, (B) a Tier 1 Risk-based Common Capital Ratio of 8.50% or greater, (C) a Tier 1 Risk-based Capital Ratio of 8.50% or greater, and (D) a Tier 1 Leverage Ratio of 7.25% or greater;</w:t>
      </w:r>
    </w:p>
    <w:p>
      <w:pPr>
        <w:spacing w:after="0" w:line="188" w:lineRule="exact"/>
        <w:rPr>
          <w:rFonts w:ascii="Times New Roman" w:cs="Times New Roman" w:eastAsia="Times New Roman" w:hAnsi="Times New Roman"/>
          <w:sz w:val="18"/>
          <w:szCs w:val="18"/>
          <w:color w:val="auto"/>
        </w:rPr>
      </w:pPr>
    </w:p>
    <w:p>
      <w:pPr>
        <w:ind w:left="660" w:right="20" w:firstLine="1293"/>
        <w:spacing w:after="0" w:line="282" w:lineRule="auto"/>
        <w:tabs>
          <w:tab w:leader="none" w:pos="300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subject to any written agreement, order, capital directive or prompt corrective action directive by any Governmental Authority having regulatory authority over the Borrower; and</w:t>
      </w:r>
    </w:p>
    <w:p>
      <w:pPr>
        <w:spacing w:after="0" w:line="188" w:lineRule="exact"/>
        <w:rPr>
          <w:rFonts w:ascii="Times New Roman" w:cs="Times New Roman" w:eastAsia="Times New Roman" w:hAnsi="Times New Roman"/>
          <w:sz w:val="18"/>
          <w:szCs w:val="18"/>
          <w:color w:val="auto"/>
        </w:rPr>
      </w:pPr>
    </w:p>
    <w:p>
      <w:pPr>
        <w:jc w:val="both"/>
        <w:ind w:left="660" w:firstLine="1293"/>
        <w:spacing w:after="0" w:line="266" w:lineRule="auto"/>
        <w:tabs>
          <w:tab w:leader="none" w:pos="293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any Governmental Authority having regulatory authority over the Borrower in order to remain “well capitalized” and in compliance with all applicable regulatory requirements, will have such higher amounts of Total Risk-based Capital and Tier 1 Risk-based Capital and/or such greater Tier 1 Leverage Ratio as specified by such Governmental Authority.</w:t>
      </w:r>
    </w:p>
    <w:p>
      <w:pPr>
        <w:spacing w:after="0" w:line="203" w:lineRule="exact"/>
        <w:rPr>
          <w:rFonts w:ascii="Times New Roman" w:cs="Times New Roman" w:eastAsia="Times New Roman" w:hAnsi="Times New Roman"/>
          <w:sz w:val="18"/>
          <w:szCs w:val="18"/>
          <w:color w:val="auto"/>
        </w:rPr>
      </w:pPr>
    </w:p>
    <w:p>
      <w:pPr>
        <w:ind w:firstLine="1305"/>
        <w:spacing w:after="0" w:line="282" w:lineRule="auto"/>
        <w:tabs>
          <w:tab w:leader="none" w:pos="209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Financial Institution Subsidiary of the Borrower will, at all times, be “well capitalized” for all applicable state and federal regulatory purposes, and such Financial Institution Subsidiary:</w:t>
      </w:r>
    </w:p>
    <w:p>
      <w:pPr>
        <w:spacing w:after="0" w:line="188" w:lineRule="exact"/>
        <w:rPr>
          <w:rFonts w:ascii="Times New Roman" w:cs="Times New Roman" w:eastAsia="Times New Roman" w:hAnsi="Times New Roman"/>
          <w:sz w:val="18"/>
          <w:szCs w:val="18"/>
          <w:color w:val="auto"/>
        </w:rPr>
      </w:pPr>
    </w:p>
    <w:p>
      <w:pPr>
        <w:ind w:left="660" w:firstLine="1293"/>
        <w:spacing w:after="0" w:line="282" w:lineRule="auto"/>
        <w:tabs>
          <w:tab w:leader="none" w:pos="276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maintain (A) a Total Risk-based Capital Ratio of 10.50% or greater, (B) a Tier 1 Risk-based Common Capital Ratio of 8.50% or greater, (C) a Tier 1 Risk-based Capital Ratio of 8.50% or greater, and (D) a Tier 1 Leverage Ratio of 7.25% or greater;</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73" w:name="page174"/>
    <w:bookmarkEnd w:id="173"/>
    <w:p>
      <w:pPr>
        <w:ind w:left="660" w:right="20" w:firstLine="1293"/>
        <w:spacing w:after="0" w:line="282" w:lineRule="auto"/>
        <w:tabs>
          <w:tab w:leader="none" w:pos="300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subject to any written agreement, order, capital directive or prompt corrective action directive by any Governmental Authority having regulatory authority over such Financial Institution Subsidiary; and</w:t>
      </w:r>
    </w:p>
    <w:p>
      <w:pPr>
        <w:spacing w:after="0" w:line="188" w:lineRule="exact"/>
        <w:rPr>
          <w:rFonts w:ascii="Times New Roman" w:cs="Times New Roman" w:eastAsia="Times New Roman" w:hAnsi="Times New Roman"/>
          <w:sz w:val="18"/>
          <w:szCs w:val="18"/>
          <w:color w:val="auto"/>
        </w:rPr>
      </w:pPr>
    </w:p>
    <w:p>
      <w:pPr>
        <w:jc w:val="both"/>
        <w:ind w:left="660" w:firstLine="1293"/>
        <w:spacing w:after="0" w:line="266" w:lineRule="auto"/>
        <w:tabs>
          <w:tab w:leader="none" w:pos="290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any Governmental Authority having regulatory authority over such Financial Institution Subsidiary in order to remain “well capitalized” and in compliance with all applicable regulatory requirements, will have such higher amounts of Total Risk-based Capital and Tier 1 Risk-based Capital and/or such greater Tier 1 Leverage Ratio as specified by such Governmental Authority.</w:t>
      </w:r>
    </w:p>
    <w:p>
      <w:pPr>
        <w:spacing w:after="0" w:line="201" w:lineRule="exact"/>
        <w:rPr>
          <w:rFonts w:ascii="Times New Roman" w:cs="Times New Roman" w:eastAsia="Times New Roman" w:hAnsi="Times New Roman"/>
          <w:sz w:val="18"/>
          <w:szCs w:val="18"/>
          <w:color w:val="auto"/>
        </w:rPr>
      </w:pPr>
    </w:p>
    <w:p>
      <w:pPr>
        <w:jc w:val="both"/>
        <w:ind w:firstLine="1305"/>
        <w:spacing w:after="0" w:line="256" w:lineRule="auto"/>
        <w:tabs>
          <w:tab w:leader="none" w:pos="208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at any time any such Governmental Authority changes the definition of “</w:t>
      </w:r>
      <w:r>
        <w:rPr>
          <w:rFonts w:ascii="Times New Roman" w:cs="Times New Roman" w:eastAsia="Times New Roman" w:hAnsi="Times New Roman"/>
          <w:sz w:val="18"/>
          <w:szCs w:val="18"/>
          <w:i w:val="1"/>
          <w:iCs w:val="1"/>
          <w:color w:val="auto"/>
        </w:rPr>
        <w:t>well capitalized</w:t>
      </w:r>
      <w:r>
        <w:rPr>
          <w:rFonts w:ascii="Times New Roman" w:cs="Times New Roman" w:eastAsia="Times New Roman" w:hAnsi="Times New Roman"/>
          <w:sz w:val="18"/>
          <w:szCs w:val="18"/>
          <w:color w:val="auto"/>
        </w:rPr>
        <w:t>”, as applicable to the Borrower or any Financial Institution Subsidiary of the Borrower, either by amending such ratios, standards or otherwise, in each case, in a manner more onerous or restrictive to the Borrower or such Financial Institution Subsidiary than the capital and other ratios required to be maintained pursuant to paragraphs (a) and (b) above, such amended definition, and any such amended or new ratios or new standards, shall automatically, and in lieu of the existing definitions and ratios set forth in this Section, be incorporated by reference into this Agreement as the minimum standard for the Borrower or any Financial Institution Subsidiary, as the case may be, on and as of the date that any such amendment becomes effective by applicable statute, regulation, order or otherwise.</w:t>
      </w:r>
    </w:p>
    <w:p>
      <w:pPr>
        <w:spacing w:after="0" w:line="208" w:lineRule="exact"/>
        <w:rPr>
          <w:sz w:val="20"/>
          <w:szCs w:val="20"/>
          <w:color w:val="auto"/>
        </w:rPr>
      </w:pPr>
    </w:p>
    <w:p>
      <w:pPr>
        <w:jc w:val="center"/>
        <w:ind w:left="340"/>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ARTICLE VII</w:t>
      </w:r>
      <w:r>
        <w:rPr>
          <w:sz w:val="20"/>
          <w:szCs w:val="20"/>
          <w:color w:val="auto"/>
        </w:rPr>
        <w:tab/>
      </w:r>
      <w:r>
        <w:rPr>
          <w:rFonts w:ascii="Times New Roman" w:cs="Times New Roman" w:eastAsia="Times New Roman" w:hAnsi="Times New Roman"/>
          <w:sz w:val="17"/>
          <w:szCs w:val="17"/>
          <w:b w:val="1"/>
          <w:bCs w:val="1"/>
          <w:u w:val="single" w:color="auto"/>
          <w:color w:val="auto"/>
        </w:rPr>
        <w:t>NEGATIVE COVENANTS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Borrower covenants and agrees that, so long as this Agreement is in effect and the Revolving Commitment remains outstanding:</w:t>
      </w:r>
    </w:p>
    <w:p>
      <w:pPr>
        <w:spacing w:after="0" w:line="248" w:lineRule="exact"/>
        <w:rPr>
          <w:sz w:val="20"/>
          <w:szCs w:val="20"/>
          <w:color w:val="auto"/>
        </w:rPr>
      </w:pPr>
    </w:p>
    <w:p>
      <w:pPr>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Borrower will not, and will not permit any of its Subsidiaries to, create, incur, assume or suffer to exist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Indebtedness, except:</w:t>
      </w:r>
    </w:p>
    <w:p>
      <w:pPr>
        <w:spacing w:after="0" w:line="186" w:lineRule="exact"/>
        <w:rPr>
          <w:sz w:val="20"/>
          <w:szCs w:val="20"/>
          <w:color w:val="auto"/>
        </w:rPr>
      </w:pPr>
    </w:p>
    <w:p>
      <w:pPr>
        <w:ind w:left="2040" w:hanging="735"/>
        <w:spacing w:after="0"/>
        <w:tabs>
          <w:tab w:leader="none" w:pos="2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created pursuant to the Loan Documents;</w:t>
      </w:r>
    </w:p>
    <w:p>
      <w:pPr>
        <w:spacing w:after="0" w:line="252" w:lineRule="exact"/>
        <w:rPr>
          <w:rFonts w:ascii="Times New Roman" w:cs="Times New Roman" w:eastAsia="Times New Roman" w:hAnsi="Times New Roman"/>
          <w:sz w:val="18"/>
          <w:szCs w:val="18"/>
          <w:color w:val="auto"/>
        </w:rPr>
      </w:pPr>
    </w:p>
    <w:p>
      <w:pPr>
        <w:jc w:val="both"/>
        <w:ind w:firstLine="1305"/>
        <w:spacing w:after="0" w:line="266" w:lineRule="auto"/>
        <w:tabs>
          <w:tab w:leader="none" w:pos="216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date hereof and set forth on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and extensions, renewals and replacements of any such Indebtedness that do not increase the outstanding principal amount thereof (immediately prior to giving effect to such extension, renewal or replacement) or shorten the maturity or the weighted average life thereof to a date that is less than 180 days after the Maturity Date;</w:t>
      </w:r>
    </w:p>
    <w:p>
      <w:pPr>
        <w:spacing w:after="0" w:line="203" w:lineRule="exact"/>
        <w:rPr>
          <w:rFonts w:ascii="Times New Roman" w:cs="Times New Roman" w:eastAsia="Times New Roman" w:hAnsi="Times New Roman"/>
          <w:sz w:val="18"/>
          <w:szCs w:val="18"/>
          <w:color w:val="auto"/>
        </w:rPr>
      </w:pPr>
    </w:p>
    <w:p>
      <w:pPr>
        <w:ind w:left="2040" w:hanging="735"/>
        <w:spacing w:after="0"/>
        <w:tabs>
          <w:tab w:leader="none" w:pos="2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Financial Institution Subsidiary Indebtedness;</w:t>
      </w:r>
    </w:p>
    <w:p>
      <w:pPr>
        <w:spacing w:after="0" w:line="252" w:lineRule="exact"/>
        <w:rPr>
          <w:rFonts w:ascii="Times New Roman" w:cs="Times New Roman" w:eastAsia="Times New Roman" w:hAnsi="Times New Roman"/>
          <w:sz w:val="18"/>
          <w:szCs w:val="18"/>
          <w:color w:val="auto"/>
        </w:rPr>
      </w:pPr>
    </w:p>
    <w:p>
      <w:pPr>
        <w:jc w:val="both"/>
        <w:ind w:firstLine="1305"/>
        <w:spacing w:after="0" w:line="266" w:lineRule="auto"/>
        <w:tabs>
          <w:tab w:leader="none" w:pos="209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owed by the Borrower or any “affiliate” of the Borrower (as defined in Regulation W of the FRB and sections 23A and 23B of the Federal Reserve Act) to any Financial Institution Subsidiary not in violation of Regulation W of the FRB (as amended, supplemented or otherwise modified) or (ii) Indebtedness owed by any Subsidiary to the Borrower;</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74" w:name="page175"/>
    <w:bookmarkEnd w:id="174"/>
    <w:p>
      <w:pPr>
        <w:ind w:firstLine="1305"/>
        <w:spacing w:after="0" w:line="282" w:lineRule="auto"/>
        <w:tabs>
          <w:tab w:leader="none" w:pos="234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indebtedness and Capitalized Lease Obligations secured by Liens permitted under this Agreement in an aggregate amount outstanding at any time not to exceed $5,000,000;</w:t>
      </w:r>
    </w:p>
    <w:p>
      <w:pPr>
        <w:spacing w:after="0" w:line="188"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Hedging Obligations in respect of Hedging Transactions permitted by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and</w:t>
      </w:r>
    </w:p>
    <w:p>
      <w:pPr>
        <w:spacing w:after="0" w:line="250" w:lineRule="exact"/>
        <w:rPr>
          <w:rFonts w:ascii="Times New Roman" w:cs="Times New Roman" w:eastAsia="Times New Roman" w:hAnsi="Times New Roman"/>
          <w:sz w:val="18"/>
          <w:szCs w:val="18"/>
          <w:color w:val="auto"/>
        </w:rPr>
      </w:pPr>
    </w:p>
    <w:p>
      <w:pPr>
        <w:ind w:firstLine="1305"/>
        <w:spacing w:after="0" w:line="284" w:lineRule="auto"/>
        <w:tabs>
          <w:tab w:leader="none" w:pos="223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unsecured Indebtedness, so long as, before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incurrence of such Indebtedness, the Borrower and each Financial Institution Subsidiary shall be in compliance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w:t>
      </w:r>
    </w:p>
    <w:p>
      <w:pPr>
        <w:spacing w:after="0" w:line="183"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u w:val="single" w:color="auto"/>
          <w:color w:val="auto"/>
        </w:rPr>
        <w:t>Negative Pledge</w:t>
      </w:r>
      <w:r>
        <w:rPr>
          <w:rFonts w:ascii="Times New Roman" w:cs="Times New Roman" w:eastAsia="Times New Roman" w:hAnsi="Times New Roman"/>
          <w:sz w:val="18"/>
          <w:szCs w:val="18"/>
          <w:color w:val="auto"/>
        </w:rPr>
        <w:t>. The Borrower will not, and will not permit any of its Subsidiaries to, create, incur, assume or suffer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 any Lien on any of its assets or property now owned or hereafter acquired (including, without limitation, in the case of the Borrower, the Capital Stock of any Financial Institution Subsidiary including United Community Bank) except:</w:t>
      </w:r>
    </w:p>
    <w:p>
      <w:pPr>
        <w:spacing w:after="0" w:line="202" w:lineRule="exact"/>
        <w:rPr>
          <w:sz w:val="20"/>
          <w:szCs w:val="20"/>
          <w:color w:val="auto"/>
        </w:rPr>
      </w:pPr>
    </w:p>
    <w:p>
      <w:pPr>
        <w:ind w:left="2000" w:hanging="695"/>
        <w:spacing w:after="0"/>
        <w:tabs>
          <w:tab w:leader="none" w:pos="20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(if any) created in favor of the Lender;</w:t>
      </w:r>
    </w:p>
    <w:p>
      <w:pPr>
        <w:spacing w:after="0" w:line="252"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52"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securing Permitted Financial Institution Subsidiary Indebtedness;</w:t>
      </w:r>
    </w:p>
    <w:p>
      <w:pPr>
        <w:spacing w:after="0" w:line="252" w:lineRule="exact"/>
        <w:rPr>
          <w:rFonts w:ascii="Times New Roman" w:cs="Times New Roman" w:eastAsia="Times New Roman" w:hAnsi="Times New Roman"/>
          <w:sz w:val="18"/>
          <w:szCs w:val="18"/>
          <w:color w:val="auto"/>
        </w:rPr>
      </w:pPr>
    </w:p>
    <w:p>
      <w:pPr>
        <w:jc w:val="both"/>
        <w:ind w:firstLine="1305"/>
        <w:spacing w:after="0" w:line="261" w:lineRule="auto"/>
        <w:tabs>
          <w:tab w:leader="none" w:pos="2135"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the Borrower or any of its Subsidiaries created solely for the purpose of securing Indebtedness expressly permitted by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representing or incurred to finance, refinance or refund the purchase price of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Lien shall extend to or encumber other property of the Borrower or such Subsidiary other than the respective property so acquired, and the principal amount of Indebtedness secured thereby shall at no time exceed the original purchase price of such property;</w:t>
      </w:r>
    </w:p>
    <w:p>
      <w:pPr>
        <w:spacing w:after="0" w:line="207" w:lineRule="exact"/>
        <w:rPr>
          <w:rFonts w:ascii="Times New Roman" w:cs="Times New Roman" w:eastAsia="Times New Roman" w:hAnsi="Times New Roman"/>
          <w:sz w:val="18"/>
          <w:szCs w:val="18"/>
          <w:color w:val="auto"/>
        </w:rPr>
      </w:pPr>
    </w:p>
    <w:p>
      <w:pPr>
        <w:ind w:firstLine="1305"/>
        <w:spacing w:after="0" w:line="282" w:lineRule="auto"/>
        <w:tabs>
          <w:tab w:leader="none" w:pos="202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the filing of precautionary UCC financing statements relating solely to operating leases of personal property entered into in the ordinary course of business;</w:t>
      </w:r>
    </w:p>
    <w:p>
      <w:pPr>
        <w:spacing w:after="0" w:line="188" w:lineRule="exact"/>
        <w:rPr>
          <w:rFonts w:ascii="Times New Roman" w:cs="Times New Roman" w:eastAsia="Times New Roman" w:hAnsi="Times New Roman"/>
          <w:sz w:val="18"/>
          <w:szCs w:val="18"/>
          <w:color w:val="auto"/>
        </w:rPr>
      </w:pPr>
    </w:p>
    <w:p>
      <w:pPr>
        <w:jc w:val="both"/>
        <w:ind w:firstLine="1305"/>
        <w:spacing w:after="0" w:line="256" w:lineRule="auto"/>
        <w:tabs>
          <w:tab w:leader="none" w:pos="212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Liens existing on any property or asset of any Person prior to the acquisition thereof by the Borrower or any Subsidiary or existing on any property or asset of any Person that becomes a Subsidiary after the date hereof prior to the time such Person becomes a Subsidiary, in each case, in connection with an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(ii) such Lien shall not apply to any other property or assets of the Borrower or any Subsidiary and (iii) such Lien shall secure only those obligations which it secures on the date of such Acquisition and extensions, renewals and replacements (including any replacement incurred in respect thereof at the time of assumption thereof) thereof that do not increase the outstanding principal amount thereof;</w:t>
      </w:r>
    </w:p>
    <w:p>
      <w:pPr>
        <w:spacing w:after="0" w:line="214" w:lineRule="exact"/>
        <w:rPr>
          <w:rFonts w:ascii="Times New Roman" w:cs="Times New Roman" w:eastAsia="Times New Roman" w:hAnsi="Times New Roman"/>
          <w:sz w:val="18"/>
          <w:szCs w:val="18"/>
          <w:color w:val="auto"/>
        </w:rPr>
      </w:pPr>
    </w:p>
    <w:p>
      <w:pPr>
        <w:jc w:val="both"/>
        <w:ind w:firstLine="1305"/>
        <w:spacing w:after="0" w:line="257" w:lineRule="auto"/>
        <w:tabs>
          <w:tab w:leader="none" w:pos="205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extensions, renewals, or replacements of any Lien referred to in paragraphs (a), (b), (c), (d), (e) and (f)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of the Indebtedness secured thereby is not increased in any manner that would exceed the amounts permitted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that any such extension, renewal or replacement Lien is limited to the assets originally encumbered thereby or is otherwise permitted by paragraphs (a), (b), (c),</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and (f); and</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75" w:name="page176"/>
    <w:bookmarkEnd w:id="175"/>
    <w:p>
      <w:pPr>
        <w:ind w:left="2000" w:hanging="695"/>
        <w:spacing w:after="0"/>
        <w:tabs>
          <w:tab w:leader="none" w:pos="2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an aggregate amount of up to $5,000,000 at any time outstanding.</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anything herein or otherwise to the contrary, the Borrower shall not grant any Lien, or otherwise permit any Lien to exist, on the Capital Stock of any Financial Institution Subsidiary (other than Liens, if any, in favor of the Lender).</w:t>
      </w:r>
    </w:p>
    <w:p>
      <w:pPr>
        <w:spacing w:after="0" w:line="185"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Section 7.3.</w:t>
      </w:r>
      <w:r>
        <w:rPr>
          <w:sz w:val="20"/>
          <w:szCs w:val="20"/>
          <w:color w:val="auto"/>
        </w:rPr>
        <w:tab/>
      </w:r>
      <w:r>
        <w:rPr>
          <w:rFonts w:ascii="Times New Roman" w:cs="Times New Roman" w:eastAsia="Times New Roman" w:hAnsi="Times New Roman"/>
          <w:sz w:val="18"/>
          <w:szCs w:val="18"/>
          <w:u w:val="single" w:color="auto"/>
          <w:color w:val="auto"/>
        </w:rPr>
        <w:t>Fundamental Changes.</w:t>
      </w:r>
    </w:p>
    <w:p>
      <w:pPr>
        <w:spacing w:after="0" w:line="256" w:lineRule="exact"/>
        <w:rPr>
          <w:sz w:val="20"/>
          <w:szCs w:val="20"/>
          <w:color w:val="auto"/>
        </w:rPr>
      </w:pPr>
    </w:p>
    <w:p>
      <w:pPr>
        <w:jc w:val="both"/>
        <w:ind w:firstLine="1305"/>
        <w:spacing w:after="0" w:line="253" w:lineRule="auto"/>
        <w:tabs>
          <w:tab w:leader="none" w:pos="207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not, and will not permit any Subsidiary to, (i) merge into or consolidate into any other Person, or permit any other Person to merge into or consolidate with it, or (ii) sell, lease, transfer or otherwise dispose of (in a single transaction or a series of transactions) all or a material portion of its assets or all or substantially all of the stock of any of its Subsidiaries or (iii) liquidate or dissolve;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at the time thereof and immediately after giving effect thereto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no Default or Event of Default shall have occurred, (A) (i) the Borrower may merge with a Person in connection with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the surviving Person, or (ii) any Subsidiary may merge with a Person in connection with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Subsidiary shall be the surviving Person (if two Subsidiaries are party to such merger, one of those Subsidiaries shall be the surviving Person), (B) any Subsidiary may sell, lease, transfer or dispose of its assets (including, without limitation, the stock of any other Subsidiary) to the Borrower or another Subsidiary, (C) the Borrower or any Financial Institution Subsidiary may sell loans, investments, or other similar assets in the ordinary course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sale or series of sales do not constitute a sale of all or a material portion of such Financial Institution Subsidiary’s assets, and (D) the Borrower and any Subsidiary may sell any Other Real Estate Owned;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clauses (C) and (D) hereof, both before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transaction (calculated, in the case of loans, by the unpaid principal balance thereof, and, in the case of Other Real Estate Owned or other assets, the greater of (x) the fair market value thereof or (y) the purchase price thereof), the Borrower and each Financial Institution Subsidiary of the Borrower shall be in compliance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w:t>
      </w:r>
    </w:p>
    <w:p>
      <w:pPr>
        <w:spacing w:after="0" w:line="215" w:lineRule="exact"/>
        <w:rPr>
          <w:rFonts w:ascii="Times New Roman" w:cs="Times New Roman" w:eastAsia="Times New Roman" w:hAnsi="Times New Roman"/>
          <w:sz w:val="18"/>
          <w:szCs w:val="18"/>
          <w:color w:val="auto"/>
        </w:rPr>
      </w:pPr>
    </w:p>
    <w:p>
      <w:pPr>
        <w:ind w:firstLine="1305"/>
        <w:spacing w:after="0" w:line="282" w:lineRule="auto"/>
        <w:tabs>
          <w:tab w:leader="none" w:pos="207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dispose of any Capital Stock in any of its Financial Institution Subsidiaries, whether by sale, assignment, lease or otherwise, without the prior written consent of the Lender.</w:t>
      </w:r>
    </w:p>
    <w:p>
      <w:pPr>
        <w:spacing w:after="0" w:line="188" w:lineRule="exact"/>
        <w:rPr>
          <w:rFonts w:ascii="Times New Roman" w:cs="Times New Roman" w:eastAsia="Times New Roman" w:hAnsi="Times New Roman"/>
          <w:sz w:val="18"/>
          <w:szCs w:val="18"/>
          <w:color w:val="auto"/>
        </w:rPr>
      </w:pPr>
    </w:p>
    <w:p>
      <w:pPr>
        <w:jc w:val="both"/>
        <w:ind w:firstLine="1305"/>
        <w:spacing w:after="0" w:line="261" w:lineRule="auto"/>
        <w:tabs>
          <w:tab w:leader="none" w:pos="211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of its Subsidiaries to, engage to any material extent in any business other than businesses of the type conducted by the Borrower and its Subsidiaries on the date hereof and businesses reasonably related or incidental thereto or reasonable extensions thereof and any types of businesses that are expressly permitted by any Governmental Authority having jurisdiction over the Borrower and/or any Financial Institutions Subsidiary.</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76" w:name="page177"/>
    <w:bookmarkEnd w:id="176"/>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The Borrower will not, and will not permit its Subsidiaries to, declare or make, or agree to pay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directly or indirectly, any dividend on any class of its stock, or make any payment on account of, or set apart assets for a sinking or other analogous fund for, the purchase, redemption, retirement, defeasance, prepayment or other acquisition of, (a) any shares of Capital Stock or (b) Indebtedness subordinated to the Obligations of the Borrower or (c) any options, warrants, or other rights to purchase such Capital Stock or such Indebtedness, whether now or hereafter outstanding (each a “</w:t>
      </w:r>
      <w:r>
        <w:rPr>
          <w:rFonts w:ascii="Times New Roman" w:cs="Times New Roman" w:eastAsia="Times New Roman" w:hAnsi="Times New Roman"/>
          <w:sz w:val="18"/>
          <w:szCs w:val="18"/>
          <w:b w:val="1"/>
          <w:bCs w:val="1"/>
          <w:i w:val="1"/>
          <w:iCs w:val="1"/>
          <w:color w:val="auto"/>
        </w:rPr>
        <w:t>Restricted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any Subsidiary may make Restricted Payments to the Borrower or another Subsidiary at any time, (ii) the Borrower may pay dividends or distributions payable solely in shares of any class of its common stock, (iii) the Borrower may redeem a portion of its Fixed Rate Perpetual Preferred Stock on or about the Closing Date as contemplated by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and (iv) the Borrower and its Subsidiaries may make and agree to make Restricted Payments so long as (A) at the time of the making of such Restricted Payment, no Default or Event of Default then exists and is continuing; and (B) the Borrower is, both before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Restricted Payment, in compliance with the covenants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The Borrower will not, and will not permit any of its Subsidiaries to, directly or indirectly,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into, incur or permit to exist any agreement that prohibits, restricts or imposes any condition upon the ability of the Borrower or any Subsidiary to (a) create, incur or permit any Lien upon any of its assets or properties, whether now owned or hereafter acquired, or (b) pay dividends or make any other distributions on any of such Subsidiary’s Capital Stock owned by the Borrower or any other Subsidiary of the Borrower, repay or prepay any Indebtedness owed by such Subsidiary to the Borrower or any other Subsidiary of the Borrower, make loans or advances to the Borrower or any other Subsidiary of the Borrower, guarantee Indebtedness of the Borrower or any other Subsidiary or transfer, lease or license any of its property or assets to the Borrower or any Subsidiary of the Borrower including, but not limited to, any such restriction referenced in </w:t>
      </w:r>
      <w:r>
        <w:rPr>
          <w:rFonts w:ascii="Times New Roman" w:cs="Times New Roman" w:eastAsia="Times New Roman" w:hAnsi="Times New Roman"/>
          <w:sz w:val="18"/>
          <w:szCs w:val="18"/>
          <w:u w:val="single" w:color="auto"/>
          <w:color w:val="auto"/>
        </w:rPr>
        <w:t>Section 4.13(a)</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prohibit:</w:t>
      </w:r>
    </w:p>
    <w:p>
      <w:pPr>
        <w:spacing w:after="0" w:line="1" w:lineRule="exact"/>
        <w:rPr>
          <w:sz w:val="20"/>
          <w:szCs w:val="20"/>
          <w:color w:val="auto"/>
        </w:rPr>
      </w:pPr>
    </w:p>
    <w:p>
      <w:pPr>
        <w:jc w:val="both"/>
        <w:ind w:firstLine="8"/>
        <w:spacing w:after="0" w:line="251" w:lineRule="auto"/>
        <w:tabs>
          <w:tab w:leader="none" w:pos="23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limitations on the disposition or distribution of assets or property in joint venture agreements, asset sale agreements, options, sale-leaseback agreements, stock sale agreements, lease agreements, licenses and other similar agreements, which limitation is applicable only to the assets that are the subject of such agreements, (ii) restrictions in agreements evidencing purchase money Indebtedness permitted by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that impose restrictions on the property so acquired, (iii) restrictions in any agreement or instrument evidencing Indebtedness permitted by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as in effect on the date hereof and permitted refinancing thereof, (iv) any agreement in effect at the time a new Subsidiary becomes a Subsidiary of the Borrower, so long as such agreement was not entered into in contemplation of such Person becoming a Subsidiary of the Borrower, (v) customary non-assignment provisions in contracts and licenses entered into the ordinary course of business, (vi) restrictions imposed by law or by Governmental Authorities having supervisory authority over the Borrower or any Subsidiary, (vii) restrictions or conditions imposed by law or by this Agreement or any other Loan Document, (viii) customary restrictions and conditions contained in agreements relating to the sale of a Subsidiary pending such sale, provided such restrictions and conditions apply only to the Subsidiary that is sold and such sale is permitted hereunder, and (ix) as permitted by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77" w:name="page178"/>
    <w:bookmarkEnd w:id="177"/>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u w:val="single" w:color="auto"/>
          <w:color w:val="auto"/>
        </w:rPr>
        <w:t>Investments, Etc</w:t>
      </w:r>
      <w:r>
        <w:rPr>
          <w:rFonts w:ascii="Times New Roman" w:cs="Times New Roman" w:eastAsia="Times New Roman" w:hAnsi="Times New Roman"/>
          <w:sz w:val="18"/>
          <w:szCs w:val="18"/>
          <w:color w:val="auto"/>
        </w:rPr>
        <w:t>. The Borrower will not, and will not permit any of its Subsidiaries to, purchase, hold or acquire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any merger with any Person that was not a wholly-owned Subsidiary prior to such merger), any Capital Stock,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all or substantially all of the assets of a Person, or of any business or division of any Person (all of the foregoing being collectively called “</w:t>
      </w:r>
      <w:r>
        <w:rPr>
          <w:rFonts w:ascii="Times New Roman" w:cs="Times New Roman" w:eastAsia="Times New Roman" w:hAnsi="Times New Roman"/>
          <w:sz w:val="18"/>
          <w:szCs w:val="18"/>
          <w:b w:val="1"/>
          <w:bCs w:val="1"/>
          <w:i w:val="1"/>
          <w:iCs w:val="1"/>
          <w:color w:val="auto"/>
        </w:rPr>
        <w:t>Investments</w:t>
      </w:r>
      <w:r>
        <w:rPr>
          <w:rFonts w:ascii="Times New Roman" w:cs="Times New Roman" w:eastAsia="Times New Roman" w:hAnsi="Times New Roman"/>
          <w:sz w:val="18"/>
          <w:szCs w:val="18"/>
          <w:color w:val="auto"/>
        </w:rPr>
        <w:t>”), except:</w:t>
      </w:r>
    </w:p>
    <w:p>
      <w:pPr>
        <w:spacing w:after="0" w:line="214" w:lineRule="exact"/>
        <w:rPr>
          <w:sz w:val="20"/>
          <w:szCs w:val="20"/>
          <w:color w:val="auto"/>
        </w:rPr>
      </w:pPr>
    </w:p>
    <w:p>
      <w:pPr>
        <w:ind w:left="2000" w:hanging="695"/>
        <w:spacing w:after="0"/>
        <w:tabs>
          <w:tab w:leader="none" w:pos="2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date hereof (including Investments in Subsidiaries) and set forth on </w:t>
      </w:r>
      <w:r>
        <w:rPr>
          <w:rFonts w:ascii="Times New Roman" w:cs="Times New Roman" w:eastAsia="Times New Roman" w:hAnsi="Times New Roman"/>
          <w:sz w:val="18"/>
          <w:szCs w:val="18"/>
          <w:u w:val="single" w:color="auto"/>
          <w:color w:val="auto"/>
        </w:rPr>
        <w:t>Schedule 7.6</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2060" w:hanging="755"/>
        <w:spacing w:after="0"/>
        <w:tabs>
          <w:tab w:leader="none" w:pos="20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purchased or held by any Subsidiary in connection with its asset management or other operations in ordinary course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w:t>
      </w:r>
    </w:p>
    <w:p>
      <w:pPr>
        <w:spacing w:after="0" w:line="234" w:lineRule="exact"/>
        <w:rPr>
          <w:sz w:val="20"/>
          <w:szCs w:val="20"/>
          <w:color w:val="auto"/>
        </w:rPr>
      </w:pPr>
    </w:p>
    <w:p>
      <w:pPr>
        <w:ind w:left="2200" w:hanging="895"/>
        <w:spacing w:after="0"/>
        <w:tabs>
          <w:tab w:leader="none" w:pos="22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by the Borrower in or to any Subsidiary and by any Subsidiary in or to the Borrower or in or to another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234" w:lineRule="exact"/>
        <w:rPr>
          <w:sz w:val="20"/>
          <w:szCs w:val="20"/>
          <w:color w:val="auto"/>
        </w:rPr>
      </w:pPr>
    </w:p>
    <w:p>
      <w:pPr>
        <w:ind w:left="2000" w:hanging="695"/>
        <w:spacing w:after="0"/>
        <w:tabs>
          <w:tab w:leader="none" w:pos="2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52"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received in consideration for Asset Sales in a form other than Cash to the extent expressly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Hedging Obligations permitted by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firstLine="1305"/>
        <w:spacing w:after="0" w:line="266" w:lineRule="auto"/>
        <w:tabs>
          <w:tab w:leader="none" w:pos="211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the bankruptcy or reorganization of any Person and in settlement of obligations of, or disputes with, any Person arising in the ordinary course of business and upon foreclosure with respect to any secured investment or other transfer of title with respect to any secured investment;</w:t>
      </w:r>
    </w:p>
    <w:p>
      <w:pPr>
        <w:spacing w:after="0" w:line="203"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of the Borrower of any Indebtedness expressly permitted under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Permitted Financial Institution Subsidiary Indebtedness; and</w:t>
      </w:r>
    </w:p>
    <w:p>
      <w:pPr>
        <w:spacing w:after="0" w:line="252" w:lineRule="exact"/>
        <w:rPr>
          <w:rFonts w:ascii="Times New Roman" w:cs="Times New Roman" w:eastAsia="Times New Roman" w:hAnsi="Times New Roman"/>
          <w:sz w:val="18"/>
          <w:szCs w:val="18"/>
          <w:color w:val="auto"/>
        </w:rPr>
      </w:pPr>
    </w:p>
    <w:p>
      <w:pPr>
        <w:jc w:val="both"/>
        <w:ind w:firstLine="1305"/>
        <w:spacing w:after="0" w:line="266" w:lineRule="auto"/>
        <w:tabs>
          <w:tab w:leader="none" w:pos="199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(other than Acquisitions) in an aggregate amount at any time outstanding not to exceed $10,000,000 so long as (A) at the time of the making of such Investment, no Default or Event of Default then exists, and (B) the Borrower is, both before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Investment, in compliance with the covenants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Borrower will not, and will not permit any of its Subsidiaries to, sell, lease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any property or assets to, or purchase, lease or otherwise acquire any property or assets from, or otherwise engage in any other transactions with, any of its Affiliates, except (a) in the ordinary course of business at prices and on terms and conditions not less favorable to the Borrower or such Subsidiary than could be obtained on an arm’s-length basis from unrelated third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transaction involves an amount in excess of $2,500,000, a majority of the disinterested directors on the Board of Directors of the Borrower or such Subsidiary shall have approved such transaction as evidenced by a resolution of the Board of Directors of the Borrower or such Subsidiary, (b) transactions between or among the Borrower and any Subsidiary not involving any other Affiliates, and (c) any Restricted Payment expressly permitted by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or Investment expressly permitted by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78" w:name="page179"/>
    <w:bookmarkEnd w:id="178"/>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7.8. </w:t>
      </w: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color w:val="auto"/>
        </w:rPr>
        <w:t>. The Borrower will not, and will not permit any of the Subsidiaries to, enter into any Hedging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other than (i) Hedging Transactions entered into in the ordinary course of business to hedge or mitigate risks to which the Borrower or any Subsidiary is exposed in the conduct of its business or the management of its liabilities and (ii) Hedging Transactions consisting of Permitted Financial Institution Subsidiary Indebtedness. Solely for the avoidance of doubt, the Borrower acknowledges that a Hedging Transaction entered into for speculative purposes or of a speculative nature (which shall be deemed to include any Hedging Transaction under which the Borrower or any of the Subsidiaries is or may become obliged to make any payment (i) in connection with the purchase by any third party of any Capital Stock or any Indebtedness or (ii) as a result of changes in the market value of any Capital Stock or any Indebtedness) is not a Hedging Transaction entered into in the ordinary course of business to hedge or mitigate risks.</w:t>
      </w:r>
    </w:p>
    <w:p>
      <w:pPr>
        <w:spacing w:after="0" w:line="212"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u w:val="single" w:color="auto"/>
          <w:color w:val="auto"/>
        </w:rPr>
        <w:t>Amendment to Material Documents</w:t>
      </w:r>
      <w:r>
        <w:rPr>
          <w:rFonts w:ascii="Times New Roman" w:cs="Times New Roman" w:eastAsia="Times New Roman" w:hAnsi="Times New Roman"/>
          <w:sz w:val="18"/>
          <w:szCs w:val="18"/>
          <w:color w:val="auto"/>
        </w:rPr>
        <w:t>. The Borrower will not, and will not permit any of its Subsidiaries to, amend, modify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waive any of its rights in any manner that is adverse to the interests of the Lender or the Borrower or any of its Subsidiaries under such party’s certificate of incorporation, bylaws or other organizational documents.</w:t>
      </w:r>
    </w:p>
    <w:p>
      <w:pPr>
        <w:spacing w:after="0" w:line="198"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7.10. </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The Borrower will not, and will not permit any of its Subsidiaries to, enter into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directly or indirectly, whereby it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w:t>
      </w:r>
    </w:p>
    <w:p>
      <w:pPr>
        <w:spacing w:after="0" w:line="204"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7.11.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The Borrower will not, and will not permit any of its Subsidiaries to, make any significant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treatment or reporting practices, except as required by GAAP, or change the fiscal year of the Borrower or any Subsidiary of the Borrower, except to change the fiscal year of a Subsidiary of the Borrower to conform its fiscal year to that of the Borrower.</w:t>
      </w:r>
    </w:p>
    <w:p>
      <w:pPr>
        <w:spacing w:after="0" w:line="198"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7.12. </w:t>
      </w:r>
      <w:r>
        <w:rPr>
          <w:rFonts w:ascii="Times New Roman" w:cs="Times New Roman" w:eastAsia="Times New Roman" w:hAnsi="Times New Roman"/>
          <w:sz w:val="18"/>
          <w:szCs w:val="18"/>
          <w:u w:val="single" w:color="auto"/>
          <w:color w:val="auto"/>
        </w:rPr>
        <w:t>Most Favored Lender Status</w:t>
      </w:r>
      <w:r>
        <w:rPr>
          <w:rFonts w:ascii="Times New Roman" w:cs="Times New Roman" w:eastAsia="Times New Roman" w:hAnsi="Times New Roman"/>
          <w:sz w:val="18"/>
          <w:szCs w:val="18"/>
          <w:color w:val="auto"/>
        </w:rPr>
        <w:t>. The Borrower will not, and will not permit any of its Subsidiaries to, enter into, amend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modify documents evidencing or governing Indebtedness to which the Borrower or its Subsidiaries are bound, that contain, or are amended and modified to contain, one or more Additional Covenants or Additional Defaults, unless in each case the Borrower or such Subsidiary contemporaneously executes an amendment to this Agreement, in form and substance reasonably satisfactory to the Lender, to include such Additional Covenants or Additional Defaults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that the Borrower or any Subsidiary shall enter into, assume or otherwise become bound by or obligated under such amendment or agreement containing one or more Additional Covenants or Additional Defaults without amending this Agreement to include such Additional Covenants or Additional Defaults, the terms of this Agreement shall nonetheless, without any further action on the part of the Borrower or any Subsidiary, be deemed or amended automatically to include each Additional Covenant and each Additional Default contained in such amendment or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79" w:name="page180"/>
    <w:bookmarkEnd w:id="179"/>
    <w:p>
      <w:pPr>
        <w:jc w:val="center"/>
        <w:ind w:left="34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ARTICLE VIII</w:t>
      </w:r>
      <w:r>
        <w:rPr>
          <w:sz w:val="20"/>
          <w:szCs w:val="20"/>
          <w:color w:val="auto"/>
        </w:rPr>
        <w:tab/>
      </w:r>
      <w:r>
        <w:rPr>
          <w:rFonts w:ascii="Times New Roman" w:cs="Times New Roman" w:eastAsia="Times New Roman" w:hAnsi="Times New Roman"/>
          <w:sz w:val="17"/>
          <w:szCs w:val="17"/>
          <w:b w:val="1"/>
          <w:bCs w:val="1"/>
          <w:u w:val="single" w:color="auto"/>
          <w:color w:val="auto"/>
        </w:rPr>
        <w:t>EVENTS OF DEFAULT</w:t>
      </w:r>
    </w:p>
    <w:p>
      <w:pPr>
        <w:spacing w:after="0" w:line="252" w:lineRule="exact"/>
        <w:rPr>
          <w:sz w:val="20"/>
          <w:szCs w:val="20"/>
          <w:color w:val="auto"/>
        </w:rPr>
      </w:pPr>
    </w:p>
    <w:p>
      <w:pPr>
        <w:ind w:left="1292"/>
        <w:spacing w:after="0"/>
        <w:tabs>
          <w:tab w:leader="none" w:pos="2372" w:val="left"/>
        </w:tabs>
        <w:rPr>
          <w:sz w:val="20"/>
          <w:szCs w:val="20"/>
          <w:color w:val="auto"/>
        </w:rPr>
      </w:pPr>
      <w:r>
        <w:rPr>
          <w:rFonts w:ascii="Times New Roman" w:cs="Times New Roman" w:eastAsia="Times New Roman" w:hAnsi="Times New Roman"/>
          <w:sz w:val="18"/>
          <w:szCs w:val="18"/>
          <w:b w:val="1"/>
          <w:bCs w:val="1"/>
          <w:color w:val="auto"/>
        </w:rPr>
        <w:t>Section 8.1.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w:t>
      </w:r>
    </w:p>
    <w:p>
      <w:pPr>
        <w:spacing w:after="0" w:line="256" w:lineRule="exact"/>
        <w:rPr>
          <w:sz w:val="20"/>
          <w:szCs w:val="20"/>
          <w:color w:val="auto"/>
        </w:rPr>
      </w:pPr>
    </w:p>
    <w:p>
      <w:pPr>
        <w:ind w:left="-8" w:right="20" w:firstLine="1305"/>
        <w:spacing w:after="0" w:line="282" w:lineRule="auto"/>
        <w:tabs>
          <w:tab w:leader="none" w:pos="201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Revolving Loan when and as the same shall become due and payable, whether at the due date thereof or otherwise; or</w:t>
      </w:r>
    </w:p>
    <w:p>
      <w:pPr>
        <w:spacing w:after="0" w:line="188" w:lineRule="exact"/>
        <w:rPr>
          <w:rFonts w:ascii="Times New Roman" w:cs="Times New Roman" w:eastAsia="Times New Roman" w:hAnsi="Times New Roman"/>
          <w:sz w:val="18"/>
          <w:szCs w:val="18"/>
          <w:color w:val="auto"/>
        </w:rPr>
      </w:pPr>
    </w:p>
    <w:p>
      <w:pPr>
        <w:jc w:val="both"/>
        <w:ind w:left="-8" w:right="20" w:firstLine="1305"/>
        <w:spacing w:after="0" w:line="261" w:lineRule="auto"/>
        <w:tabs>
          <w:tab w:leader="none" w:pos="217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interest on any Revolving Loan or any fee or any other Obligation (other than an amount payable under clause (a) of this Article), when and as the same shall become due and payable and such failure shall continue unremedied for a period of three</w:t>
      </w:r>
    </w:p>
    <w:p>
      <w:pPr>
        <w:ind w:left="252" w:hanging="252"/>
        <w:spacing w:after="0"/>
        <w:tabs>
          <w:tab w:leader="none" w:pos="2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w:t>
      </w:r>
    </w:p>
    <w:p>
      <w:pPr>
        <w:spacing w:after="0" w:line="233" w:lineRule="exact"/>
        <w:rPr>
          <w:rFonts w:ascii="Times New Roman" w:cs="Times New Roman" w:eastAsia="Times New Roman" w:hAnsi="Times New Roman"/>
          <w:sz w:val="18"/>
          <w:szCs w:val="18"/>
          <w:color w:val="auto"/>
        </w:rPr>
      </w:pPr>
    </w:p>
    <w:p>
      <w:pPr>
        <w:jc w:val="both"/>
        <w:ind w:left="-8" w:firstLine="1305"/>
        <w:spacing w:after="0" w:line="258" w:lineRule="auto"/>
        <w:tabs>
          <w:tab w:leader="none" w:pos="202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Borrower or any Subsidiary in or in connection with this Agreement or any other Loan Document (including the Schedules attached thereto) and any amendments or modifications hereof or waivers hereunder, or in any certificate, report, financial statement or other document submitted to the Lender by the Borrower or any representative of the Borrower pursuant to or in connection with this Agreement or any other Loan Document shall prove to be incorrect in any material respect when made or deemed made or submitted; or</w:t>
      </w:r>
    </w:p>
    <w:p>
      <w:pPr>
        <w:spacing w:after="0" w:line="210" w:lineRule="exact"/>
        <w:rPr>
          <w:rFonts w:ascii="Times New Roman" w:cs="Times New Roman" w:eastAsia="Times New Roman" w:hAnsi="Times New Roman"/>
          <w:sz w:val="18"/>
          <w:szCs w:val="18"/>
          <w:color w:val="auto"/>
        </w:rPr>
      </w:pPr>
    </w:p>
    <w:p>
      <w:pPr>
        <w:ind w:left="-8" w:firstLine="1305"/>
        <w:spacing w:after="0" w:line="282" w:lineRule="auto"/>
        <w:tabs>
          <w:tab w:leader="none" w:pos="2053"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fail to observe or perform any covenant or agreement contained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(with respect to the Borrower’s existence),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w:t>
      </w:r>
    </w:p>
    <w:p>
      <w:pPr>
        <w:spacing w:after="0" w:line="188" w:lineRule="exact"/>
        <w:rPr>
          <w:rFonts w:ascii="Times New Roman" w:cs="Times New Roman" w:eastAsia="Times New Roman" w:hAnsi="Times New Roman"/>
          <w:sz w:val="18"/>
          <w:szCs w:val="18"/>
          <w:color w:val="auto"/>
        </w:rPr>
      </w:pPr>
    </w:p>
    <w:p>
      <w:pPr>
        <w:jc w:val="both"/>
        <w:ind w:left="-8" w:firstLine="1305"/>
        <w:spacing w:after="0" w:line="261" w:lineRule="auto"/>
        <w:tabs>
          <w:tab w:leader="none" w:pos="1993"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 or agreement contained (i) in this Agreement (other than those referred to in clauses (a), (b) and (d) above), and such failure shall remain unremedied for 30 days after the earlier of (x) any Responsible Officer of the Borrower becomes aware of such failure, or (y) notice thereof shall have been given to the Borrower by the Lender or (ii) in any other Loan Document (after taking into consideration any applicable grace periods); or</w:t>
      </w:r>
    </w:p>
    <w:p>
      <w:pPr>
        <w:spacing w:after="0" w:line="207" w:lineRule="exact"/>
        <w:rPr>
          <w:rFonts w:ascii="Times New Roman" w:cs="Times New Roman" w:eastAsia="Times New Roman" w:hAnsi="Times New Roman"/>
          <w:sz w:val="18"/>
          <w:szCs w:val="18"/>
          <w:color w:val="auto"/>
        </w:rPr>
      </w:pPr>
    </w:p>
    <w:p>
      <w:pPr>
        <w:jc w:val="both"/>
        <w:ind w:left="-8" w:firstLine="1305"/>
        <w:spacing w:after="0" w:line="253" w:lineRule="auto"/>
        <w:tabs>
          <w:tab w:leader="none" w:pos="209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Subsidiary (whether as primary obligor or as guarantor or other surety) shall fail to pay any Indebtedness (other than under this Agreement or the Revolving Credit Note) owed to any Lender or to any other Person, in each case, in an amount greater than $10,000,000 that is outstanding, when and as the same shall become due and payable (whether at scheduled maturity, required prepayment, acceleration, demand or otherwise), and such failure shall continue after the applicable grace period, if any, specified in the agreement or instrument evidencing such Indebtedness; or any other event shall occur or condition shall exist under any agreement or instrument relating to such Indebtedness and shall continue after the applicable grace period, if any, specified in such agreement or instrument, if the effect of such event or condition is to accelerate, or permit the acceleration of, the maturity of such Indebtedness (without regard to whether such holders or other Person shall have exercised or waived their right to do so); or any such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(and for purposes of determining the amount of attributed Indebtedness under this clause (f) from Hedging Obligations, the “principal amount” of any Hedging Obligations at any time shall be the Net Mark-to-Market Exposure of such Hedging Obligations); or</w:t>
      </w: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5612" w:hanging="101"/>
        <w:spacing w:after="0"/>
        <w:tabs>
          <w:tab w:leader="none" w:pos="5612"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14" w:right="239" w:bottom="1440" w:gutter="0" w:footer="0" w:header="0"/>
        </w:sectPr>
      </w:pPr>
    </w:p>
    <w:bookmarkStart w:id="180" w:name="page181"/>
    <w:bookmarkEnd w:id="180"/>
    <w:p>
      <w:pPr>
        <w:jc w:val="both"/>
        <w:ind w:left="-8" w:firstLine="1305"/>
        <w:spacing w:after="0" w:line="257" w:lineRule="auto"/>
        <w:tabs>
          <w:tab w:leader="none" w:pos="202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Subsidiary (other than an Immaterial Subsidiary)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w:t>
      </w:r>
    </w:p>
    <w:p>
      <w:pPr>
        <w:spacing w:after="0" w:line="1"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institution of, or fail to contest in a timely and appropriate manner, any proceeding or petition described in clause (i) of this Section,</w:t>
      </w:r>
    </w:p>
    <w:p>
      <w:pPr>
        <w:spacing w:after="0" w:line="9"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31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or consent to the appointment of a custodian, trustee, receiver, liquidator or other similar official for the Borrower or any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213" w:lineRule="exact"/>
        <w:rPr>
          <w:rFonts w:ascii="Times New Roman" w:cs="Times New Roman" w:eastAsia="Times New Roman" w:hAnsi="Times New Roman"/>
          <w:sz w:val="18"/>
          <w:szCs w:val="18"/>
          <w:color w:val="auto"/>
        </w:rPr>
      </w:pPr>
    </w:p>
    <w:p>
      <w:pPr>
        <w:jc w:val="both"/>
        <w:ind w:left="-8" w:firstLine="1305"/>
        <w:spacing w:after="0" w:line="258" w:lineRule="auto"/>
        <w:tabs>
          <w:tab w:leader="none" w:pos="206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the Borrower or any Subsidiary (other than an Immaterial Subsidiary) or its debts, or any substantial part of its assets, under any federal, state or foreign bankruptcy, insolvency or other similar law now or hereafter in effect or (ii) the appointment of a custodian, trustee, receiver, liquidator or other similar official for the Borrower or any such Subsidiary or for a substantial part of its assets, and in any such case, such proceeding or petition shall remain undismissed for a period of 60 days or an order or decree approving or ordering any of the foregoing shall be entered; or</w:t>
      </w:r>
    </w:p>
    <w:p>
      <w:pPr>
        <w:spacing w:after="0" w:line="210" w:lineRule="exact"/>
        <w:rPr>
          <w:rFonts w:ascii="Times New Roman" w:cs="Times New Roman" w:eastAsia="Times New Roman" w:hAnsi="Times New Roman"/>
          <w:sz w:val="18"/>
          <w:szCs w:val="18"/>
          <w:color w:val="auto"/>
        </w:rPr>
      </w:pPr>
    </w:p>
    <w:p>
      <w:pPr>
        <w:ind w:left="-8" w:right="20" w:firstLine="1305"/>
        <w:spacing w:after="0" w:line="282" w:lineRule="auto"/>
        <w:tabs>
          <w:tab w:leader="none" w:pos="2109"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clause (f) of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Borrower or any Subsidiary shall become unable to pay, shall admit in writing its inability to pay, or shall fail to pay, its debts as they become due; or</w:t>
      </w:r>
    </w:p>
    <w:p>
      <w:pPr>
        <w:spacing w:after="0" w:line="188" w:lineRule="exact"/>
        <w:rPr>
          <w:rFonts w:ascii="Times New Roman" w:cs="Times New Roman" w:eastAsia="Times New Roman" w:hAnsi="Times New Roman"/>
          <w:sz w:val="18"/>
          <w:szCs w:val="18"/>
          <w:color w:val="auto"/>
        </w:rPr>
      </w:pPr>
    </w:p>
    <w:p>
      <w:pPr>
        <w:ind w:left="-8" w:firstLine="1305"/>
        <w:spacing w:after="0" w:line="282" w:lineRule="auto"/>
        <w:tabs>
          <w:tab w:leader="none" w:pos="207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in the opinion of the Lender, when taken together with other ERISA Events that have occurred, could reasonably be expected to result in liability to the Borrower and the Subsidiaries in an aggregate amount exceeding $10,000,000; or</w:t>
      </w:r>
    </w:p>
    <w:p>
      <w:pPr>
        <w:spacing w:after="0" w:line="188" w:lineRule="exact"/>
        <w:rPr>
          <w:rFonts w:ascii="Times New Roman" w:cs="Times New Roman" w:eastAsia="Times New Roman" w:hAnsi="Times New Roman"/>
          <w:sz w:val="18"/>
          <w:szCs w:val="18"/>
          <w:color w:val="auto"/>
        </w:rPr>
      </w:pPr>
    </w:p>
    <w:p>
      <w:pPr>
        <w:jc w:val="both"/>
        <w:ind w:left="-8" w:firstLine="1305"/>
        <w:spacing w:after="0" w:line="261" w:lineRule="auto"/>
        <w:tabs>
          <w:tab w:leader="none" w:pos="214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or order for the payment of money in excess of $10,000,000 in the aggregate not covered by insurance and for which the applicable insurer shall have acknowledged in writing that such claim or payment is insured shall be rendered against the Borrower or any Subsidiary, and either (i) enforcement proceedings shall have been commenced by any creditor upon such judgment or order or (ii) there shall be a period of 30 consecutive days during which a stay of enforcement of such judgment or order, by reason of a pending appeal or otherwise, shall not be in effect; or</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5612" w:hanging="101"/>
        <w:spacing w:after="0"/>
        <w:tabs>
          <w:tab w:leader="none" w:pos="5612"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18" w:right="239" w:bottom="1440" w:gutter="0" w:footer="0" w:header="0"/>
        </w:sectPr>
      </w:pPr>
    </w:p>
    <w:bookmarkStart w:id="181" w:name="page182"/>
    <w:bookmarkEnd w:id="181"/>
    <w:p>
      <w:pPr>
        <w:jc w:val="both"/>
        <w:ind w:left="-1200" w:firstLine="1305"/>
        <w:spacing w:after="0" w:line="266" w:lineRule="auto"/>
        <w:tabs>
          <w:tab w:leader="none" w:pos="84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non-monetary judgment or order shall be rendered against the Borrower or any Subsidiary that could reasonably be expected to have a Material Adverse Effect, and there shall be a period of 30 consecutive days during which a stay of enforcement of such judgment or order, by reason of a pending appeal or otherwise, shall not be in effect; or</w:t>
      </w:r>
    </w:p>
    <w:p>
      <w:pPr>
        <w:spacing w:after="0" w:line="203" w:lineRule="exact"/>
        <w:rPr>
          <w:rFonts w:ascii="Times New Roman" w:cs="Times New Roman" w:eastAsia="Times New Roman" w:hAnsi="Times New Roman"/>
          <w:sz w:val="18"/>
          <w:szCs w:val="18"/>
          <w:color w:val="auto"/>
        </w:rPr>
      </w:pPr>
    </w:p>
    <w:p>
      <w:pPr>
        <w:ind w:left="820" w:hanging="715"/>
        <w:spacing w:after="0"/>
        <w:tabs>
          <w:tab w:leader="none" w:pos="8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 or</w:t>
      </w:r>
    </w:p>
    <w:p>
      <w:pPr>
        <w:spacing w:after="0" w:line="252" w:lineRule="exact"/>
        <w:rPr>
          <w:rFonts w:ascii="Times New Roman" w:cs="Times New Roman" w:eastAsia="Times New Roman" w:hAnsi="Times New Roman"/>
          <w:sz w:val="18"/>
          <w:szCs w:val="18"/>
          <w:color w:val="auto"/>
        </w:rPr>
      </w:pPr>
    </w:p>
    <w:p>
      <w:pPr>
        <w:jc w:val="both"/>
        <w:ind w:left="-1200" w:firstLine="1305"/>
        <w:spacing w:after="0" w:line="266" w:lineRule="auto"/>
        <w:tabs>
          <w:tab w:leader="none" w:pos="85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having regulatory authority over the Borrower or any Subsidiary shall take any action that restricts, or has the practical effect of restricting, the payment of dividends from any such Subsidiary to the Borrower or the payment of any debt owing by a Subsidiary to the Borrower; or</w:t>
      </w:r>
    </w:p>
    <w:p>
      <w:pPr>
        <w:spacing w:after="0" w:line="203" w:lineRule="exact"/>
        <w:rPr>
          <w:rFonts w:ascii="Times New Roman" w:cs="Times New Roman" w:eastAsia="Times New Roman" w:hAnsi="Times New Roman"/>
          <w:sz w:val="18"/>
          <w:szCs w:val="18"/>
          <w:color w:val="auto"/>
        </w:rPr>
      </w:pPr>
    </w:p>
    <w:p>
      <w:pPr>
        <w:ind w:left="-1200" w:firstLine="1305"/>
        <w:spacing w:after="0" w:line="282" w:lineRule="auto"/>
        <w:tabs>
          <w:tab w:leader="none" w:pos="98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Institution Subsidiary shall cease for any reason (other than as a result of being merged into another Financial Institution Subsidiary) to be an insured bank under the Federal Deposit Insurance Act, as amended; or</w:t>
      </w:r>
    </w:p>
    <w:p>
      <w:pPr>
        <w:spacing w:after="0" w:line="188" w:lineRule="exact"/>
        <w:rPr>
          <w:rFonts w:ascii="Times New Roman" w:cs="Times New Roman" w:eastAsia="Times New Roman" w:hAnsi="Times New Roman"/>
          <w:sz w:val="18"/>
          <w:szCs w:val="18"/>
          <w:color w:val="auto"/>
        </w:rPr>
      </w:pPr>
    </w:p>
    <w:p>
      <w:pPr>
        <w:jc w:val="both"/>
        <w:ind w:left="-1200" w:firstLine="1305"/>
        <w:spacing w:after="0" w:line="254" w:lineRule="auto"/>
        <w:tabs>
          <w:tab w:leader="none" w:pos="90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FRB, the FDIC or any other Governmental Authority charged with the regulation of bank holding companies or depository institutions: (i) issues (whether orally or in writing) to the Borrower or any Financial Institution Subsidiary, or initiates through formal proceedings any action, suit or proceeding to obtain against, impose on or require from the Borrower or any Financial Institution Subsidiary, a cease and desist order or similar regulatory order, the assessment of civil monetary penalties, articles of agreement, a memorandum of understanding, a capital directive, a capital restoration plan, restrictions that prevent or as a practical matter impair the payment of dividends by any Financial Institution Subsidiary or the payments of any debt by the Borrower, restrictions that make the payment of the dividends by any Financial Institution Subsidiary or the payment of debt by the Borrower subject to prior regulatory approval, a notice or finding under subsection 8(a) of the Federal Deposit Insurance Act, as amended, or any similar enforcement action, measure or proceeding; or (ii) proposes or issues (whether orally or in writing) to any executive officer or director of the Borrower or any Financial Institution Subsidiary, or initiates any action, suit or proceeding to obtain against, impose on or require from any such officer or director, a cease and desist order or similar regulatory order, a removal order or suspension order, or the assessment of civil monetary penalties; or</w:t>
      </w:r>
    </w:p>
    <w:p>
      <w:pPr>
        <w:spacing w:after="0" w:line="213" w:lineRule="exact"/>
        <w:rPr>
          <w:rFonts w:ascii="Times New Roman" w:cs="Times New Roman" w:eastAsia="Times New Roman" w:hAnsi="Times New Roman"/>
          <w:sz w:val="18"/>
          <w:szCs w:val="18"/>
          <w:color w:val="auto"/>
        </w:rPr>
      </w:pPr>
    </w:p>
    <w:p>
      <w:pPr>
        <w:jc w:val="both"/>
        <w:ind w:left="-1200" w:firstLine="1305"/>
        <w:spacing w:after="0" w:line="266" w:lineRule="auto"/>
        <w:tabs>
          <w:tab w:leader="none" w:pos="91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with respect to any Financial Institution Subsidiary any event that is grounds for the required submission of a capital restoration plan under 12 U. S. C. §1831o (e)(2) and the regulations thereunder, or a conservator or receiver is appointed for any Financial Institution Subsidiary; or</w:t>
      </w:r>
    </w:p>
    <w:p>
      <w:pPr>
        <w:spacing w:after="0" w:line="203" w:lineRule="exact"/>
        <w:rPr>
          <w:rFonts w:ascii="Times New Roman" w:cs="Times New Roman" w:eastAsia="Times New Roman" w:hAnsi="Times New Roman"/>
          <w:sz w:val="18"/>
          <w:szCs w:val="18"/>
          <w:color w:val="auto"/>
        </w:rPr>
      </w:pPr>
    </w:p>
    <w:p>
      <w:pPr>
        <w:jc w:val="both"/>
        <w:ind w:left="-1200" w:firstLine="1305"/>
        <w:spacing w:after="0" w:line="266" w:lineRule="auto"/>
        <w:tabs>
          <w:tab w:leader="none" w:pos="87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or decree is entered by any court of competent jurisdiction directly or indirectly enjoining or prohibiting the Lender or the Borrower from performing any of their respective obligations under this Agreement or under any of the other Loan Documents and such order or decree is not vacated, and the proceedings out of which such order or decree arose are not dismissed, within 60 days after the granting of such decree or order; or</w:t>
      </w:r>
    </w:p>
    <w:p>
      <w:pPr>
        <w:spacing w:after="0" w:line="203" w:lineRule="exact"/>
        <w:rPr>
          <w:rFonts w:ascii="Times New Roman" w:cs="Times New Roman" w:eastAsia="Times New Roman" w:hAnsi="Times New Roman"/>
          <w:sz w:val="18"/>
          <w:szCs w:val="18"/>
          <w:color w:val="auto"/>
        </w:rPr>
      </w:pPr>
    </w:p>
    <w:p>
      <w:pPr>
        <w:jc w:val="both"/>
        <w:ind w:left="-1200" w:firstLine="1305"/>
        <w:spacing w:after="0" w:line="266" w:lineRule="auto"/>
        <w:tabs>
          <w:tab w:leader="none" w:pos="79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Financial Institution Subsidiary (i) shall enter into any Regulatory Agreement or is otherwise operating under any restrictions imposed by or agreed to with, any Governmental Authority, other than routine examinations by such Governmental Authorities or (ii) shall be declared by any Governmental Authority as not being Solvent; or</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420" w:hanging="101"/>
        <w:spacing w:after="0"/>
        <w:tabs>
          <w:tab w:leader="none" w:pos="4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18" w:right="239" w:bottom="1440" w:gutter="0" w:footer="0" w:header="0"/>
        </w:sectPr>
      </w:pPr>
    </w:p>
    <w:bookmarkStart w:id="182" w:name="page183"/>
    <w:bookmarkEnd w:id="182"/>
    <w:p>
      <w:pPr>
        <w:ind w:right="20" w:firstLine="1305"/>
        <w:spacing w:after="0" w:line="282" w:lineRule="auto"/>
        <w:tabs>
          <w:tab w:leader="none" w:pos="222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formal charges by any Governmental Authority or quasi-governmental entity, including, without limitation, the issuance of an indictment under a RICO Related Law against Borrower or any Subsidiary of Borrower; or</w:t>
      </w:r>
    </w:p>
    <w:p>
      <w:pPr>
        <w:spacing w:after="0" w:line="188" w:lineRule="exact"/>
        <w:rPr>
          <w:rFonts w:ascii="Times New Roman" w:cs="Times New Roman" w:eastAsia="Times New Roman" w:hAnsi="Times New Roman"/>
          <w:sz w:val="18"/>
          <w:szCs w:val="18"/>
          <w:color w:val="auto"/>
        </w:rPr>
      </w:pPr>
    </w:p>
    <w:p>
      <w:pPr>
        <w:ind w:firstLine="1305"/>
        <w:spacing w:after="0" w:line="282" w:lineRule="auto"/>
        <w:tabs>
          <w:tab w:leader="none" w:pos="217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common shares of the Capital Stock of the Borrower to be listed for trading on either the New York Stock Exchange or the NASDAQ Global Market Exchange; or</w:t>
      </w:r>
    </w:p>
    <w:p>
      <w:pPr>
        <w:spacing w:after="0" w:line="188" w:lineRule="exact"/>
        <w:rPr>
          <w:rFonts w:ascii="Times New Roman" w:cs="Times New Roman" w:eastAsia="Times New Roman" w:hAnsi="Times New Roman"/>
          <w:sz w:val="18"/>
          <w:szCs w:val="18"/>
          <w:color w:val="auto"/>
        </w:rPr>
      </w:pPr>
    </w:p>
    <w:p>
      <w:pPr>
        <w:jc w:val="both"/>
        <w:ind w:firstLine="1305"/>
        <w:spacing w:after="0" w:line="266" w:lineRule="auto"/>
        <w:tabs>
          <w:tab w:leader="none" w:pos="202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the Borrower or any Financial Institution Subsidiary thereof engages in any unsafe and unsound banking practice that the Lender reasonably determines will likely result in the issuance of a cease-and-desist order, the entry into a Regulatory Agreement or other enforcement action under 12 U.S.C. 1818 that would have or reasonably likely to have a Material Adverse Effect.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or any Subsidiary (other than an Immaterial Subsidiary) described in clause</w:t>
      </w:r>
    </w:p>
    <w:p>
      <w:pPr>
        <w:spacing w:after="0" w:line="27" w:lineRule="exact"/>
        <w:rPr>
          <w:sz w:val="20"/>
          <w:szCs w:val="20"/>
          <w:color w:val="auto"/>
        </w:rPr>
      </w:pPr>
    </w:p>
    <w:p>
      <w:pPr>
        <w:jc w:val="both"/>
        <w:ind w:firstLine="8"/>
        <w:spacing w:after="0" w:line="252" w:lineRule="auto"/>
        <w:tabs>
          <w:tab w:leader="none" w:pos="26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(h) of this Section) and at any time thereafter during the continuance of such event, the Lender may, by notice to the Borrower, take any or all of the following actions, at the same or different times: (i) terminate the Revolving Commitment; (ii) declare the principal of and any accrued interest on the Revolving Loans, and all other Obligations owing hereunder, to be, whereupon the same shall become due and payable immediately, without presentment, demand, protest or other notice of any kind, all of which are hereby waived by the Borrower and (iii) exercise all remedies contained in any other Loan Document; and that, if an Event of Default specified in either clause (g) or (h) shall occur, the Revolving Commitment shall automatically terminate and the principal of the Revolving Loans then outstanding, together with accrued interest thereon, and all fees, and all other Obligations shall automatically become due and payable, without presentment, demand, protest or other notice of any kind, all of which are hereby waived by the Borrower.</w:t>
      </w:r>
    </w:p>
    <w:p>
      <w:pPr>
        <w:spacing w:after="0" w:line="212" w:lineRule="exact"/>
        <w:rPr>
          <w:sz w:val="20"/>
          <w:szCs w:val="20"/>
          <w:color w:val="auto"/>
        </w:rPr>
      </w:pPr>
    </w:p>
    <w:p>
      <w:pPr>
        <w:ind w:left="414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ARTICLE IX</w:t>
      </w:r>
      <w:r>
        <w:rPr>
          <w:sz w:val="20"/>
          <w:szCs w:val="20"/>
          <w:color w:val="auto"/>
        </w:rPr>
        <w:tab/>
      </w:r>
      <w:r>
        <w:rPr>
          <w:rFonts w:ascii="Times New Roman" w:cs="Times New Roman" w:eastAsia="Times New Roman" w:hAnsi="Times New Roman"/>
          <w:sz w:val="17"/>
          <w:szCs w:val="17"/>
          <w:b w:val="1"/>
          <w:bCs w:val="1"/>
          <w:u w:val="single" w:color="auto"/>
          <w:color w:val="auto"/>
        </w:rPr>
        <w:t>MISCELLANEOUS</w:t>
      </w:r>
    </w:p>
    <w:p>
      <w:pPr>
        <w:spacing w:after="0" w:line="252"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Section 9.1.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b w:val="1"/>
          <w:bCs w:val="1"/>
          <w:u w:val="single" w:color="auto"/>
          <w:color w:val="auto"/>
        </w:rPr>
        <w:t>.</w:t>
      </w:r>
    </w:p>
    <w:p>
      <w:pPr>
        <w:spacing w:after="0" w:line="256" w:lineRule="exact"/>
        <w:rPr>
          <w:sz w:val="20"/>
          <w:szCs w:val="20"/>
          <w:color w:val="auto"/>
        </w:rPr>
      </w:pPr>
    </w:p>
    <w:p>
      <w:pPr>
        <w:jc w:val="both"/>
        <w:ind w:firstLine="1305"/>
        <w:spacing w:after="0" w:line="266" w:lineRule="auto"/>
        <w:tabs>
          <w:tab w:leader="none" w:pos="220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sent by telefacsimile or sent by email in .pdf format,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To the Borrower:</w:t>
            </w:r>
          </w:p>
        </w:tc>
        <w:tc>
          <w:tcPr>
            <w:tcW w:w="8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United Community Banks, Inc.</w:t>
            </w:r>
          </w:p>
        </w:tc>
      </w:tr>
      <w:tr>
        <w:trPr>
          <w:trHeight w:val="216"/>
        </w:trPr>
        <w:tc>
          <w:tcPr>
            <w:tcW w:w="3220" w:type="dxa"/>
            <w:vAlign w:val="bottom"/>
          </w:tcPr>
          <w:p>
            <w:pPr>
              <w:spacing w:after="0"/>
              <w:rPr>
                <w:sz w:val="18"/>
                <w:szCs w:val="18"/>
                <w:color w:val="auto"/>
              </w:rPr>
            </w:pPr>
          </w:p>
        </w:tc>
        <w:tc>
          <w:tcPr>
            <w:tcW w:w="2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125 Highway 515 E</w:t>
            </w:r>
          </w:p>
        </w:tc>
        <w:tc>
          <w:tcPr>
            <w:tcW w:w="598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8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Blairsville, Georgia 30512</w:t>
            </w:r>
          </w:p>
        </w:tc>
      </w:tr>
      <w:tr>
        <w:trPr>
          <w:trHeight w:val="216"/>
        </w:trPr>
        <w:tc>
          <w:tcPr>
            <w:tcW w:w="3220" w:type="dxa"/>
            <w:vAlign w:val="bottom"/>
          </w:tcPr>
          <w:p>
            <w:pPr>
              <w:spacing w:after="0"/>
              <w:rPr>
                <w:sz w:val="18"/>
                <w:szCs w:val="18"/>
                <w:color w:val="auto"/>
              </w:rPr>
            </w:pPr>
          </w:p>
        </w:tc>
        <w:tc>
          <w:tcPr>
            <w:tcW w:w="2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Attn: Rex Schuette</w:t>
            </w:r>
          </w:p>
        </w:tc>
        <w:tc>
          <w:tcPr>
            <w:tcW w:w="598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Telephone Number:</w:t>
            </w: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(866) 270-7200</w:t>
            </w:r>
          </w:p>
        </w:tc>
      </w:tr>
      <w:tr>
        <w:trPr>
          <w:trHeight w:val="216"/>
        </w:trPr>
        <w:tc>
          <w:tcPr>
            <w:tcW w:w="3220" w:type="dxa"/>
            <w:vAlign w:val="bottom"/>
          </w:tcPr>
          <w:p>
            <w:pPr>
              <w:spacing w:after="0"/>
              <w:rPr>
                <w:sz w:val="18"/>
                <w:szCs w:val="18"/>
                <w:color w:val="auto"/>
              </w:rPr>
            </w:pPr>
          </w:p>
        </w:tc>
        <w:tc>
          <w:tcPr>
            <w:tcW w:w="2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Fax Number:</w:t>
            </w: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(706) 745-9046</w:t>
            </w:r>
          </w:p>
        </w:tc>
      </w:tr>
      <w:tr>
        <w:trPr>
          <w:trHeight w:val="234"/>
        </w:trPr>
        <w:tc>
          <w:tcPr>
            <w:tcW w:w="3220" w:type="dxa"/>
            <w:vAlign w:val="bottom"/>
          </w:tcPr>
          <w:p>
            <w:pPr>
              <w:spacing w:after="0"/>
              <w:rPr>
                <w:sz w:val="20"/>
                <w:szCs w:val="20"/>
                <w:color w:val="auto"/>
              </w:rPr>
            </w:pPr>
          </w:p>
        </w:tc>
        <w:tc>
          <w:tcPr>
            <w:tcW w:w="2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Website:</w:t>
            </w: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http://www.ucbi.com</w:t>
            </w:r>
          </w:p>
        </w:tc>
      </w:tr>
      <w:tr>
        <w:trPr>
          <w:trHeight w:val="675"/>
        </w:trPr>
        <w:tc>
          <w:tcPr>
            <w:tcW w:w="3220" w:type="dxa"/>
            <w:vAlign w:val="bottom"/>
            <w:tcBorders>
              <w:bottom w:val="single" w:sz="8" w:color="DCDCDC"/>
            </w:tcBorders>
          </w:tcPr>
          <w:p>
            <w:pPr>
              <w:spacing w:after="0"/>
              <w:rPr>
                <w:sz w:val="24"/>
                <w:szCs w:val="24"/>
                <w:color w:val="auto"/>
              </w:rPr>
            </w:pPr>
          </w:p>
        </w:tc>
        <w:tc>
          <w:tcPr>
            <w:tcW w:w="2220" w:type="dxa"/>
            <w:vAlign w:val="bottom"/>
            <w:tcBorders>
              <w:bottom w:val="single" w:sz="8" w:color="DCDCDC"/>
            </w:tcBorders>
          </w:tcPr>
          <w:p>
            <w:pPr>
              <w:spacing w:after="0"/>
              <w:rPr>
                <w:sz w:val="24"/>
                <w:szCs w:val="24"/>
                <w:color w:val="auto"/>
              </w:rPr>
            </w:pPr>
          </w:p>
        </w:tc>
        <w:tc>
          <w:tcPr>
            <w:tcW w:w="5980" w:type="dxa"/>
            <w:vAlign w:val="bottom"/>
            <w:tcBorders>
              <w:bottom w:val="single" w:sz="8" w:color="DCDCDC"/>
            </w:tcBorders>
          </w:tcPr>
          <w:p>
            <w:pPr>
              <w:jc w:val="right"/>
              <w:ind w:right="5430"/>
              <w:spacing w:after="0"/>
              <w:rPr>
                <w:sz w:val="20"/>
                <w:szCs w:val="20"/>
                <w:color w:val="auto"/>
              </w:rPr>
            </w:pPr>
            <w:r>
              <w:rPr>
                <w:rFonts w:ascii="Times New Roman" w:cs="Times New Roman" w:eastAsia="Times New Roman" w:hAnsi="Times New Roman"/>
                <w:sz w:val="18"/>
                <w:szCs w:val="18"/>
                <w:color w:val="auto"/>
              </w:rPr>
              <w:t>- 53 -</w:t>
            </w:r>
          </w:p>
        </w:tc>
      </w:tr>
    </w:tbl>
    <w:p>
      <w:pPr>
        <w:sectPr>
          <w:pgSz w:w="11900" w:h="16838" w:orient="portrait"/>
          <w:cols w:equalWidth="0" w:num="1">
            <w:col w:w="11420"/>
          </w:cols>
          <w:pgMar w:left="240" w:top="918" w:right="239"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with a copy to:</w:t>
            </w: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120" w:type="dxa"/>
            <w:vAlign w:val="bottom"/>
          </w:tcPr>
          <w:p>
            <w:pPr>
              <w:spacing w:after="0"/>
              <w:rPr>
                <w:sz w:val="24"/>
                <w:szCs w:val="24"/>
                <w:color w:val="auto"/>
              </w:rPr>
            </w:pPr>
          </w:p>
        </w:tc>
        <w:tc>
          <w:tcPr>
            <w:tcW w:w="8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United Community Banks, Inc.</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125 Highway 515 E</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8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Blairsville, Georgia 30512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Brad Miller</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Telephone Number:</w:t>
            </w:r>
          </w:p>
        </w:tc>
        <w:tc>
          <w:tcPr>
            <w:tcW w:w="5800" w:type="dxa"/>
            <w:vAlign w:val="bottom"/>
          </w:tcPr>
          <w:p>
            <w:pPr>
              <w:jc w:val="right"/>
              <w:ind w:right="4570"/>
              <w:spacing w:after="0"/>
              <w:rPr>
                <w:sz w:val="20"/>
                <w:szCs w:val="20"/>
                <w:color w:val="auto"/>
              </w:rPr>
            </w:pPr>
            <w:r>
              <w:rPr>
                <w:rFonts w:ascii="Times New Roman" w:cs="Times New Roman" w:eastAsia="Times New Roman" w:hAnsi="Times New Roman"/>
                <w:sz w:val="18"/>
                <w:szCs w:val="18"/>
                <w:color w:val="auto"/>
                <w:w w:val="99"/>
              </w:rPr>
              <w:t>(866) 270-7200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Fax Number:</w:t>
            </w:r>
          </w:p>
        </w:tc>
        <w:tc>
          <w:tcPr>
            <w:tcW w:w="5800" w:type="dxa"/>
            <w:vAlign w:val="bottom"/>
          </w:tcPr>
          <w:p>
            <w:pPr>
              <w:jc w:val="right"/>
              <w:ind w:right="4490"/>
              <w:spacing w:after="0"/>
              <w:rPr>
                <w:sz w:val="20"/>
                <w:szCs w:val="20"/>
                <w:color w:val="auto"/>
              </w:rPr>
            </w:pPr>
            <w:r>
              <w:rPr>
                <w:rFonts w:ascii="Times New Roman" w:cs="Times New Roman" w:eastAsia="Times New Roman" w:hAnsi="Times New Roman"/>
                <w:sz w:val="18"/>
                <w:szCs w:val="18"/>
                <w:color w:val="auto"/>
              </w:rPr>
              <w:t>(706) 745-9046</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Email:</w:t>
            </w:r>
          </w:p>
        </w:tc>
        <w:tc>
          <w:tcPr>
            <w:tcW w:w="580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rPr>
              <w:t>brad_miller@ucbi.com</w:t>
            </w:r>
          </w:p>
        </w:tc>
        <w:tc>
          <w:tcPr>
            <w:tcW w:w="0" w:type="dxa"/>
            <w:vAlign w:val="bottom"/>
          </w:tcPr>
          <w:p>
            <w:pPr>
              <w:spacing w:after="0"/>
              <w:rPr>
                <w:sz w:val="1"/>
                <w:szCs w:val="1"/>
                <w:color w:val="auto"/>
              </w:rPr>
            </w:pPr>
          </w:p>
        </w:tc>
      </w:tr>
      <w:tr>
        <w:trPr>
          <w:trHeight w:val="459"/>
        </w:trPr>
        <w:tc>
          <w:tcPr>
            <w:tcW w:w="3120" w:type="dxa"/>
            <w:vAlign w:val="bottom"/>
          </w:tcPr>
          <w:p>
            <w:pPr>
              <w:spacing w:after="0"/>
              <w:rPr>
                <w:sz w:val="24"/>
                <w:szCs w:val="24"/>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with a copy to:</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120" w:type="dxa"/>
            <w:vAlign w:val="bottom"/>
          </w:tcPr>
          <w:p>
            <w:pPr>
              <w:spacing w:after="0"/>
              <w:rPr>
                <w:sz w:val="24"/>
                <w:szCs w:val="24"/>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Troutman Sanders LLP</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8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600 Peachtree Street, Suite 5200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Atlanta, Georgia 30308</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James Stevens</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Telephone Number:</w:t>
            </w:r>
          </w:p>
        </w:tc>
        <w:tc>
          <w:tcPr>
            <w:tcW w:w="5800" w:type="dxa"/>
            <w:vAlign w:val="bottom"/>
          </w:tcPr>
          <w:p>
            <w:pPr>
              <w:jc w:val="right"/>
              <w:ind w:right="4570"/>
              <w:spacing w:after="0"/>
              <w:rPr>
                <w:sz w:val="20"/>
                <w:szCs w:val="20"/>
                <w:color w:val="auto"/>
              </w:rPr>
            </w:pPr>
            <w:r>
              <w:rPr>
                <w:rFonts w:ascii="Times New Roman" w:cs="Times New Roman" w:eastAsia="Times New Roman" w:hAnsi="Times New Roman"/>
                <w:sz w:val="18"/>
                <w:szCs w:val="18"/>
                <w:color w:val="auto"/>
                <w:w w:val="99"/>
              </w:rPr>
              <w:t>(404) 885-3000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Fax Number:</w:t>
            </w:r>
          </w:p>
        </w:tc>
        <w:tc>
          <w:tcPr>
            <w:tcW w:w="5800" w:type="dxa"/>
            <w:vAlign w:val="bottom"/>
          </w:tcPr>
          <w:p>
            <w:pPr>
              <w:jc w:val="right"/>
              <w:ind w:right="4490"/>
              <w:spacing w:after="0"/>
              <w:rPr>
                <w:sz w:val="20"/>
                <w:szCs w:val="20"/>
                <w:color w:val="auto"/>
              </w:rPr>
            </w:pPr>
            <w:r>
              <w:rPr>
                <w:rFonts w:ascii="Times New Roman" w:cs="Times New Roman" w:eastAsia="Times New Roman" w:hAnsi="Times New Roman"/>
                <w:sz w:val="18"/>
                <w:szCs w:val="18"/>
                <w:color w:val="auto"/>
              </w:rPr>
              <w:t>(404) 962-6501</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Email: james.stevens@troutmansanders.com</w:t>
            </w:r>
          </w:p>
        </w:tc>
        <w:tc>
          <w:tcPr>
            <w:tcW w:w="0" w:type="dxa"/>
            <w:vAlign w:val="bottom"/>
          </w:tcPr>
          <w:p>
            <w:pPr>
              <w:spacing w:after="0"/>
              <w:rPr>
                <w:sz w:val="1"/>
                <w:szCs w:val="1"/>
                <w:color w:val="auto"/>
              </w:rPr>
            </w:pPr>
          </w:p>
        </w:tc>
      </w:tr>
      <w:tr>
        <w:trPr>
          <w:trHeight w:val="441"/>
        </w:trPr>
        <w:tc>
          <w:tcPr>
            <w:tcW w:w="31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To the Lender:</w:t>
            </w: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Synovus Bank</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3280 Peachtree Road, NE</w:t>
            </w:r>
          </w:p>
        </w:tc>
        <w:tc>
          <w:tcPr>
            <w:tcW w:w="25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auto"/>
              </w:rPr>
              <w:t>Suite 500</w:t>
            </w: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rPr>
                <w:sz w:val="17"/>
                <w:szCs w:val="17"/>
                <w:color w:val="auto"/>
              </w:rPr>
            </w:pPr>
          </w:p>
        </w:tc>
        <w:tc>
          <w:tcPr>
            <w:tcW w:w="2500" w:type="dxa"/>
            <w:vAlign w:val="bottom"/>
            <w:vMerge w:val="continue"/>
          </w:tcPr>
          <w:p>
            <w:pPr>
              <w:spacing w:after="0"/>
              <w:rPr>
                <w:sz w:val="17"/>
                <w:szCs w:val="17"/>
                <w:color w:val="auto"/>
              </w:rPr>
            </w:pPr>
          </w:p>
        </w:tc>
        <w:tc>
          <w:tcPr>
            <w:tcW w:w="5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Atlanta, Georgia 30305</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Michael Sawicki</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Telephone Number:</w:t>
            </w:r>
          </w:p>
        </w:tc>
        <w:tc>
          <w:tcPr>
            <w:tcW w:w="5800" w:type="dxa"/>
            <w:vAlign w:val="bottom"/>
          </w:tcPr>
          <w:p>
            <w:pPr>
              <w:jc w:val="right"/>
              <w:ind w:right="4570"/>
              <w:spacing w:after="0"/>
              <w:rPr>
                <w:sz w:val="20"/>
                <w:szCs w:val="20"/>
                <w:color w:val="auto"/>
              </w:rPr>
            </w:pPr>
            <w:r>
              <w:rPr>
                <w:rFonts w:ascii="Times New Roman" w:cs="Times New Roman" w:eastAsia="Times New Roman" w:hAnsi="Times New Roman"/>
                <w:sz w:val="18"/>
                <w:szCs w:val="18"/>
                <w:color w:val="auto"/>
                <w:w w:val="99"/>
              </w:rPr>
              <w:t>(678) 578-1927</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Email: MichaelSawicki@synovus.com</w:t>
            </w:r>
          </w:p>
        </w:tc>
        <w:tc>
          <w:tcPr>
            <w:tcW w:w="0" w:type="dxa"/>
            <w:vAlign w:val="bottom"/>
          </w:tcPr>
          <w:p>
            <w:pPr>
              <w:spacing w:after="0"/>
              <w:rPr>
                <w:sz w:val="1"/>
                <w:szCs w:val="1"/>
                <w:color w:val="auto"/>
              </w:rPr>
            </w:pPr>
          </w:p>
        </w:tc>
      </w:tr>
      <w:tr>
        <w:trPr>
          <w:trHeight w:val="459"/>
        </w:trPr>
        <w:tc>
          <w:tcPr>
            <w:tcW w:w="3120" w:type="dxa"/>
            <w:vAlign w:val="bottom"/>
          </w:tcPr>
          <w:p>
            <w:pPr>
              <w:spacing w:after="0"/>
              <w:rPr>
                <w:sz w:val="24"/>
                <w:szCs w:val="24"/>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with a copy to:</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Synovus Bank</w:t>
            </w:r>
          </w:p>
        </w:tc>
        <w:tc>
          <w:tcPr>
            <w:tcW w:w="25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3280 Peachtree Road, NE</w:t>
            </w:r>
          </w:p>
        </w:tc>
        <w:tc>
          <w:tcPr>
            <w:tcW w:w="25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w:t>
            </w: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rPr>
                <w:sz w:val="17"/>
                <w:szCs w:val="17"/>
                <w:color w:val="auto"/>
              </w:rPr>
            </w:pPr>
          </w:p>
        </w:tc>
        <w:tc>
          <w:tcPr>
            <w:tcW w:w="2500" w:type="dxa"/>
            <w:vAlign w:val="bottom"/>
            <w:vMerge w:val="continue"/>
          </w:tcPr>
          <w:p>
            <w:pPr>
              <w:spacing w:after="0"/>
              <w:rPr>
                <w:sz w:val="17"/>
                <w:szCs w:val="17"/>
                <w:color w:val="auto"/>
              </w:rPr>
            </w:pPr>
          </w:p>
        </w:tc>
        <w:tc>
          <w:tcPr>
            <w:tcW w:w="5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Atlanta, Georgia 30305</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Vickie Summey</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Telephone Number:</w:t>
            </w:r>
          </w:p>
        </w:tc>
        <w:tc>
          <w:tcPr>
            <w:tcW w:w="5800" w:type="dxa"/>
            <w:vAlign w:val="bottom"/>
          </w:tcPr>
          <w:p>
            <w:pPr>
              <w:jc w:val="right"/>
              <w:ind w:right="4570"/>
              <w:spacing w:after="0"/>
              <w:rPr>
                <w:sz w:val="20"/>
                <w:szCs w:val="20"/>
                <w:color w:val="auto"/>
              </w:rPr>
            </w:pPr>
            <w:r>
              <w:rPr>
                <w:rFonts w:ascii="Times New Roman" w:cs="Times New Roman" w:eastAsia="Times New Roman" w:hAnsi="Times New Roman"/>
                <w:sz w:val="18"/>
                <w:szCs w:val="18"/>
                <w:color w:val="auto"/>
                <w:w w:val="99"/>
              </w:rPr>
              <w:t>(678) 784-7157</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Email: vickiesummey@synovus.com</w:t>
            </w:r>
          </w:p>
        </w:tc>
        <w:tc>
          <w:tcPr>
            <w:tcW w:w="0" w:type="dxa"/>
            <w:vAlign w:val="bottom"/>
          </w:tcPr>
          <w:p>
            <w:pPr>
              <w:spacing w:after="0"/>
              <w:rPr>
                <w:sz w:val="1"/>
                <w:szCs w:val="1"/>
                <w:color w:val="auto"/>
              </w:rPr>
            </w:pPr>
          </w:p>
        </w:tc>
      </w:tr>
      <w:tr>
        <w:trPr>
          <w:trHeight w:val="675"/>
        </w:trPr>
        <w:tc>
          <w:tcPr>
            <w:tcW w:w="3120" w:type="dxa"/>
            <w:vAlign w:val="bottom"/>
            <w:tcBorders>
              <w:bottom w:val="single" w:sz="8" w:color="DCDCDC"/>
            </w:tcBorders>
          </w:tcPr>
          <w:p>
            <w:pPr>
              <w:spacing w:after="0"/>
              <w:rPr>
                <w:sz w:val="24"/>
                <w:szCs w:val="24"/>
                <w:color w:val="auto"/>
              </w:rPr>
            </w:pPr>
          </w:p>
        </w:tc>
        <w:tc>
          <w:tcPr>
            <w:tcW w:w="8300" w:type="dxa"/>
            <w:vAlign w:val="bottom"/>
            <w:tcBorders>
              <w:bottom w:val="single" w:sz="8" w:color="DCDCDC"/>
            </w:tcBorders>
            <w:gridSpan w:val="2"/>
          </w:tcPr>
          <w:p>
            <w:pPr>
              <w:ind w:left="2400"/>
              <w:spacing w:after="0"/>
              <w:rPr>
                <w:sz w:val="20"/>
                <w:szCs w:val="20"/>
                <w:color w:val="auto"/>
              </w:rPr>
            </w:pPr>
            <w:r>
              <w:rPr>
                <w:rFonts w:ascii="Times New Roman" w:cs="Times New Roman" w:eastAsia="Times New Roman" w:hAnsi="Times New Roman"/>
                <w:sz w:val="18"/>
                <w:szCs w:val="18"/>
                <w:color w:val="auto"/>
              </w:rPr>
              <w:t>- 54 -</w:t>
            </w: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84" w:name="page185"/>
    <w:bookmarkEnd w:id="184"/>
    <w:p>
      <w:pPr>
        <w:ind w:left="39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Alston &amp; Bird LLP</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1201 West Peachtree Street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Atlanta, Georgia 30309</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Attn: Richard W. Grice</w:t>
      </w:r>
    </w:p>
    <w:p>
      <w:pPr>
        <w:spacing w:after="0" w:line="9" w:lineRule="exact"/>
        <w:rPr>
          <w:sz w:val="20"/>
          <w:szCs w:val="20"/>
          <w:color w:val="auto"/>
        </w:rPr>
      </w:pPr>
    </w:p>
    <w:p>
      <w:pPr>
        <w:ind w:left="3900"/>
        <w:spacing w:after="0"/>
        <w:tabs>
          <w:tab w:leader="none" w:pos="5620" w:val="left"/>
        </w:tabs>
        <w:rPr>
          <w:sz w:val="20"/>
          <w:szCs w:val="20"/>
          <w:color w:val="auto"/>
        </w:rPr>
      </w:pPr>
      <w:r>
        <w:rPr>
          <w:rFonts w:ascii="Times New Roman" w:cs="Times New Roman" w:eastAsia="Times New Roman" w:hAnsi="Times New Roman"/>
          <w:sz w:val="18"/>
          <w:szCs w:val="18"/>
          <w:color w:val="auto"/>
        </w:rPr>
        <w:t>Telephone Number:</w:t>
      </w:r>
      <w:r>
        <w:rPr>
          <w:sz w:val="20"/>
          <w:szCs w:val="20"/>
          <w:color w:val="auto"/>
        </w:rPr>
        <w:tab/>
      </w:r>
      <w:r>
        <w:rPr>
          <w:rFonts w:ascii="Times New Roman" w:cs="Times New Roman" w:eastAsia="Times New Roman" w:hAnsi="Times New Roman"/>
          <w:sz w:val="17"/>
          <w:szCs w:val="17"/>
          <w:color w:val="auto"/>
        </w:rPr>
        <w:t>(404) 881-7576</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Email: richard.grice@alston.com</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party hereto may change its address, telefacsimile number or email address for notices and other communications hereunder by notice to the other parties hereto. All such notices and other communications shall, when transmitted by hand or overnight delivery, be effective when delivered, when sent by telefacsimile or email in .pdf format, be effective when transmitted in legible form, or if mailed, upon the third Business Day after the date deposited into the mail or if delivered, upon delivery.</w:t>
      </w:r>
    </w:p>
    <w:p>
      <w:pPr>
        <w:spacing w:after="0" w:line="207" w:lineRule="exact"/>
        <w:rPr>
          <w:sz w:val="20"/>
          <w:szCs w:val="20"/>
          <w:color w:val="auto"/>
        </w:rPr>
      </w:pPr>
    </w:p>
    <w:p>
      <w:pPr>
        <w:jc w:val="both"/>
        <w:ind w:firstLine="1305"/>
        <w:spacing w:after="0" w:line="255" w:lineRule="auto"/>
        <w:tabs>
          <w:tab w:leader="none" w:pos="204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of the Lender herein to receive certain notices by telephone, telefacsimile or email in .pdf format is solely for the convenience and at the request of the Borrower. The Lender shall be entitled to rely on the authority of any Person purporting to be a Person authorized by the Borrower to give such notice, and the Lender shall not have any liability to the Borrower or other Person on account of any action taken or not taken by the Lender in reliance upon such telephonic, telefacsimile or email transmitted notice. The obligation of the Borrower to repay the Revolving Loan and all other Obligations hereunder shall not be affected in any way or to any extent by any failure of the Lender to receive written confirmation of any telephonic or telefacsimile notice or the receipt by the Lender of a confirmation which is at variance with the terms understood by the Lender to be contained in any such telephonic or telefacsimile notice.</w:t>
      </w:r>
    </w:p>
    <w:p>
      <w:pPr>
        <w:spacing w:after="0" w:line="212"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Section 9.2.</w:t>
      </w:r>
      <w:r>
        <w:rPr>
          <w:sz w:val="20"/>
          <w:szCs w:val="20"/>
          <w:color w:val="auto"/>
        </w:rPr>
        <w:tab/>
      </w:r>
      <w:r>
        <w:rPr>
          <w:rFonts w:ascii="Times New Roman" w:cs="Times New Roman" w:eastAsia="Times New Roman" w:hAnsi="Times New Roman"/>
          <w:sz w:val="17"/>
          <w:szCs w:val="17"/>
          <w:u w:val="single" w:color="auto"/>
          <w:color w:val="auto"/>
        </w:rPr>
        <w:t>Waiver; Amendments</w:t>
      </w:r>
      <w:r>
        <w:rPr>
          <w:rFonts w:ascii="Times New Roman" w:cs="Times New Roman" w:eastAsia="Times New Roman" w:hAnsi="Times New Roman"/>
          <w:sz w:val="17"/>
          <w:szCs w:val="17"/>
          <w:b w:val="1"/>
          <w:bCs w:val="1"/>
          <w:u w:val="single" w:color="auto"/>
          <w:color w:val="auto"/>
        </w:rPr>
        <w:t>.</w:t>
      </w:r>
    </w:p>
    <w:p>
      <w:pPr>
        <w:spacing w:after="0" w:line="256" w:lineRule="exact"/>
        <w:rPr>
          <w:sz w:val="20"/>
          <w:szCs w:val="20"/>
          <w:color w:val="auto"/>
        </w:rPr>
      </w:pPr>
    </w:p>
    <w:p>
      <w:pPr>
        <w:jc w:val="both"/>
        <w:ind w:firstLine="1305"/>
        <w:spacing w:after="0" w:line="254" w:lineRule="auto"/>
        <w:tabs>
          <w:tab w:leader="none" w:pos="215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Lender in exercising any right or power hereunder or any other Loan Document, and no course of dealing between the Borrower and the Lender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Lender hereunder and under the other Loan Documents are cumulative and are not exclusive of any rights or remedies provided by law. No waiver of any provision of this Agreement or any other Loan Document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any Revolving Loan shall not be construed as a waiver of any Default or Event of Default, regardless of whether the Lender may have had notice or knowledge of such Default or Event of Default at the time.</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85" w:name="page186"/>
    <w:bookmarkEnd w:id="185"/>
    <w:p>
      <w:pPr>
        <w:jc w:val="both"/>
        <w:ind w:left="-1200" w:firstLine="1305"/>
        <w:spacing w:after="0" w:line="255" w:lineRule="auto"/>
        <w:tabs>
          <w:tab w:leader="none" w:pos="87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waiver of any provision of this Agreement or the other Loan Documents, nor consent to any departure by the Borrower therefrom, shall in any event be effective unless the same shall be in writing and signed by the Borrower and the Lender, and then such waiver or consent shall be effective only in the specific instance and for the specific purpose for which given. Notwithstanding anything herein or otherwise to the contrary, any Event of Default occurring hereunder shall continue to exist (and shall be deemed to be continuing) until such time as such Event of Default is waived in writing in accordance with the terms of this Section notwithstanding (i) any attempted cure or other action taken by the Borrower or any other Person subsequent to the occurrence of such Event of Default or (ii) any action taken or omitted to be taken by the Lender prior to or subsequent to the occurrence of such Event of Default (other than the granting of a waiver in writing in accordance with the terms of this Section).</w:t>
      </w:r>
    </w:p>
    <w:p>
      <w:pPr>
        <w:spacing w:after="0" w:line="212" w:lineRule="exact"/>
        <w:rPr>
          <w:sz w:val="20"/>
          <w:szCs w:val="20"/>
          <w:color w:val="auto"/>
        </w:rPr>
      </w:pPr>
    </w:p>
    <w:p>
      <w:pPr>
        <w:ind w:left="1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Section 9.3.</w:t>
      </w:r>
      <w:r>
        <w:rPr>
          <w:sz w:val="20"/>
          <w:szCs w:val="20"/>
          <w:color w:val="auto"/>
        </w:rPr>
        <w:tab/>
      </w:r>
      <w:r>
        <w:rPr>
          <w:rFonts w:ascii="Times New Roman" w:cs="Times New Roman" w:eastAsia="Times New Roman" w:hAnsi="Times New Roman"/>
          <w:sz w:val="18"/>
          <w:szCs w:val="18"/>
          <w:u w:val="single" w:color="auto"/>
          <w:color w:val="auto"/>
        </w:rPr>
        <w:t>Expenses; Indemnification</w:t>
      </w:r>
      <w:r>
        <w:rPr>
          <w:rFonts w:ascii="Times New Roman" w:cs="Times New Roman" w:eastAsia="Times New Roman" w:hAnsi="Times New Roman"/>
          <w:sz w:val="18"/>
          <w:szCs w:val="18"/>
          <w:b w:val="1"/>
          <w:bCs w:val="1"/>
          <w:u w:val="single" w:color="auto"/>
          <w:color w:val="auto"/>
        </w:rPr>
        <w:t>.</w:t>
      </w:r>
    </w:p>
    <w:p>
      <w:pPr>
        <w:spacing w:after="0" w:line="256" w:lineRule="exact"/>
        <w:rPr>
          <w:sz w:val="20"/>
          <w:szCs w:val="20"/>
          <w:color w:val="auto"/>
        </w:rPr>
      </w:pPr>
    </w:p>
    <w:p>
      <w:pPr>
        <w:jc w:val="both"/>
        <w:ind w:left="-1200" w:firstLine="1305"/>
        <w:spacing w:after="0" w:line="255" w:lineRule="auto"/>
        <w:tabs>
          <w:tab w:leader="none" w:pos="90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 all reasonable, out-of-pocket costs and expenses of the Lender and its Affiliates (including, without limitation, the reasonable fees, charges and disbursements of outside counsel and the allocated cost of inside counsel for the Lender and its Affiliates) in connection with the syndication of the Revolving Commitment Loan provided for herein, if any, the preparation and administration of the Loan Documents and any amendments, modifications or waivers thereof (whether or not the transactions contemplated in this Agreement or any other Loan Document shall be consummated), and (ii) all out-of-pocket costs and expenses (including, without limitation, the reasonable fees, charges and disbursements of outside counsel and the allocated cost of inside counsel) incurred by the Lender in connection with the enforcement or protection of its rights in connection with this Agreement, including its rights under this Section, or in connection with the Revolving Loans (or Revolving Commitment) made hereunder, including all such out-of-pocket expenses incurred during any workout, restructuring or negotiations in respect of the Revolving Loans.</w:t>
      </w:r>
    </w:p>
    <w:p>
      <w:pPr>
        <w:spacing w:after="0" w:line="212" w:lineRule="exact"/>
        <w:rPr>
          <w:rFonts w:ascii="Times New Roman" w:cs="Times New Roman" w:eastAsia="Times New Roman" w:hAnsi="Times New Roman"/>
          <w:sz w:val="18"/>
          <w:szCs w:val="18"/>
          <w:color w:val="auto"/>
        </w:rPr>
      </w:pPr>
    </w:p>
    <w:p>
      <w:pPr>
        <w:jc w:val="both"/>
        <w:ind w:left="-1200" w:firstLine="1305"/>
        <w:spacing w:after="0" w:line="253" w:lineRule="auto"/>
        <w:tabs>
          <w:tab w:leader="none" w:pos="80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the Lender and each officer, director, employee, agents, advisors and Affiliates of the Lender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of them harmless from, any and all costs, losses, liabilities, claims, damages and related expenses, including the fees, charges and disbursements of any counsel for any Indemnitee, which may be incurred by any Indemnitee, or asserted against any Indemnitee by the Borrower or any third Person, arising out of, in connection with or as a result of (i) the execution or delivery of any this Agreement or any other Loan Document, the performance by the parties hereto of their respective obligations hereunder or the consummation of any of the transactions contemplated hereby, (ii) the Revolving Loans (or Revolving Commitment) or any actual or proposed use of the proceeds therefrom, (iii) the use by any Person of any information or materials obtained by or through SyndTrak or other secured internet web sites, (iv) any actual presence or release of Hazardous Materials on or from any property owned by the Borrower or any Subsidiary in violation of any Environmental Law by Borrower or any Subsidiary or any Environmental Liability related in any way to the Borrower or any Subsidiary or (v) any actual or prospective claim, litigation, investigation or proceeding relating to any of the foregoing, whether brought by the Borrower or any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indemnity shall not, as to any Indemnitee, be available to the extent that such losses, claims, damages, liabilities or related expenses are determined by a court of competent jurisdiction in a final judgment to have resulted from the gross negligence or willful misconduct of such Indemnitee.</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4420" w:hanging="101"/>
        <w:spacing w:after="0"/>
        <w:tabs>
          <w:tab w:leader="none" w:pos="44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18" w:right="239" w:bottom="1440" w:gutter="0" w:footer="0" w:header="0"/>
        </w:sectPr>
      </w:pPr>
    </w:p>
    <w:bookmarkStart w:id="186" w:name="page187"/>
    <w:bookmarkEnd w:id="186"/>
    <w:p>
      <w:pPr>
        <w:jc w:val="both"/>
        <w:ind w:left="-1200" w:firstLine="1305"/>
        <w:spacing w:after="0" w:line="266" w:lineRule="auto"/>
        <w:tabs>
          <w:tab w:leader="none" w:pos="8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and hold the Lender harmless from and against, any and all present and future stamp, documentary, and other similar taxes with respect to this Agreement and any other Loan Documents, or any payments due thereunder, and save the Lender harmless from and against any and all liabilities with respect to or resulting from any delay or omission by the Borrower to pay such taxes.</w:t>
      </w:r>
    </w:p>
    <w:p>
      <w:pPr>
        <w:spacing w:after="0" w:line="203" w:lineRule="exact"/>
        <w:rPr>
          <w:rFonts w:ascii="Times New Roman" w:cs="Times New Roman" w:eastAsia="Times New Roman" w:hAnsi="Times New Roman"/>
          <w:sz w:val="18"/>
          <w:szCs w:val="18"/>
          <w:color w:val="auto"/>
        </w:rPr>
      </w:pPr>
    </w:p>
    <w:p>
      <w:pPr>
        <w:jc w:val="both"/>
        <w:ind w:left="-1200" w:firstLine="1305"/>
        <w:spacing w:after="0" w:line="261" w:lineRule="auto"/>
        <w:tabs>
          <w:tab w:leader="none" w:pos="82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Borrower shall not assert, and hereby waives, any claim against any Indemnitee, on any theory of liability, for special, indirect, consequential or punitive damages (as opposed to actual or direct damages) arising out of, in connection with or as a result of, this Agreement or any agreement or instrument contemplated hereby, the transactions contemplated therein, the Revolving Loans (or Revolving Commitment) or the use of proceeds thereof.</w:t>
      </w:r>
    </w:p>
    <w:p>
      <w:pPr>
        <w:spacing w:after="0" w:line="207" w:lineRule="exact"/>
        <w:rPr>
          <w:rFonts w:ascii="Times New Roman" w:cs="Times New Roman" w:eastAsia="Times New Roman" w:hAnsi="Times New Roman"/>
          <w:sz w:val="18"/>
          <w:szCs w:val="18"/>
          <w:color w:val="auto"/>
        </w:rPr>
      </w:pPr>
    </w:p>
    <w:p>
      <w:pPr>
        <w:ind w:left="780" w:hanging="675"/>
        <w:spacing w:after="0"/>
        <w:tabs>
          <w:tab w:leader="none" w:pos="7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shall be payable promptly after written demand therefor.</w:t>
      </w:r>
    </w:p>
    <w:p>
      <w:pPr>
        <w:spacing w:after="0" w:line="248" w:lineRule="exact"/>
        <w:rPr>
          <w:sz w:val="20"/>
          <w:szCs w:val="20"/>
          <w:color w:val="auto"/>
        </w:rPr>
      </w:pPr>
    </w:p>
    <w:p>
      <w:pPr>
        <w:ind w:left="1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Section 9.4.</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ind w:left="-1200" w:firstLine="1305"/>
        <w:spacing w:after="0" w:line="254" w:lineRule="auto"/>
        <w:tabs>
          <w:tab w:leader="none" w:pos="105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Lender, and the Lender may not assign or otherwise transfer any of its rights or obligations hereunder except (i) with the prior written consent of the Borrower (which consent shall not be unreasonably delayed, denied, conditioned or withheld), unless an Event of Default has occurred and is continuing, (ii) to an Eligible Assignee in accordance with the provisions of paragraph (b) of this Section, (iii) by way of participation in accordance with the provisions of paragraph (d) of this Section, or (iv) by way of pledge or assignment of a security interest subject to the restrictions of paragraph (e) of this Section (and any attempted assignment or transfer by either party without such consent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Lender and its affiliates) any legal or equitable right, remedy or claim under or by reason of this Agreement.</w:t>
      </w:r>
    </w:p>
    <w:p>
      <w:pPr>
        <w:spacing w:after="0" w:line="213" w:lineRule="exact"/>
        <w:rPr>
          <w:rFonts w:ascii="Times New Roman" w:cs="Times New Roman" w:eastAsia="Times New Roman" w:hAnsi="Times New Roman"/>
          <w:sz w:val="18"/>
          <w:szCs w:val="18"/>
          <w:color w:val="auto"/>
        </w:rPr>
      </w:pPr>
    </w:p>
    <w:p>
      <w:pPr>
        <w:jc w:val="both"/>
        <w:ind w:left="-1200" w:firstLine="1305"/>
        <w:spacing w:after="0" w:line="266" w:lineRule="auto"/>
        <w:tabs>
          <w:tab w:leader="none" w:pos="9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at any time assign to one or more Eligible Assignees all or a portion of its rights and obligations under this Agreement (including all or a portion of its Revolving Commitment and the Revolving Loans at the time owing to it, in each case, without the consent or notice to, the Borrower).</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420" w:hanging="101"/>
        <w:spacing w:after="0"/>
        <w:tabs>
          <w:tab w:leader="none" w:pos="44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18" w:right="239" w:bottom="1440" w:gutter="0" w:footer="0" w:header="0"/>
        </w:sectPr>
      </w:pPr>
    </w:p>
    <w:bookmarkStart w:id="187" w:name="page188"/>
    <w:bookmarkEnd w:id="187"/>
    <w:p>
      <w:pPr>
        <w:jc w:val="both"/>
        <w:ind w:left="-8" w:firstLine="1305"/>
        <w:spacing w:after="0" w:line="256" w:lineRule="auto"/>
        <w:tabs>
          <w:tab w:leader="none" w:pos="2165"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acting solely for this purpose as an agent of the Borrower, shall maintain at the Principal Office a copy of each Assignment and Assumption delivered to it and a register for the recordation of the names and addresses of any new lender, and the Commitment of, and principal amounts of the Revolving Loans owing to, the Lender(s)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 and the Lender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214" w:lineRule="exact"/>
        <w:rPr>
          <w:rFonts w:ascii="Times New Roman" w:cs="Times New Roman" w:eastAsia="Times New Roman" w:hAnsi="Times New Roman"/>
          <w:sz w:val="18"/>
          <w:szCs w:val="18"/>
          <w:color w:val="auto"/>
        </w:rPr>
      </w:pPr>
    </w:p>
    <w:p>
      <w:pPr>
        <w:jc w:val="both"/>
        <w:ind w:left="-8" w:firstLine="1305"/>
        <w:spacing w:after="0" w:line="257" w:lineRule="auto"/>
        <w:tabs>
          <w:tab w:leader="none" w:pos="210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at any time, without the consent of, or notice to, the Borrower, sell participations to any Person (other than a natural person or the Borrower or any Subsidiary of the Borrower or Affiliate of the Borrower)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the Lender’s rights and/or obligations under this Agreement (including, all or a portion of its Revolving Commitment and/or the Revolving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1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obligations under this Agreement shall remain unchanged, (ii) the Lender shall remain solely responsible to the other parties hereto for the performance of such obligations and (iii) the Borrower shall continue to deal solely and directly with the Lender in connection with the Lender's rights and obligations under this Agreement. Any agreement or instrument pursuant to which the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agreement or instrument may provide that such Lender will not, without the consent of the Participant, agree to any amendment, modification or waiver that would (i) postpone any date upon which any payment of money is scheduled to be made to such Participant, (ii) reduce the principal, interest, fees or other amounts payable to such Participant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Lender may, without the consent of the Participant, (A) amend any financial covenant hereunder (or any defined term used therein) even if the effect of such amendment would be to reduce the rate of interest on the Revolving Loans or to reduce any fee payable hereunder and (B) waive the right to be paid Default Interest), or (iii) release any Guarantor from its Guaranty, as applicable.</w:t>
      </w:r>
    </w:p>
    <w:p>
      <w:pPr>
        <w:spacing w:after="0" w:line="221" w:lineRule="exact"/>
        <w:rPr>
          <w:rFonts w:ascii="Times New Roman" w:cs="Times New Roman" w:eastAsia="Times New Roman" w:hAnsi="Times New Roman"/>
          <w:sz w:val="18"/>
          <w:szCs w:val="18"/>
          <w:color w:val="auto"/>
        </w:rPr>
      </w:pPr>
    </w:p>
    <w:p>
      <w:pPr>
        <w:jc w:val="both"/>
        <w:ind w:left="-8" w:firstLine="1305"/>
        <w:spacing w:after="0" w:line="261" w:lineRule="auto"/>
        <w:tabs>
          <w:tab w:leader="none" w:pos="208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 may at any time pledge or assign a security interest in all or any portion of its rights under this Agreement and the Revolving Credit Note to secure obligations of the Lender without complying with this Section, including, without limitation,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shall release the Lender from any of its obligations hereunder or substitute any such pledgee or assignee for the Lender as a party hereto.</w:t>
      </w:r>
    </w:p>
    <w:p>
      <w:pPr>
        <w:spacing w:after="0" w:line="203" w:lineRule="exact"/>
        <w:rPr>
          <w:sz w:val="20"/>
          <w:szCs w:val="20"/>
          <w:color w:val="auto"/>
        </w:rPr>
      </w:pPr>
    </w:p>
    <w:p>
      <w:pPr>
        <w:ind w:left="1292"/>
        <w:spacing w:after="0"/>
        <w:tabs>
          <w:tab w:leader="none" w:pos="2372" w:val="left"/>
        </w:tabs>
        <w:rPr>
          <w:sz w:val="20"/>
          <w:szCs w:val="20"/>
          <w:color w:val="auto"/>
        </w:rPr>
      </w:pPr>
      <w:r>
        <w:rPr>
          <w:rFonts w:ascii="Times New Roman" w:cs="Times New Roman" w:eastAsia="Times New Roman" w:hAnsi="Times New Roman"/>
          <w:sz w:val="18"/>
          <w:szCs w:val="18"/>
          <w:b w:val="1"/>
          <w:bCs w:val="1"/>
          <w:color w:val="auto"/>
        </w:rPr>
        <w:t>Section 9.5.</w:t>
      </w:r>
      <w:r>
        <w:rPr>
          <w:sz w:val="20"/>
          <w:szCs w:val="20"/>
          <w:color w:val="auto"/>
        </w:rPr>
        <w:tab/>
      </w:r>
      <w:r>
        <w:rPr>
          <w:rFonts w:ascii="Times New Roman" w:cs="Times New Roman" w:eastAsia="Times New Roman" w:hAnsi="Times New Roman"/>
          <w:sz w:val="17"/>
          <w:szCs w:val="17"/>
          <w:u w:val="single" w:color="auto"/>
          <w:color w:val="auto"/>
        </w:rPr>
        <w:t>Governing Law; Jurisdiction; Consent to Service of Process</w:t>
      </w:r>
      <w:r>
        <w:rPr>
          <w:rFonts w:ascii="Times New Roman" w:cs="Times New Roman" w:eastAsia="Times New Roman" w:hAnsi="Times New Roman"/>
          <w:sz w:val="17"/>
          <w:szCs w:val="17"/>
          <w:b w:val="1"/>
          <w:bCs w:val="1"/>
          <w:u w:val="single" w:color="auto"/>
          <w:color w:val="auto"/>
        </w:rPr>
        <w:t>.</w:t>
      </w:r>
    </w:p>
    <w:p>
      <w:pPr>
        <w:spacing w:after="0" w:line="256" w:lineRule="exact"/>
        <w:rPr>
          <w:sz w:val="20"/>
          <w:szCs w:val="20"/>
          <w:color w:val="auto"/>
        </w:rPr>
      </w:pPr>
    </w:p>
    <w:p>
      <w:pPr>
        <w:jc w:val="both"/>
        <w:ind w:left="-8" w:firstLine="1305"/>
        <w:spacing w:after="0" w:line="266" w:lineRule="auto"/>
        <w:tabs>
          <w:tab w:leader="none" w:pos="206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SHALL BE CONSTRUED IN ACCORDANCE WITH AND BE GOVERNED BY THE LAW (WITHOUT GIVING EFFECT TO THE CONFLICT OF LAW PRINCIPLES THEREOF) OF THE STATE OF GEORGIA.</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612" w:hanging="101"/>
        <w:spacing w:after="0"/>
        <w:tabs>
          <w:tab w:leader="none" w:pos="561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18" w:right="239" w:bottom="1440" w:gutter="0" w:footer="0" w:header="0"/>
        </w:sectPr>
      </w:pPr>
    </w:p>
    <w:bookmarkStart w:id="188" w:name="page189"/>
    <w:bookmarkEnd w:id="188"/>
    <w:p>
      <w:pPr>
        <w:jc w:val="both"/>
        <w:ind w:firstLine="1305"/>
        <w:spacing w:after="0" w:line="255" w:lineRule="auto"/>
        <w:tabs>
          <w:tab w:leader="none" w:pos="20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submits, for itself and its property, to the non-exclusive jurisdiction of any Federal and/or state court located in the State of Georgia and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Georgia state court or, to the extent permitted by applicable law,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Lender may otherwise have to bring any action or proceeding relating to this Agreement or any other Loan Document against the Borrower or its properties in the courts that have jurisdiction over the Borrower.</w:t>
      </w:r>
    </w:p>
    <w:p>
      <w:pPr>
        <w:spacing w:after="0" w:line="212" w:lineRule="exact"/>
        <w:rPr>
          <w:rFonts w:ascii="Times New Roman" w:cs="Times New Roman" w:eastAsia="Times New Roman" w:hAnsi="Times New Roman"/>
          <w:sz w:val="18"/>
          <w:szCs w:val="18"/>
          <w:color w:val="auto"/>
        </w:rPr>
      </w:pPr>
    </w:p>
    <w:p>
      <w:pPr>
        <w:jc w:val="both"/>
        <w:ind w:firstLine="1305"/>
        <w:spacing w:after="0" w:line="261" w:lineRule="auto"/>
        <w:tabs>
          <w:tab w:leader="none" w:pos="201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irrevocably and unconditionally waives any objection which it may now or hereafter have to the laying of venue of any such suit, action or proceeding described in paragraph (b) of this Section and brought in any state or federal court located in the State of Georgia and referred to in paragraph (b) of this Section. Each of the parties hereto irrevocably waives, to the fullest extent permitted by applicable law, the defense of an inconvenient forum to the maintenance of such action or proceeding in any such court.</w:t>
      </w:r>
    </w:p>
    <w:p>
      <w:pPr>
        <w:spacing w:after="0" w:line="207" w:lineRule="exact"/>
        <w:rPr>
          <w:rFonts w:ascii="Times New Roman" w:cs="Times New Roman" w:eastAsia="Times New Roman" w:hAnsi="Times New Roman"/>
          <w:sz w:val="18"/>
          <w:szCs w:val="18"/>
          <w:color w:val="auto"/>
        </w:rPr>
      </w:pPr>
    </w:p>
    <w:p>
      <w:pPr>
        <w:jc w:val="both"/>
        <w:ind w:firstLine="1305"/>
        <w:spacing w:after="0" w:line="282" w:lineRule="auto"/>
        <w:tabs>
          <w:tab w:leader="none" w:pos="224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the service of process in the manner provided for notices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w:t>
      </w:r>
      <w:r>
        <w:rPr>
          <w:rFonts w:ascii="Times New Roman" w:cs="Times New Roman" w:eastAsia="Times New Roman" w:hAnsi="Times New Roman"/>
          <w:sz w:val="18"/>
          <w:szCs w:val="18"/>
          <w:color w:val="auto"/>
        </w:rPr>
        <w:t>. Nothing in this Agreement or in any other Loan Document will affect the right of any party hereto to serve process in any other manner permitted by law.</w:t>
      </w:r>
    </w:p>
    <w:p>
      <w:pPr>
        <w:spacing w:after="0" w:line="18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9.6.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IRREVOCABLY WAIVES, TO THE FULLEST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12"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9.7.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In addition to any rights now or hereafter granted under applicable law and not by way of limitation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rights, the Lender shall have the right, at any time or from time to time upon the occurrence and during the continuance of an Event of Default, without prior notice to the Borrower, any such notice being expressly waived by the Borrower to the extent permitted by applicable law, to set off and apply against all deposits (general or special, time or demand, provisional or final) of the Borrower at any time held or other obligations at any time owing by the Lender to or for the credit or the account of the Borrower against any and all Obligations owed to the Lender under this Agreement, irrespective of whether the Lender shall have made demand hereunder and although such Obligations may be unmatured. The Lender agrees promptly to notify the Borrower after any such set-off and any application made by the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to give such notice shall not affect the validity of such set-off and application.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89" w:name="page190"/>
    <w:bookmarkEnd w:id="189"/>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9.8. </w:t>
      </w:r>
      <w:r>
        <w:rPr>
          <w:rFonts w:ascii="Times New Roman" w:cs="Times New Roman" w:eastAsia="Times New Roman" w:hAnsi="Times New Roman"/>
          <w:sz w:val="18"/>
          <w:szCs w:val="18"/>
          <w:u w:val="single" w:color="auto"/>
          <w:color w:val="auto"/>
        </w:rPr>
        <w:t>Counterparts; Integration</w:t>
      </w:r>
      <w:r>
        <w:rPr>
          <w:rFonts w:ascii="Times New Roman" w:cs="Times New Roman" w:eastAsia="Times New Roman" w:hAnsi="Times New Roman"/>
          <w:sz w:val="18"/>
          <w:szCs w:val="18"/>
          <w:color w:val="auto"/>
        </w:rPr>
        <w:t>. This Agreement may be executed by one or more of the parties to this Agreement on any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separate counterparts (including by telefacsimile or by email, in .pdf format), and all of said counterparts taken together shall be deemed to constitute one and the same instrument. This Agreement, the other Loan Documents, and any separate letter agreement(s) relating to any fees payable to the Lender constitute the entire agreement among the parties hereto and thereto regarding the subject matters hereof and thereof and supersede all prior agreements and understandings, oral or written, regarding such subject matters. Delivery of an executed counterpart of a signature page of this Agreement and any other Loan Document by telefacsimile or by email, in .pdf format, shall be effective as delivery of a manually executed counterpart of this Agreement or such other Loan Document.</w:t>
      </w:r>
    </w:p>
    <w:p>
      <w:pPr>
        <w:spacing w:after="0" w:line="210"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covenants, agreements, representations and warranties made by the Borrower herein and in the certificates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instruments delivered in connection with or pursuant to this Agreement shall be considered to have been relied upon by the other parties hereto and shall survive the execution and delivery of this Agreement and the making of the Revolving Loans hereunder, regardless of any investigation made by any such other party or on its behalf and notwithstanding that the Lender may have had notice or knowledge of any Default or incorrect representation or warranty at the time any credit is extended hereunder, and shall continue in full force and effect as long as the principal of or any accrued interest on any Revolving Loan or any fee or any other amount payable under this Agreement is outstanding and unpaid and so long as the Revolving Commitment has not expired or terminated. The provisions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Revolving Loans, the expiration or termination of the Revolving Commitment or the termination of this Agreement or any provision hereof. All representations and warranties made herein, in the certificates, reports, notices, and other documents delivered pursu-ant to this Agreement shall survive the execution and delivery of this Agreement and the other Loan Documents, and the making of the Revolving Loans.</w:t>
      </w:r>
    </w:p>
    <w:p>
      <w:pPr>
        <w:spacing w:after="0" w:line="213"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or any other Loan Document held to be illegal, invalid or unenforceable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90" w:name="page191"/>
    <w:bookmarkEnd w:id="190"/>
    <w:p>
      <w:pPr>
        <w:jc w:val="both"/>
        <w:ind w:firstLine="1297"/>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9.11.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Lender agrees to maintain the confidentiality of any and all non-public, confidential or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identified to the Lender as such, of or relating to the Borrower or any Subsidiary and their respective businesses, operations, finances or strategies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For purposes of this Section, Confidential Information shall not include: (1) information that was already known to the recipient without an obligation of confidentiality to the Borrower or any Subsidiary with respect to such information, (2) information that was obtained from a third party who was not known to the Lender to be under an obligation of confidentiality to the Borrower or any Subsidiary with respect to such information, (3) information that is or becomes publicly available, other than through a breach of this Section by the Lender or any Participant or any of their respective representatives, employees or agents. Notwithstanding the foregoing, Confidential Information may be disclosed (i) to any officer, director, agent, affiliate or representative of the Lender, including, without limitation, accountants, legal counsel and other advisors;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Person shall agree to be bound by the confidentiality provisions set forth in this Section with respect to such information, (ii) to the extent required by applicable laws or regulations or by any subpoena or similar legal process, (iii) to the extent requested by any regulatory agency or authority, (iv) to the extent necessary in connection with the exercise of any remedy hereunder or any suit, action or proceeding relating to this Agreement or the enforcement of rights hereunder,</w:t>
      </w:r>
    </w:p>
    <w:p>
      <w:pPr>
        <w:spacing w:after="0" w:line="9" w:lineRule="exact"/>
        <w:rPr>
          <w:sz w:val="20"/>
          <w:szCs w:val="20"/>
          <w:color w:val="auto"/>
        </w:rPr>
      </w:pPr>
    </w:p>
    <w:p>
      <w:pPr>
        <w:ind w:left="280" w:hanging="272"/>
        <w:spacing w:after="0"/>
        <w:tabs>
          <w:tab w:leader="none" w:pos="2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 confidentiality agreement with provisions substantially similar to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to any actual or prospective assignee or Participant, or</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3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Borrower. Any Person required to maintain the confidentiality of any information as provided for in this Section shall be considered to have complied with its obligation to do so if such Person has exercised the same degree of care to maintain the confidentiality of such information as such Person would accord its own confidential information, but in no event less than a reasonable degree of care.</w:t>
      </w:r>
    </w:p>
    <w:p>
      <w:pPr>
        <w:spacing w:after="0" w:line="209"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9.12. </w:t>
      </w:r>
      <w:r>
        <w:rPr>
          <w:rFonts w:ascii="Times New Roman" w:cs="Times New Roman" w:eastAsia="Times New Roman" w:hAnsi="Times New Roman"/>
          <w:sz w:val="18"/>
          <w:szCs w:val="18"/>
          <w:u w:val="single" w:color="auto"/>
          <w:color w:val="auto"/>
        </w:rPr>
        <w:t>Waiver of Effect of Corporate Seal</w:t>
      </w:r>
      <w:r>
        <w:rPr>
          <w:rFonts w:ascii="Times New Roman" w:cs="Times New Roman" w:eastAsia="Times New Roman" w:hAnsi="Times New Roman"/>
          <w:sz w:val="18"/>
          <w:szCs w:val="18"/>
          <w:color w:val="auto"/>
        </w:rPr>
        <w:t>. The Borrower represents and warrants that it is not required to affix its corporate seal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or any other Loan Document pursuant to any requirement of law or regulation, agrees that this Agreement is delivered by Borrower under seal and waives any shortening of the statute of limitations that may result from not affixing the corporate seal to this Agreement or such other Loan Documents.</w:t>
      </w:r>
    </w:p>
    <w:p>
      <w:pPr>
        <w:spacing w:after="0" w:line="200" w:lineRule="exact"/>
        <w:rPr>
          <w:sz w:val="20"/>
          <w:szCs w:val="20"/>
          <w:color w:val="auto"/>
        </w:rPr>
      </w:pPr>
    </w:p>
    <w:p>
      <w:pPr>
        <w:spacing w:after="0" w:line="222"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9.13.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Lender hereby notifies the Borrower that pursuant to the requirements of the Patriot Act, it is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verify and record information that identifies the Borrower, which information includes the name and address of the Borrower and other information that will allow the Lender to identify the Borrower in accordance with the Patriot Act. The Borrower shall, and shall cause each of its Subsidiaries to, provide to the extent commercially reasonable, such information and take such other actions as are reasonably requested by the Lender in order to assist the Lender in maintaining compliance with the Patriot Act.</w:t>
      </w:r>
    </w:p>
    <w:p>
      <w:pPr>
        <w:spacing w:after="0" w:line="207"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9.14. </w:t>
      </w:r>
      <w:r>
        <w:rPr>
          <w:rFonts w:ascii="Times New Roman" w:cs="Times New Roman" w:eastAsia="Times New Roman" w:hAnsi="Times New Roman"/>
          <w:sz w:val="18"/>
          <w:szCs w:val="18"/>
          <w:u w:val="single" w:color="auto"/>
          <w:color w:val="auto"/>
        </w:rPr>
        <w:t>Independence of Covenants</w:t>
      </w:r>
      <w:r>
        <w:rPr>
          <w:rFonts w:ascii="Times New Roman" w:cs="Times New Roman" w:eastAsia="Times New Roman" w:hAnsi="Times New Roman"/>
          <w:sz w:val="18"/>
          <w:szCs w:val="18"/>
          <w:color w:val="auto"/>
        </w:rPr>
        <w:t>. All covenants hereunder shall be given independent effect so that if a particular action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91" w:name="page192"/>
    <w:bookmarkEnd w:id="191"/>
    <w:p>
      <w:pPr>
        <w:jc w:val="both"/>
        <w:ind w:firstLine="12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9.15.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In connection with all aspects of the transactions contemplated hereby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any amendment, waiver or other modification hereof or of any other Loan Document), the Borrower acknowledges and agrees, and acknowledges its Affiliates’ understanding, that: (i) the Borrower has consulted its own legal, accounting, regulatory and tax advisors to the extent it has deemed appropriate, and (B) the Borrower is capable of evaluating, and understands and accepts, the terms, risks and conditions of the transactions contemplated hereby and by the other Loan Documents; (ii) (A) the Lender is and has been acting solely as a principal and, except as expressly agreed in writing by the relevant parties, has not been, is not, and will not be acting as an advisor, agent or fiduciary for the Borrower or any of its Affiliates, or any other Person and (B) the Lender does not have any obligation to the Borrower or any of its Affiliates with respect to the transactions contemplated hereby except those obligations expressly set forth herein and in the other Loan Documents; and (iii) the Lender and its Affiliates may be engaged in a broad range of transactions that involve interests that differ from those of the Borrower and its Affiliates, and the Lender does not have any obligation to disclose any of such interests to the Borrower or any of its Affiliates. To the fullest extent permitted by law, the Borrower hereby waives and releases any claims that it may have against the Lender with respect to any breach or alleged breach of agency or fiduciary duty in connection with any aspect of any transaction contemplated hereby.</w:t>
      </w:r>
    </w:p>
    <w:p>
      <w:pPr>
        <w:spacing w:after="0" w:line="218"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9.16.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Revolving Loan, together with all fees, charges and other amounts which may be treated as interest on such Revolving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of interest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a Lender holding such Revolving Loan in accordance with applicable law, the rate of interest payable in respect of such Revolving Loan hereunder, together with all Charges payable in respect thereof, shall be limited to the Maximum Rate and, to the extent lawful, the interest and Charges that would have been payable in respect of such Revolving Loan but were not payable as a result of the operation of this Section shall be cumulated and the interest and Charges payable to such Lender in respect of other Revolving Loans or periods shall be increased (but not above the Maximum Rate therefor) until such cumulated amount, together with interest thereon at the Federal Funds Rate to the date of repayment, shall have been received by such Lender.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 Signatures appear on following pages]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92" w:name="page193"/>
    <w:bookmarkEnd w:id="192"/>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Credit Agreement to be duly executed by their respective authorized officers as of the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year first above written.</w:t>
      </w:r>
    </w:p>
    <w:p>
      <w:pPr>
        <w:spacing w:after="0" w:line="15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THE BORROWER:</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Rex S. Schuette</w:t>
      </w:r>
    </w:p>
    <w:p>
      <w:pPr>
        <w:spacing w:after="0" w:line="27" w:lineRule="exact"/>
        <w:rPr>
          <w:sz w:val="20"/>
          <w:szCs w:val="20"/>
          <w:color w:val="auto"/>
        </w:rPr>
      </w:pPr>
    </w:p>
    <w:tbl>
      <w:tblPr>
        <w:tblLayout w:type="fixed"/>
        <w:tblInd w:w="5960" w:type="dxa"/>
        <w:tblCellMar>
          <w:top w:w="0" w:type="dxa"/>
          <w:left w:w="0" w:type="dxa"/>
          <w:bottom w:w="0" w:type="dxa"/>
          <w:right w:w="0" w:type="dxa"/>
        </w:tblCellMar>
      </w:tblPr>
      <w:tr>
        <w:trPr>
          <w:trHeight w:val="218"/>
        </w:trPr>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5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Rex S. Schuette</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&amp;</w:t>
            </w:r>
          </w:p>
        </w:tc>
      </w:tr>
      <w:tr>
        <w:trPr>
          <w:trHeight w:val="234"/>
        </w:trPr>
        <w:tc>
          <w:tcPr>
            <w:tcW w:w="580" w:type="dxa"/>
            <w:vAlign w:val="bottom"/>
          </w:tcPr>
          <w:p>
            <w:pPr>
              <w:spacing w:after="0"/>
              <w:rPr>
                <w:sz w:val="20"/>
                <w:szCs w:val="20"/>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THE LENDER:</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SYNOVUS BANK,</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Lender</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300" w:val="left"/>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Michael Sawicki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26035</wp:posOffset>
            </wp:positionV>
            <wp:extent cx="260731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5960"/>
        <w:spacing w:after="0"/>
        <w:tabs>
          <w:tab w:leader="none" w:pos="6620" w:val="left"/>
        </w:tabs>
        <w:rPr>
          <w:sz w:val="20"/>
          <w:szCs w:val="20"/>
          <w:color w:val="auto"/>
        </w:rPr>
      </w:pPr>
      <w:r>
        <w:rPr>
          <w:rFonts w:ascii="Times New Roman" w:cs="Times New Roman" w:eastAsia="Times New Roman" w:hAnsi="Times New Roman"/>
          <w:sz w:val="18"/>
          <w:szCs w:val="18"/>
          <w:color w:val="auto"/>
        </w:rPr>
        <w:t>Name:</w:t>
        <w:tab/>
        <w:t>Michael Sawicki</w:t>
      </w:r>
    </w:p>
    <w:p>
      <w:pPr>
        <w:spacing w:after="0" w:line="27" w:lineRule="exact"/>
        <w:rPr>
          <w:sz w:val="20"/>
          <w:szCs w:val="20"/>
          <w:color w:val="auto"/>
        </w:rPr>
      </w:pPr>
    </w:p>
    <w:p>
      <w:pPr>
        <w:ind w:left="596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Corporate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230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459"/>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Subsidiaries of United Community Banks, Inc.</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9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Subsidiary</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State of Organization</w:t>
            </w:r>
          </w:p>
        </w:tc>
      </w:tr>
      <w:tr>
        <w:trPr>
          <w:trHeight w:val="198"/>
        </w:trPr>
        <w:tc>
          <w:tcPr>
            <w:tcW w:w="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w:t>
            </w:r>
          </w:p>
        </w:tc>
        <w:tc>
          <w:tcPr>
            <w:tcW w:w="8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Community Bank</w:t>
            </w:r>
          </w:p>
        </w:tc>
        <w:tc>
          <w:tcPr>
            <w:tcW w:w="2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Georgia</w:t>
            </w:r>
          </w:p>
        </w:tc>
        <w:tc>
          <w:tcPr>
            <w:tcW w:w="20" w:type="dxa"/>
            <w:vAlign w:val="bottom"/>
          </w:tcPr>
          <w:p>
            <w:pPr>
              <w:spacing w:after="0"/>
              <w:rPr>
                <w:sz w:val="17"/>
                <w:szCs w:val="17"/>
                <w:color w:val="auto"/>
              </w:rPr>
            </w:pPr>
          </w:p>
        </w:tc>
      </w:tr>
      <w:tr>
        <w:trPr>
          <w:trHeight w:val="216"/>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United Community Insurance Services,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216"/>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Union Holdings,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620" w:type="dxa"/>
            <w:vAlign w:val="bottom"/>
          </w:tcPr>
          <w:p>
            <w:pPr>
              <w:spacing w:after="0"/>
              <w:rPr>
                <w:sz w:val="18"/>
                <w:szCs w:val="18"/>
                <w:color w:val="auto"/>
              </w:rPr>
            </w:pPr>
          </w:p>
        </w:tc>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Union Investments,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United Community Mortgage Services,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216"/>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United Community Development Corporation</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216"/>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UCB North Georgia Properties,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216"/>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UCB Metro Properties,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216"/>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UCB Coastal Properties,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216"/>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UCB Tennessee Properties,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216"/>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UCB North Carolina Properties,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16"/>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UCB Real Estate Investments,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216"/>
        </w:trPr>
        <w:tc>
          <w:tcPr>
            <w:tcW w:w="620" w:type="dxa"/>
            <w:vAlign w:val="bottom"/>
          </w:tcPr>
          <w:p>
            <w:pPr>
              <w:spacing w:after="0"/>
              <w:rPr>
                <w:sz w:val="18"/>
                <w:szCs w:val="18"/>
                <w:color w:val="auto"/>
              </w:rPr>
            </w:pPr>
          </w:p>
        </w:tc>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Owen Glen,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216"/>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UCB Metro Real Estate Investments,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216"/>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UCBI Georgia Credits LLC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Capital Trust</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Capital Trust II</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Statutory Trust I</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Connecticut</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Statutory Trust II</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Statutory Trust III</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Southern Bancorp Capital Trust I</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Risk Management Services, Inc.</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Nevada</w:t>
            </w:r>
          </w:p>
        </w:tc>
      </w:tr>
      <w:tr>
        <w:trPr>
          <w:trHeight w:val="689"/>
        </w:trPr>
        <w:tc>
          <w:tcPr>
            <w:tcW w:w="620" w:type="dxa"/>
            <w:vAlign w:val="bottom"/>
            <w:tcBorders>
              <w:bottom w:val="single" w:sz="8" w:color="DCDCDC"/>
            </w:tcBorders>
          </w:tcPr>
          <w:p>
            <w:pPr>
              <w:spacing w:after="0"/>
              <w:rPr>
                <w:sz w:val="24"/>
                <w:szCs w:val="24"/>
                <w:color w:val="auto"/>
              </w:rPr>
            </w:pPr>
          </w:p>
        </w:tc>
        <w:tc>
          <w:tcPr>
            <w:tcW w:w="852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15"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20" w:firstLine="36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333-159958, 333-175226, 333-174420, 333-180752, and 333-185733) and S-8 (Nos. 33-80885, 333-70471, 333-86876, 333-99849, 333-120623, 333-125017, 333-130489, 333-145027, 333-145029,</w:t>
      </w:r>
    </w:p>
    <w:p>
      <w:pPr>
        <w:spacing w:after="0" w:line="255" w:lineRule="auto"/>
        <w:rPr>
          <w:sz w:val="20"/>
          <w:szCs w:val="20"/>
          <w:color w:val="auto"/>
        </w:rPr>
      </w:pPr>
      <w:r>
        <w:rPr>
          <w:rFonts w:ascii="Times New Roman" w:cs="Times New Roman" w:eastAsia="Times New Roman" w:hAnsi="Times New Roman"/>
          <w:sz w:val="18"/>
          <w:szCs w:val="18"/>
          <w:color w:val="auto"/>
        </w:rPr>
        <w:t>333-146820, 333-159989, 333-167185, 333-167186, 333-167187, 333-181675, 333-183767, 333-183768, and 333-183769) of United Community Banks, Inc. of our report dated February 28, 2014 relating to the financial statements and the effectiveness of internal control over financial reporting, which appears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198755</wp:posOffset>
            </wp:positionV>
            <wp:extent cx="2744470" cy="3943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444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2" w:right="2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23.2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have issued our report dated March 1, 2013, relating to our audits of the consolidated financial statements and internal control over financial reporting, included in the Annual Report on Form 10-K of United Community Banks, Inc. for the year ended December 31, 2012. We hereby consent to the incorporation by reference of said report in the Registration Statements of United Community Banks, Inc. on Form S-8 (File No. 33-80885, effective December 27, 1995; File No. 333-70471, effective January 12, 1999; File No. 333-86876, effective April 24, 2002; File No. 333-99849, effective September 19, 2002; File No. 333-120623, effective November 19, 2004; File No. 333-125017, effective May 17, 2005; File No. 333-130489, effective December 20, 2005; File No. 333-145027, effective August 1, 2007; File No. 333-145029, effective August 1, 2007; File No. 333-146820, effective October 19, 2007; File No. 333-159989, effective June 15, 2009; File No. 333-167185, effective May 28, 2010; File No. 333-167186, effective May 28, 2010; File No. 333-167187, effective May 28, 2010; File No. 333-181675, effective May 24, 2012; File no. 333-183767, effective September 7, 2012; File No. 333-183768, effective September 7, 2012; and File No. 333-183769, effective September 7, 2012) and Registration Statements of United Community Banks, Inc. on Form S-3 (File No. 333-159958, effective March 22, 2012; File No. 333-175226, effective March 28, 2012; File No. 333-174420, effective March 28, 2012; File No. 333-180752, effective April 25, 2012; and File No. 333-185733, effective January 30, 2013).</w:t>
      </w:r>
    </w:p>
    <w:p>
      <w:pPr>
        <w:spacing w:after="0" w:line="200" w:lineRule="exact"/>
        <w:rPr>
          <w:sz w:val="20"/>
          <w:szCs w:val="20"/>
          <w:color w:val="auto"/>
        </w:rPr>
      </w:pPr>
    </w:p>
    <w:p>
      <w:pPr>
        <w:spacing w:after="0" w:line="26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 Porter Keadle Moore, LLC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255"/>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Jimmy C. Tallent, certify that:</w:t>
      </w:r>
    </w:p>
    <w:p>
      <w:pPr>
        <w:spacing w:after="0" w:line="252" w:lineRule="exact"/>
        <w:rPr>
          <w:sz w:val="20"/>
          <w:szCs w:val="20"/>
          <w:color w:val="auto"/>
        </w:rPr>
      </w:pPr>
    </w:p>
    <w:p>
      <w:pPr>
        <w:ind w:left="240" w:hanging="232"/>
        <w:spacing w:after="0"/>
        <w:tabs>
          <w:tab w:leader="none" w:pos="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United Community Banks, Inc. (the “Registrant”);</w:t>
      </w:r>
    </w:p>
    <w:p>
      <w:pPr>
        <w:spacing w:after="0" w:line="252" w:lineRule="exact"/>
        <w:rPr>
          <w:rFonts w:ascii="Times New Roman" w:cs="Times New Roman" w:eastAsia="Times New Roman" w:hAnsi="Times New Roman"/>
          <w:sz w:val="18"/>
          <w:szCs w:val="18"/>
          <w:color w:val="auto"/>
        </w:rPr>
      </w:pPr>
    </w:p>
    <w:p>
      <w:pPr>
        <w:ind w:right="440" w:firstLine="8"/>
        <w:spacing w:after="0" w:line="282" w:lineRule="auto"/>
        <w:tabs>
          <w:tab w:leader="none" w:pos="22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160" w:firstLine="8"/>
        <w:spacing w:after="0" w:line="266" w:lineRule="auto"/>
        <w:tabs>
          <w:tab w:leader="none" w:pos="22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3" w:lineRule="exact"/>
        <w:rPr>
          <w:rFonts w:ascii="Times New Roman" w:cs="Times New Roman" w:eastAsia="Times New Roman" w:hAnsi="Times New Roman"/>
          <w:sz w:val="18"/>
          <w:szCs w:val="18"/>
          <w:color w:val="auto"/>
        </w:rPr>
      </w:pPr>
    </w:p>
    <w:p>
      <w:pPr>
        <w:ind w:left="660" w:right="20" w:hanging="4"/>
        <w:spacing w:after="0" w:line="266" w:lineRule="auto"/>
        <w:tabs>
          <w:tab w:leader="none" w:pos="84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40" w:hanging="4"/>
        <w:spacing w:after="0" w:line="266" w:lineRule="auto"/>
        <w:tabs>
          <w:tab w:leader="none" w:pos="85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880" w:hanging="4"/>
        <w:spacing w:after="0" w:line="313" w:lineRule="auto"/>
        <w:tabs>
          <w:tab w:leader="none" w:pos="845"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660" w:right="260" w:hanging="4"/>
        <w:spacing w:after="0" w:line="266" w:lineRule="auto"/>
        <w:tabs>
          <w:tab w:leader="none" w:pos="85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88" w:lineRule="exact"/>
        <w:rPr>
          <w:rFonts w:ascii="Times New Roman" w:cs="Times New Roman" w:eastAsia="Times New Roman" w:hAnsi="Times New Roman"/>
          <w:sz w:val="18"/>
          <w:szCs w:val="18"/>
          <w:color w:val="auto"/>
        </w:rPr>
      </w:pPr>
    </w:p>
    <w:p>
      <w:pPr>
        <w:ind w:left="660" w:right="260" w:hanging="4"/>
        <w:spacing w:after="0" w:line="282" w:lineRule="auto"/>
        <w:tabs>
          <w:tab w:leader="none" w:pos="84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20" w:hanging="4"/>
        <w:spacing w:after="0" w:line="282" w:lineRule="auto"/>
        <w:tabs>
          <w:tab w:leader="none" w:pos="85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19685</wp:posOffset>
            </wp:positionV>
            <wp:extent cx="252984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Rex S. Schuette, certify that:</w:t>
      </w:r>
    </w:p>
    <w:p>
      <w:pPr>
        <w:spacing w:after="0" w:line="252" w:lineRule="exact"/>
        <w:rPr>
          <w:sz w:val="20"/>
          <w:szCs w:val="20"/>
          <w:color w:val="auto"/>
        </w:rPr>
      </w:pPr>
    </w:p>
    <w:p>
      <w:pPr>
        <w:ind w:left="240" w:hanging="232"/>
        <w:spacing w:after="0"/>
        <w:tabs>
          <w:tab w:leader="none" w:pos="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United Community Banks, Inc. (the “Registrant”);</w:t>
      </w:r>
    </w:p>
    <w:p>
      <w:pPr>
        <w:spacing w:after="0" w:line="252" w:lineRule="exact"/>
        <w:rPr>
          <w:rFonts w:ascii="Times New Roman" w:cs="Times New Roman" w:eastAsia="Times New Roman" w:hAnsi="Times New Roman"/>
          <w:sz w:val="18"/>
          <w:szCs w:val="18"/>
          <w:color w:val="auto"/>
        </w:rPr>
      </w:pPr>
    </w:p>
    <w:p>
      <w:pPr>
        <w:ind w:right="440" w:firstLine="8"/>
        <w:spacing w:after="0" w:line="282" w:lineRule="auto"/>
        <w:tabs>
          <w:tab w:leader="none" w:pos="22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160" w:firstLine="8"/>
        <w:spacing w:after="0" w:line="266" w:lineRule="auto"/>
        <w:tabs>
          <w:tab w:leader="none" w:pos="22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3" w:lineRule="exact"/>
        <w:rPr>
          <w:rFonts w:ascii="Times New Roman" w:cs="Times New Roman" w:eastAsia="Times New Roman" w:hAnsi="Times New Roman"/>
          <w:sz w:val="18"/>
          <w:szCs w:val="18"/>
          <w:color w:val="auto"/>
        </w:rPr>
      </w:pPr>
    </w:p>
    <w:p>
      <w:pPr>
        <w:ind w:left="660" w:right="20" w:hanging="4"/>
        <w:spacing w:after="0" w:line="266" w:lineRule="auto"/>
        <w:tabs>
          <w:tab w:leader="none" w:pos="845"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40" w:hanging="4"/>
        <w:spacing w:after="0" w:line="266" w:lineRule="auto"/>
        <w:tabs>
          <w:tab w:leader="none" w:pos="855"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880" w:hanging="4"/>
        <w:spacing w:after="0" w:line="313" w:lineRule="auto"/>
        <w:tabs>
          <w:tab w:leader="none" w:pos="845"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660" w:right="260" w:hanging="4"/>
        <w:spacing w:after="0" w:line="266" w:lineRule="auto"/>
        <w:tabs>
          <w:tab w:leader="none" w:pos="855"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88" w:lineRule="exact"/>
        <w:rPr>
          <w:rFonts w:ascii="Times New Roman" w:cs="Times New Roman" w:eastAsia="Times New Roman" w:hAnsi="Times New Roman"/>
          <w:sz w:val="18"/>
          <w:szCs w:val="18"/>
          <w:color w:val="auto"/>
        </w:rPr>
      </w:pPr>
    </w:p>
    <w:p>
      <w:pPr>
        <w:ind w:left="660" w:right="260" w:hanging="4"/>
        <w:spacing w:after="0" w:line="282" w:lineRule="auto"/>
        <w:tabs>
          <w:tab w:leader="none" w:pos="845"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20" w:hanging="4"/>
        <w:spacing w:after="0" w:line="282" w:lineRule="auto"/>
        <w:tabs>
          <w:tab w:leader="none" w:pos="855"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ind w:left="640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Rex S. Schuette</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Date: February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255"/>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United Community Banks, Inc. (“United”) on Form 10-K for the period ending December 31, 2013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207" w:lineRule="exact"/>
        <w:rPr>
          <w:sz w:val="20"/>
          <w:szCs w:val="20"/>
          <w:color w:val="auto"/>
        </w:rPr>
      </w:pPr>
    </w:p>
    <w:p>
      <w:pPr>
        <w:ind w:left="980" w:hanging="324"/>
        <w:spacing w:after="0"/>
        <w:tabs>
          <w:tab w:leader="none" w:pos="9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United.</w:t>
      </w:r>
    </w:p>
    <w:p>
      <w:pPr>
        <w:spacing w:after="0" w:line="200" w:lineRule="exact"/>
        <w:rPr>
          <w:sz w:val="20"/>
          <w:szCs w:val="20"/>
          <w:color w:val="auto"/>
        </w:rPr>
      </w:pPr>
    </w:p>
    <w:p>
      <w:pPr>
        <w:spacing w:after="0" w:line="264" w:lineRule="exact"/>
        <w:rPr>
          <w:sz w:val="20"/>
          <w:szCs w:val="20"/>
          <w:color w:val="auto"/>
        </w:rPr>
      </w:pPr>
    </w:p>
    <w:p>
      <w:pPr>
        <w:ind w:left="640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ind w:left="6400"/>
        <w:spacing w:after="0"/>
        <w:tabs>
          <w:tab w:leader="none" w:pos="6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Rex S. Schuette</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February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255"/>
                    </a:xfrm>
                    <a:prstGeom prst="rect">
                      <a:avLst/>
                    </a:prstGeom>
                    <a:noFill/>
                  </pic:spPr>
                </pic:pic>
              </a:graphicData>
            </a:graphic>
          </wp:anchor>
        </w:drawing>
        <w:t>EXHIBIT 99</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31 C.F.R. § 30.15</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Jimmy C. Tallent, President and Chief Executive Officer of United Community Banks, Inc. (“United”), and Rex S. Schuette, Executive Vice President and Chief Financial Officer of United, certify, based on their knowledge, that:</w:t>
      </w:r>
    </w:p>
    <w:p>
      <w:pPr>
        <w:spacing w:after="0" w:line="189" w:lineRule="exact"/>
        <w:rPr>
          <w:sz w:val="20"/>
          <w:szCs w:val="20"/>
          <w:color w:val="auto"/>
        </w:rPr>
      </w:pPr>
    </w:p>
    <w:p>
      <w:pPr>
        <w:ind w:right="300" w:firstLine="8"/>
        <w:spacing w:after="0" w:line="266" w:lineRule="auto"/>
        <w:tabs>
          <w:tab w:leader="none" w:pos="21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of United has discussed, reviewed, and evaluated with senior risk officers during the most recently completed fiscal year, senior executive officers (as defined in subsection 111(b)(3) of the Emergency Economic Stabilization Act of 2008 and 31 C.F.R. § 30.2) (“SEO”) compensation plans and employee compensation plans and the risks these plans pose to United.</w:t>
      </w:r>
    </w:p>
    <w:p>
      <w:pPr>
        <w:spacing w:after="0" w:line="203" w:lineRule="exact"/>
        <w:rPr>
          <w:rFonts w:ascii="Times New Roman" w:cs="Times New Roman" w:eastAsia="Times New Roman" w:hAnsi="Times New Roman"/>
          <w:sz w:val="18"/>
          <w:szCs w:val="18"/>
          <w:color w:val="auto"/>
        </w:rPr>
      </w:pPr>
    </w:p>
    <w:p>
      <w:pPr>
        <w:ind w:right="220" w:firstLine="8"/>
        <w:spacing w:after="0" w:line="266" w:lineRule="auto"/>
        <w:tabs>
          <w:tab w:leader="none" w:pos="26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of United has identified and limited during the most recently completed fiscal year any features of the SEO compensation plans that could lead SEOs to take unnecessary and excessive risks that could threaten the value of United and has identified any features of the employee compensation plans that pose risks to United and has limited those features to ensure that United is not unnecessarily exposed to risks.</w:t>
      </w:r>
    </w:p>
    <w:p>
      <w:pPr>
        <w:spacing w:after="0" w:line="203" w:lineRule="exact"/>
        <w:rPr>
          <w:rFonts w:ascii="Times New Roman" w:cs="Times New Roman" w:eastAsia="Times New Roman" w:hAnsi="Times New Roman"/>
          <w:sz w:val="18"/>
          <w:szCs w:val="18"/>
          <w:color w:val="auto"/>
        </w:rPr>
      </w:pPr>
    </w:p>
    <w:p>
      <w:pPr>
        <w:ind w:right="60" w:firstLine="8"/>
        <w:spacing w:after="0" w:line="266" w:lineRule="auto"/>
        <w:tabs>
          <w:tab w:leader="none" w:pos="31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has reviewed, during the most recently completed fiscal year, the terms of each employee compensation plan and identified any features of the plan that could encourage the manipulation of reported earnings of United to enhance the compensation of an employee, and has limited any such features.</w:t>
      </w:r>
    </w:p>
    <w:p>
      <w:pPr>
        <w:spacing w:after="0" w:line="203" w:lineRule="exact"/>
        <w:rPr>
          <w:rFonts w:ascii="Times New Roman" w:cs="Times New Roman" w:eastAsia="Times New Roman" w:hAnsi="Times New Roman"/>
          <w:sz w:val="18"/>
          <w:szCs w:val="18"/>
          <w:color w:val="auto"/>
        </w:rPr>
      </w:pPr>
    </w:p>
    <w:p>
      <w:pPr>
        <w:ind w:right="200" w:firstLine="8"/>
        <w:spacing w:after="0" w:line="282" w:lineRule="auto"/>
        <w:tabs>
          <w:tab w:leader="none" w:pos="30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of United will certify to the reviews of the SEO compensation plans and employee compensation plans required under (i) and (iii) above.</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of United will provide a narrative description of how it limited during the most recently completed fiscal year the features in</w:t>
      </w:r>
    </w:p>
    <w:p>
      <w:pPr>
        <w:spacing w:after="0" w:line="252" w:lineRule="exact"/>
        <w:rPr>
          <w:rFonts w:ascii="Times New Roman" w:cs="Times New Roman" w:eastAsia="Times New Roman" w:hAnsi="Times New Roman"/>
          <w:sz w:val="18"/>
          <w:szCs w:val="18"/>
          <w:color w:val="auto"/>
        </w:rPr>
      </w:pPr>
    </w:p>
    <w:p>
      <w:pPr>
        <w:ind w:left="1600" w:hanging="295"/>
        <w:spacing w:after="0"/>
        <w:tabs>
          <w:tab w:leader="none" w:pos="16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SEO compensation plans that could lead SEOs to take unnecessary and excessive risks that could threaten the value of United;</w:t>
      </w:r>
    </w:p>
    <w:p>
      <w:pPr>
        <w:spacing w:after="0" w:line="252" w:lineRule="exact"/>
        <w:rPr>
          <w:rFonts w:ascii="Times New Roman" w:cs="Times New Roman" w:eastAsia="Times New Roman" w:hAnsi="Times New Roman"/>
          <w:sz w:val="18"/>
          <w:szCs w:val="18"/>
          <w:color w:val="auto"/>
        </w:rPr>
      </w:pPr>
    </w:p>
    <w:p>
      <w:pPr>
        <w:ind w:left="1580" w:hanging="275"/>
        <w:spacing w:after="0"/>
        <w:tabs>
          <w:tab w:leader="none" w:pos="15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plans that unnecessarily expose United to risks; and</w:t>
      </w:r>
    </w:p>
    <w:p>
      <w:pPr>
        <w:spacing w:after="0" w:line="252" w:lineRule="exact"/>
        <w:rPr>
          <w:rFonts w:ascii="Times New Roman" w:cs="Times New Roman" w:eastAsia="Times New Roman" w:hAnsi="Times New Roman"/>
          <w:sz w:val="18"/>
          <w:szCs w:val="18"/>
          <w:color w:val="auto"/>
        </w:rPr>
      </w:pPr>
    </w:p>
    <w:p>
      <w:pPr>
        <w:ind w:left="1580" w:hanging="275"/>
        <w:spacing w:after="0"/>
        <w:tabs>
          <w:tab w:leader="none" w:pos="15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plans that could encourage the manipulation of reported earnings of United to enhance the compensation of an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w:t>
      </w:r>
    </w:p>
    <w:p>
      <w:pPr>
        <w:spacing w:after="0" w:line="233" w:lineRule="exact"/>
        <w:rPr>
          <w:rFonts w:ascii="Times New Roman" w:cs="Times New Roman" w:eastAsia="Times New Roman" w:hAnsi="Times New Roman"/>
          <w:sz w:val="18"/>
          <w:szCs w:val="18"/>
          <w:color w:val="auto"/>
        </w:rPr>
      </w:pPr>
    </w:p>
    <w:p>
      <w:pPr>
        <w:ind w:right="60" w:firstLine="8"/>
        <w:spacing w:after="0" w:line="281" w:lineRule="auto"/>
        <w:tabs>
          <w:tab w:leader="none" w:pos="305"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United has required that bonus payments to SEOs or any of the next twenty most highly compensated employees, as defined in the regulations and guidance established under Section 111 of EESA (bonus payments), be subject to a recovery or “clawback” provision during the time in which any obligation arising from financial assistance provided under the Capital Purchase Program remained outstanding (the “Covered Period”) the most recently completed fiscal year if the bonus payments were based on materially inaccurate financial statements or any other materially inaccurate performance metric criteria.</w:t>
      </w:r>
    </w:p>
    <w:p>
      <w:pPr>
        <w:spacing w:after="0" w:line="191" w:lineRule="exact"/>
        <w:rPr>
          <w:rFonts w:ascii="Times New Roman" w:cs="Times New Roman" w:eastAsia="Times New Roman" w:hAnsi="Times New Roman"/>
          <w:sz w:val="17"/>
          <w:szCs w:val="17"/>
          <w:color w:val="auto"/>
        </w:rPr>
      </w:pPr>
    </w:p>
    <w:p>
      <w:pPr>
        <w:ind w:right="20" w:firstLine="8"/>
        <w:spacing w:after="0" w:line="282" w:lineRule="auto"/>
        <w:tabs>
          <w:tab w:leader="none" w:pos="3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has prohibited any golden parachute payment, as defined in the regulations and guidance established under Section 111 of EESA, to a SEO or any of the next five most highly compensated employees during the Covered Period of the most recently completed fiscal year.</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40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has limited bonus payments to its applicable employees in accordance with Section 111 of EESA and the regulations and guidance established thereunder during the Covered Period of the most recently completed fiscal year.</w:t>
      </w:r>
    </w:p>
    <w:p>
      <w:pPr>
        <w:spacing w:after="0" w:line="188" w:lineRule="exact"/>
        <w:rPr>
          <w:rFonts w:ascii="Times New Roman" w:cs="Times New Roman" w:eastAsia="Times New Roman" w:hAnsi="Times New Roman"/>
          <w:sz w:val="18"/>
          <w:szCs w:val="18"/>
          <w:color w:val="auto"/>
        </w:rPr>
      </w:pPr>
    </w:p>
    <w:p>
      <w:pPr>
        <w:ind w:right="240" w:firstLine="8"/>
        <w:spacing w:after="0" w:line="266" w:lineRule="auto"/>
        <w:tabs>
          <w:tab w:leader="none" w:pos="30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and its employees have complied with the excessive or luxury expenditures policy, as defined in the regulations and guidance established under Section 111 of EESA, during the most recently completed fiscal year; and any expenses that, pursuant to the policy, required approval of the board of directors, a committee of the board of directors, an SEO, or an executive officer with a similar level of responsibility, were properly approved.</w:t>
      </w:r>
    </w:p>
    <w:p>
      <w:pPr>
        <w:spacing w:after="0" w:line="203" w:lineRule="exact"/>
        <w:rPr>
          <w:rFonts w:ascii="Times New Roman" w:cs="Times New Roman" w:eastAsia="Times New Roman" w:hAnsi="Times New Roman"/>
          <w:sz w:val="18"/>
          <w:szCs w:val="18"/>
          <w:color w:val="auto"/>
        </w:rPr>
      </w:pPr>
    </w:p>
    <w:p>
      <w:pPr>
        <w:ind w:right="460" w:firstLine="8"/>
        <w:spacing w:after="0" w:line="282" w:lineRule="auto"/>
        <w:tabs>
          <w:tab w:leader="none" w:pos="2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will permit a non-binding shareholder resolution in compliance with any applicable federal securities rules and regulations on the disclosures provided under the federal securities laws related to SEO compensation paid or accrued during the most recently completed fiscal year.</w:t>
      </w:r>
    </w:p>
    <w:p>
      <w:pPr>
        <w:spacing w:after="0" w:line="188" w:lineRule="exact"/>
        <w:rPr>
          <w:rFonts w:ascii="Times New Roman" w:cs="Times New Roman" w:eastAsia="Times New Roman" w:hAnsi="Times New Roman"/>
          <w:sz w:val="18"/>
          <w:szCs w:val="18"/>
          <w:color w:val="auto"/>
        </w:rPr>
      </w:pPr>
    </w:p>
    <w:p>
      <w:pPr>
        <w:ind w:right="120" w:firstLine="8"/>
        <w:spacing w:after="0" w:line="266" w:lineRule="auto"/>
        <w:tabs>
          <w:tab w:leader="none" w:pos="30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will disclose the amount, nature and justification for the offering, during the Covered Period of the most recently completed fiscal year, of any perquisites, as defined in the regulations and guidance established under Section 111 of EESA, whose total value exceeds $25,000 for each employee subject to the bonus payment limitations identified in paragraph (viii).</w:t>
      </w:r>
    </w:p>
    <w:p>
      <w:pPr>
        <w:spacing w:after="0" w:line="203" w:lineRule="exact"/>
        <w:rPr>
          <w:rFonts w:ascii="Times New Roman" w:cs="Times New Roman" w:eastAsia="Times New Roman" w:hAnsi="Times New Roman"/>
          <w:sz w:val="18"/>
          <w:szCs w:val="18"/>
          <w:color w:val="auto"/>
        </w:rPr>
      </w:pPr>
    </w:p>
    <w:p>
      <w:pPr>
        <w:ind w:right="280" w:firstLine="8"/>
        <w:spacing w:after="0" w:line="266" w:lineRule="auto"/>
        <w:tabs>
          <w:tab w:leader="none" w:pos="3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will disclose whether United, the board of directors of United, or the compensation committee of United has engaged during the most recently completed fiscal year a compensation consultant; and the services the compensation consultant or any affiliate of the compensation consultant provided during this period.</w:t>
      </w:r>
    </w:p>
    <w:p>
      <w:pPr>
        <w:spacing w:after="0" w:line="203" w:lineRule="exact"/>
        <w:rPr>
          <w:rFonts w:ascii="Times New Roman" w:cs="Times New Roman" w:eastAsia="Times New Roman" w:hAnsi="Times New Roman"/>
          <w:sz w:val="18"/>
          <w:szCs w:val="18"/>
          <w:color w:val="auto"/>
        </w:rPr>
      </w:pPr>
    </w:p>
    <w:p>
      <w:pPr>
        <w:ind w:right="40" w:firstLine="8"/>
        <w:spacing w:after="0" w:line="282" w:lineRule="auto"/>
        <w:tabs>
          <w:tab w:leader="none" w:pos="40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has prohibited the payment of any gross-ups, as defined in the regulations and guidance established under Section 111 of EESA, to the SEOs and the next twenty most highly compensated employees during the most recently completed fiscal year.</w:t>
      </w:r>
    </w:p>
    <w:p>
      <w:pPr>
        <w:spacing w:after="0" w:line="188" w:lineRule="exact"/>
        <w:rPr>
          <w:rFonts w:ascii="Times New Roman" w:cs="Times New Roman" w:eastAsia="Times New Roman" w:hAnsi="Times New Roman"/>
          <w:sz w:val="18"/>
          <w:szCs w:val="18"/>
          <w:color w:val="auto"/>
        </w:rPr>
      </w:pPr>
    </w:p>
    <w:p>
      <w:pPr>
        <w:ind w:right="80" w:firstLine="8"/>
        <w:spacing w:after="0" w:line="282" w:lineRule="auto"/>
        <w:tabs>
          <w:tab w:leader="none" w:pos="39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has substantially complied with all other requirements related to employee compensation that are provided in the agreement between United and the U.S. Department of the Treasury (“Treasury”), including any amendments.</w:t>
      </w:r>
    </w:p>
    <w:p>
      <w:pPr>
        <w:spacing w:after="0" w:line="188" w:lineRule="exact"/>
        <w:rPr>
          <w:rFonts w:ascii="Times New Roman" w:cs="Times New Roman" w:eastAsia="Times New Roman" w:hAnsi="Times New Roman"/>
          <w:sz w:val="18"/>
          <w:szCs w:val="18"/>
          <w:color w:val="auto"/>
        </w:rPr>
      </w:pPr>
    </w:p>
    <w:p>
      <w:pPr>
        <w:ind w:right="520" w:firstLine="8"/>
        <w:spacing w:after="0" w:line="266" w:lineRule="auto"/>
        <w:tabs>
          <w:tab w:leader="none" w:pos="34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2013, Treasury completed its sale of United’s preferred stock that it held as a result of United’s participation in the Capital Purchase Program. Therefore, the Standard referred to in paragraph (xv) of the Model Certification for Years Following First Year Certification set forth in the regulations and guidance established under Section III of EESA, was not required to be met by United.</w:t>
      </w:r>
    </w:p>
    <w:p>
      <w:pPr>
        <w:spacing w:after="0" w:line="203" w:lineRule="exact"/>
        <w:rPr>
          <w:rFonts w:ascii="Times New Roman" w:cs="Times New Roman" w:eastAsia="Times New Roman" w:hAnsi="Times New Roman"/>
          <w:sz w:val="18"/>
          <w:szCs w:val="18"/>
          <w:color w:val="auto"/>
        </w:rPr>
      </w:pPr>
    </w:p>
    <w:p>
      <w:pPr>
        <w:ind w:right="40" w:firstLine="8"/>
        <w:spacing w:after="0" w:line="282" w:lineRule="auto"/>
        <w:tabs>
          <w:tab w:leader="none" w:pos="39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understand that a knowing and willful false or fraudulent statement made in connection with this certification may be punished by fine, imprisonment, or both.</w:t>
      </w:r>
    </w:p>
    <w:p>
      <w:pPr>
        <w:sectPr>
          <w:pgSz w:w="11900" w:h="16838" w:orient="portrait"/>
          <w:cols w:equalWidth="0" w:num="1">
            <w:col w:w="11420"/>
          </w:cols>
          <w:pgMar w:left="240" w:top="441" w:right="239" w:bottom="81" w:gutter="0" w:footer="0" w:header="0"/>
        </w:sectPr>
      </w:pPr>
    </w:p>
    <w:bookmarkStart w:id="200" w:name="page201"/>
    <w:bookmarkEnd w:id="200"/>
    <w:p>
      <w:pPr>
        <w:ind w:left="3240"/>
        <w:spacing w:after="0"/>
        <w:tabs>
          <w:tab w:leader="none" w:pos="3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19685</wp:posOffset>
            </wp:positionV>
            <wp:extent cx="2101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2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19685</wp:posOffset>
            </wp:positionV>
            <wp:extent cx="2101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2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Rex. S. Schuette</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Date: February 28, 2014</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26035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1)"/>
      <w:numFmt w:val="decimal"/>
      <w:start w:val="4"/>
    </w:lvl>
  </w:abstractNum>
  <w:abstractNum w:abstractNumId="4">
    <w:nsid w:val="6F6DD9AC"/>
    <w:multiLevelType w:val="hybridMultilevel"/>
    <w:lvl w:ilvl="0">
      <w:lvlJc w:val="left"/>
      <w:lvlText w:val="(%1)"/>
      <w:numFmt w:val="lowerLetter"/>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1)"/>
      <w:numFmt w:val="decimal"/>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1)"/>
      <w:numFmt w:val="decimal"/>
      <w:start w:val="1"/>
    </w:lvl>
  </w:abstractNum>
  <w:abstractNum w:abstractNumId="15">
    <w:nsid w:val="46B7D447"/>
    <w:multiLevelType w:val="hybridMultilevel"/>
    <w:lvl w:ilvl="0">
      <w:lvlJc w:val="left"/>
      <w:lvlText w:val="(%1)"/>
      <w:numFmt w:val="decimal"/>
      <w:start w:val="1"/>
    </w:lvl>
  </w:abstractNum>
  <w:abstractNum w:abstractNumId="16">
    <w:nsid w:val="4A2AC315"/>
    <w:multiLevelType w:val="hybridMultilevel"/>
    <w:lvl w:ilvl="0">
      <w:lvlJc w:val="left"/>
      <w:lvlText w:val="(%1)"/>
      <w:numFmt w:val="decimal"/>
      <w:start w:val="1"/>
    </w:lvl>
  </w:abstractNum>
  <w:abstractNum w:abstractNumId="17">
    <w:nsid w:val="39EE015C"/>
    <w:multiLevelType w:val="hybridMultilevel"/>
    <w:lvl w:ilvl="0">
      <w:lvlJc w:val="left"/>
      <w:lvlText w:val="(%1)"/>
      <w:numFmt w:val="decimal"/>
      <w:start w:val="1"/>
    </w:lvl>
  </w:abstractNum>
  <w:abstractNum w:abstractNumId="18">
    <w:nsid w:val="57FC4FBB"/>
    <w:multiLevelType w:val="hybridMultilevel"/>
    <w:lvl w:ilvl="0">
      <w:lvlJc w:val="left"/>
      <w:lvlText w:val="(%1)"/>
      <w:numFmt w:val="decimal"/>
      <w:start w:val="1"/>
    </w:lvl>
  </w:abstractNum>
  <w:abstractNum w:abstractNumId="19">
    <w:nsid w:val="CC1016F"/>
    <w:multiLevelType w:val="hybridMultilevel"/>
    <w:lvl w:ilvl="0">
      <w:lvlJc w:val="left"/>
      <w:lvlText w:val="(%1)"/>
      <w:numFmt w:val="decimal"/>
      <w:start w:val="1"/>
    </w:lvl>
  </w:abstractNum>
  <w:abstractNum w:abstractNumId="20">
    <w:nsid w:val="43F18422"/>
    <w:multiLevelType w:val="hybridMultilevel"/>
    <w:lvl w:ilvl="0">
      <w:lvlJc w:val="left"/>
      <w:lvlText w:val="(%1)"/>
      <w:numFmt w:val="decimal"/>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1)"/>
      <w:numFmt w:val="decimal"/>
      <w:start w:val="1"/>
    </w:lvl>
  </w:abstractNum>
  <w:abstractNum w:abstractNumId="23">
    <w:nsid w:val="7F01579B"/>
    <w:multiLevelType w:val="hybridMultilevel"/>
    <w:lvl w:ilvl="0">
      <w:lvlJc w:val="left"/>
      <w:lvlText w:val="(%1)"/>
      <w:numFmt w:val="decimal"/>
      <w:start w:val="1"/>
    </w:lvl>
  </w:abstractNum>
  <w:abstractNum w:abstractNumId="24">
    <w:nsid w:val="49DA307D"/>
    <w:multiLevelType w:val="hybridMultilevel"/>
    <w:lvl w:ilvl="0">
      <w:lvlJc w:val="left"/>
      <w:lvlText w:val="(%1)"/>
      <w:numFmt w:val="decimal"/>
      <w:start w:val="1"/>
    </w:lvl>
  </w:abstractNum>
  <w:abstractNum w:abstractNumId="25">
    <w:nsid w:val="7055A5F5"/>
    <w:multiLevelType w:val="hybridMultilevel"/>
    <w:lvl w:ilvl="0">
      <w:lvlJc w:val="left"/>
      <w:lvlText w:val="(%1)"/>
      <w:numFmt w:val="decimal"/>
      <w:start w:val="1"/>
    </w:lvl>
  </w:abstractNum>
  <w:abstractNum w:abstractNumId="26">
    <w:nsid w:val="5FB8370B"/>
    <w:multiLevelType w:val="hybridMultilevel"/>
    <w:lvl w:ilvl="0">
      <w:lvlJc w:val="left"/>
      <w:lvlText w:val="(%1)"/>
      <w:numFmt w:val="decimal"/>
      <w:start w:val="1"/>
    </w:lvl>
  </w:abstractNum>
  <w:abstractNum w:abstractNumId="27">
    <w:nsid w:val="50801EE1"/>
    <w:multiLevelType w:val="hybridMultilevel"/>
    <w:lvl w:ilvl="0">
      <w:lvlJc w:val="left"/>
      <w:lvlText w:val="(%1)"/>
      <w:numFmt w:val="decimal"/>
      <w:start w:val="1"/>
    </w:lvl>
  </w:abstractNum>
  <w:abstractNum w:abstractNumId="28">
    <w:nsid w:val="488AC1A"/>
    <w:multiLevelType w:val="hybridMultilevel"/>
    <w:lvl w:ilvl="0">
      <w:lvlJc w:val="left"/>
      <w:lvlText w:val="(%1)"/>
      <w:numFmt w:val="decimal"/>
      <w:start w:val="1"/>
    </w:lvl>
  </w:abstractNum>
  <w:abstractNum w:abstractNumId="29">
    <w:nsid w:val="5FB8011C"/>
    <w:multiLevelType w:val="hybridMultilevel"/>
    <w:lvl w:ilvl="0">
      <w:lvlJc w:val="left"/>
      <w:lvlText w:val="(%1)"/>
      <w:numFmt w:val="decimal"/>
      <w:start w:val="2"/>
    </w:lvl>
  </w:abstractNum>
  <w:abstractNum w:abstractNumId="30">
    <w:nsid w:val="6AA78F7F"/>
    <w:multiLevelType w:val="hybridMultilevel"/>
    <w:lvl w:ilvl="0">
      <w:lvlJc w:val="left"/>
      <w:lvlText w:val="(%1)"/>
      <w:numFmt w:val="decimal"/>
      <w:start w:val="3"/>
    </w:lvl>
  </w:abstractNum>
  <w:abstractNum w:abstractNumId="31">
    <w:nsid w:val="7672BD23"/>
    <w:multiLevelType w:val="hybridMultilevel"/>
    <w:lvl w:ilvl="0">
      <w:lvlJc w:val="left"/>
      <w:lvlText w:val="(%1)"/>
      <w:numFmt w:val="decimal"/>
      <w:start w:val="4"/>
    </w:lvl>
  </w:abstractNum>
  <w:abstractNum w:abstractNumId="32">
    <w:nsid w:val="6FC75AF8"/>
    <w:multiLevelType w:val="hybridMultilevel"/>
    <w:lvl w:ilvl="0">
      <w:lvlJc w:val="left"/>
      <w:lvlText w:val="(%1)"/>
      <w:numFmt w:val="decimal"/>
      <w:start w:val="5"/>
    </w:lvl>
  </w:abstractNum>
  <w:abstractNum w:abstractNumId="33">
    <w:nsid w:val="6A5F7029"/>
    <w:multiLevelType w:val="hybridMultilevel"/>
    <w:lvl w:ilvl="0">
      <w:lvlJc w:val="left"/>
      <w:lvlText w:val="(%1)"/>
      <w:numFmt w:val="decimal"/>
      <w:start w:val="6"/>
    </w:lvl>
  </w:abstractNum>
  <w:abstractNum w:abstractNumId="34">
    <w:nsid w:val="7D5E18F8"/>
    <w:multiLevelType w:val="hybridMultilevel"/>
    <w:lvl w:ilvl="0">
      <w:lvlJc w:val="left"/>
      <w:lvlText w:val="(%1)"/>
      <w:numFmt w:val="decimal"/>
      <w:start w:val="6"/>
    </w:lvl>
  </w:abstractNum>
  <w:abstractNum w:abstractNumId="35">
    <w:nsid w:val="5F3534A4"/>
    <w:multiLevelType w:val="hybridMultilevel"/>
    <w:lvl w:ilvl="0">
      <w:lvlJc w:val="left"/>
      <w:lvlText w:val="(%1)"/>
      <w:numFmt w:val="decimal"/>
      <w:start w:val="1"/>
    </w:lvl>
  </w:abstractNum>
  <w:abstractNum w:abstractNumId="36">
    <w:nsid w:val="73A1821B"/>
    <w:multiLevelType w:val="hybridMultilevel"/>
    <w:lvl w:ilvl="0">
      <w:lvlJc w:val="left"/>
      <w:lvlText w:val="(%1)"/>
      <w:numFmt w:val="decimal"/>
      <w:start w:val="1"/>
    </w:lvl>
  </w:abstractNum>
  <w:abstractNum w:abstractNumId="37">
    <w:nsid w:val="7DE67713"/>
    <w:multiLevelType w:val="hybridMultilevel"/>
    <w:lvl w:ilvl="0">
      <w:lvlJc w:val="left"/>
      <w:lvlText w:val="(%1)"/>
      <w:numFmt w:val="decimal"/>
      <w:start w:val="6"/>
    </w:lvl>
  </w:abstractNum>
  <w:abstractNum w:abstractNumId="38">
    <w:nsid w:val="555C55B5"/>
    <w:multiLevelType w:val="hybridMultilevel"/>
    <w:lvl w:ilvl="0">
      <w:lvlJc w:val="left"/>
      <w:lvlText w:val="(%1)"/>
      <w:numFmt w:val="decimal"/>
      <w:start w:val="6"/>
    </w:lvl>
  </w:abstractNum>
  <w:abstractNum w:abstractNumId="39">
    <w:nsid w:val="3FA62ACA"/>
    <w:multiLevelType w:val="hybridMultilevel"/>
    <w:lvl w:ilvl="0">
      <w:lvlJc w:val="left"/>
      <w:lvlText w:val="(%1)"/>
      <w:numFmt w:val="decimal"/>
      <w:start w:val="7"/>
    </w:lvl>
  </w:abstractNum>
  <w:abstractNum w:abstractNumId="40">
    <w:nsid w:val="14FCE74E"/>
    <w:multiLevelType w:val="hybridMultilevel"/>
    <w:lvl w:ilvl="0">
      <w:lvlJc w:val="left"/>
      <w:lvlText w:val="(%1)"/>
      <w:numFmt w:val="decimal"/>
      <w:start w:val="7"/>
    </w:lvl>
  </w:abstractNum>
  <w:abstractNum w:abstractNumId="41">
    <w:nsid w:val="6A3DD3E8"/>
    <w:multiLevelType w:val="hybridMultilevel"/>
    <w:lvl w:ilvl="0">
      <w:lvlJc w:val="left"/>
      <w:lvlText w:val="(%1)"/>
      <w:numFmt w:val="decimal"/>
      <w:start w:val="7"/>
    </w:lvl>
  </w:abstractNum>
  <w:abstractNum w:abstractNumId="42">
    <w:nsid w:val="71C91298"/>
    <w:multiLevelType w:val="hybridMultilevel"/>
    <w:lvl w:ilvl="0">
      <w:lvlJc w:val="left"/>
      <w:lvlText w:val="(%1)"/>
      <w:numFmt w:val="decimal"/>
      <w:start w:val="7"/>
    </w:lvl>
  </w:abstractNum>
  <w:abstractNum w:abstractNumId="43">
    <w:nsid w:val="9DAF632"/>
    <w:multiLevelType w:val="hybridMultilevel"/>
    <w:lvl w:ilvl="0">
      <w:lvlJc w:val="left"/>
      <w:lvlText w:val="(%1)"/>
      <w:numFmt w:val="decimal"/>
      <w:start w:val="7"/>
    </w:lvl>
  </w:abstractNum>
  <w:abstractNum w:abstractNumId="44">
    <w:nsid w:val="53299938"/>
    <w:multiLevelType w:val="hybridMultilevel"/>
    <w:lvl w:ilvl="0">
      <w:lvlJc w:val="left"/>
      <w:lvlText w:val="(%1)"/>
      <w:numFmt w:val="decimal"/>
      <w:start w:val="7"/>
    </w:lvl>
  </w:abstractNum>
  <w:abstractNum w:abstractNumId="45">
    <w:nsid w:val="1FBFE8E0"/>
    <w:multiLevelType w:val="hybridMultilevel"/>
    <w:lvl w:ilvl="0">
      <w:lvlJc w:val="left"/>
      <w:lvlText w:val="(%1)"/>
      <w:numFmt w:val="decimal"/>
      <w:start w:val="7"/>
    </w:lvl>
  </w:abstractNum>
  <w:abstractNum w:abstractNumId="46">
    <w:nsid w:val="5092CA79"/>
    <w:multiLevelType w:val="hybridMultilevel"/>
    <w:lvl w:ilvl="0">
      <w:lvlJc w:val="left"/>
      <w:lvlText w:val="(%1)"/>
      <w:numFmt w:val="decimal"/>
      <w:start w:val="7"/>
    </w:lvl>
  </w:abstractNum>
  <w:abstractNum w:abstractNumId="47">
    <w:nsid w:val="1D545C4D"/>
    <w:multiLevelType w:val="hybridMultilevel"/>
    <w:lvl w:ilvl="0">
      <w:lvlJc w:val="left"/>
      <w:lvlText w:val="(%1)"/>
      <w:numFmt w:val="decimal"/>
      <w:start w:val="7"/>
    </w:lvl>
  </w:abstractNum>
  <w:abstractNum w:abstractNumId="48">
    <w:nsid w:val="59ADEA3D"/>
    <w:multiLevelType w:val="hybridMultilevel"/>
    <w:lvl w:ilvl="0">
      <w:lvlJc w:val="left"/>
      <w:lvlText w:val="(%1)"/>
      <w:numFmt w:val="decimal"/>
      <w:start w:val="8"/>
    </w:lvl>
  </w:abstractNum>
  <w:abstractNum w:abstractNumId="49">
    <w:nsid w:val="288F1A34"/>
    <w:multiLevelType w:val="hybridMultilevel"/>
    <w:lvl w:ilvl="0">
      <w:lvlJc w:val="left"/>
      <w:lvlText w:val="(%1)"/>
      <w:numFmt w:val="decimal"/>
      <w:start w:val="9"/>
    </w:lvl>
  </w:abstractNum>
  <w:abstractNum w:abstractNumId="50">
    <w:nsid w:val="2A155DBC"/>
    <w:multiLevelType w:val="hybridMultilevel"/>
    <w:lvl w:ilvl="0">
      <w:lvlJc w:val="left"/>
      <w:lvlText w:val="(%1)"/>
      <w:numFmt w:val="decimal"/>
      <w:start w:val="10"/>
    </w:lvl>
  </w:abstractNum>
  <w:abstractNum w:abstractNumId="51">
    <w:nsid w:val="1D9F6E5F"/>
    <w:multiLevelType w:val="hybridMultilevel"/>
    <w:lvl w:ilvl="0">
      <w:lvlJc w:val="left"/>
      <w:lvlText w:val="(%1)"/>
      <w:numFmt w:val="decimal"/>
      <w:start w:val="10"/>
    </w:lvl>
  </w:abstractNum>
  <w:abstractNum w:abstractNumId="52">
    <w:nsid w:val="97E1B4E"/>
    <w:multiLevelType w:val="hybridMultilevel"/>
    <w:lvl w:ilvl="0">
      <w:lvlJc w:val="left"/>
      <w:lvlText w:val="(%1)"/>
      <w:numFmt w:val="decimal"/>
      <w:start w:val="11"/>
    </w:lvl>
  </w:abstractNum>
  <w:abstractNum w:abstractNumId="53">
    <w:nsid w:val="51088277"/>
    <w:multiLevelType w:val="hybridMultilevel"/>
    <w:lvl w:ilvl="0">
      <w:lvlJc w:val="left"/>
      <w:lvlText w:val="(%1)"/>
      <w:numFmt w:val="decimal"/>
      <w:start w:val="12"/>
    </w:lvl>
  </w:abstractNum>
  <w:abstractNum w:abstractNumId="54">
    <w:nsid w:val="1CA0C5FA"/>
    <w:multiLevelType w:val="hybridMultilevel"/>
    <w:lvl w:ilvl="0">
      <w:lvlJc w:val="left"/>
      <w:lvlText w:val="(%1)"/>
      <w:numFmt w:val="decimal"/>
      <w:start w:val="13"/>
    </w:lvl>
  </w:abstractNum>
  <w:abstractNum w:abstractNumId="55">
    <w:nsid w:val="53584BCB"/>
    <w:multiLevelType w:val="hybridMultilevel"/>
    <w:lvl w:ilvl="0">
      <w:lvlJc w:val="left"/>
      <w:lvlText w:val="(%1)"/>
      <w:numFmt w:val="decimal"/>
      <w:start w:val="15"/>
    </w:lvl>
  </w:abstractNum>
  <w:abstractNum w:abstractNumId="56">
    <w:nsid w:val="415E286C"/>
    <w:multiLevelType w:val="hybridMultilevel"/>
    <w:lvl w:ilvl="0">
      <w:lvlJc w:val="left"/>
      <w:lvlText w:val="(%1)"/>
      <w:numFmt w:val="decimal"/>
      <w:start w:val="16"/>
    </w:lvl>
  </w:abstractNum>
  <w:abstractNum w:abstractNumId="57">
    <w:nsid w:val="7C58FD05"/>
    <w:multiLevelType w:val="hybridMultilevel"/>
    <w:lvl w:ilvl="0">
      <w:lvlJc w:val="left"/>
      <w:lvlText w:val="(%1)"/>
      <w:numFmt w:val="decimal"/>
      <w:start w:val="1"/>
    </w:lvl>
  </w:abstractNum>
  <w:abstractNum w:abstractNumId="58">
    <w:nsid w:val="23D86AAC"/>
    <w:multiLevelType w:val="hybridMultilevel"/>
    <w:lvl w:ilvl="0">
      <w:lvlJc w:val="left"/>
      <w:lvlText w:val="(%1)"/>
      <w:numFmt w:val="decimal"/>
      <w:start w:val="16"/>
    </w:lvl>
  </w:abstractNum>
  <w:abstractNum w:abstractNumId="59">
    <w:nsid w:val="45E6D486"/>
    <w:multiLevelType w:val="hybridMultilevel"/>
    <w:lvl w:ilvl="0">
      <w:lvlJc w:val="left"/>
      <w:lvlText w:val="(%1)"/>
      <w:numFmt w:val="decimal"/>
      <w:start w:val="16"/>
    </w:lvl>
  </w:abstractNum>
  <w:abstractNum w:abstractNumId="60">
    <w:nsid w:val="5C10FE21"/>
    <w:multiLevelType w:val="hybridMultilevel"/>
    <w:lvl w:ilvl="0">
      <w:lvlJc w:val="left"/>
      <w:lvlText w:val="(%1)"/>
      <w:numFmt w:val="decimal"/>
      <w:start w:val="17"/>
    </w:lvl>
  </w:abstractNum>
  <w:abstractNum w:abstractNumId="61">
    <w:nsid w:val="E7FFA2B"/>
    <w:multiLevelType w:val="hybridMultilevel"/>
    <w:lvl w:ilvl="0">
      <w:lvlJc w:val="left"/>
      <w:lvlText w:val="(%1)"/>
      <w:numFmt w:val="decimal"/>
      <w:start w:val="17"/>
    </w:lvl>
  </w:abstractNum>
  <w:abstractNum w:abstractNumId="62">
    <w:nsid w:val="3C5991AA"/>
    <w:multiLevelType w:val="hybridMultilevel"/>
    <w:lvl w:ilvl="0">
      <w:lvlJc w:val="left"/>
      <w:lvlText w:val="(%1)"/>
      <w:numFmt w:val="decimal"/>
      <w:start w:val="18"/>
    </w:lvl>
  </w:abstractNum>
  <w:abstractNum w:abstractNumId="63">
    <w:nsid w:val="4BD8591A"/>
    <w:multiLevelType w:val="hybridMultilevel"/>
    <w:lvl w:ilvl="0">
      <w:lvlJc w:val="left"/>
      <w:lvlText w:val="(%1)"/>
      <w:numFmt w:val="decimal"/>
      <w:start w:val="18"/>
    </w:lvl>
  </w:abstractNum>
  <w:abstractNum w:abstractNumId="64">
    <w:nsid w:val="78DF6A55"/>
    <w:multiLevelType w:val="hybridMultilevel"/>
    <w:lvl w:ilvl="0">
      <w:lvlJc w:val="left"/>
      <w:lvlText w:val="(%1)"/>
      <w:numFmt w:val="decimal"/>
      <w:start w:val="18"/>
    </w:lvl>
  </w:abstractNum>
  <w:abstractNum w:abstractNumId="65">
    <w:nsid w:val="39B7AAA2"/>
    <w:multiLevelType w:val="hybridMultilevel"/>
    <w:lvl w:ilvl="0">
      <w:lvlJc w:val="left"/>
      <w:lvlText w:val="(%1)"/>
      <w:numFmt w:val="decimal"/>
      <w:start w:val="19"/>
    </w:lvl>
  </w:abstractNum>
  <w:abstractNum w:abstractNumId="66">
    <w:nsid w:val="2B0D8DBE"/>
    <w:multiLevelType w:val="hybridMultilevel"/>
    <w:lvl w:ilvl="0">
      <w:lvlJc w:val="left"/>
      <w:lvlText w:val="(%1)"/>
      <w:numFmt w:val="decimal"/>
      <w:start w:val="19"/>
    </w:lvl>
  </w:abstractNum>
  <w:abstractNum w:abstractNumId="67">
    <w:nsid w:val="6C80EC70"/>
    <w:multiLevelType w:val="hybridMultilevel"/>
    <w:lvl w:ilvl="0">
      <w:lvlJc w:val="left"/>
      <w:lvlText w:val="(%1)"/>
      <w:numFmt w:val="decimal"/>
      <w:start w:val="19"/>
    </w:lvl>
  </w:abstractNum>
  <w:abstractNum w:abstractNumId="68">
    <w:nsid w:val="379E21B5"/>
    <w:multiLevelType w:val="hybridMultilevel"/>
    <w:lvl w:ilvl="0">
      <w:lvlJc w:val="left"/>
      <w:lvlText w:val="(%1)"/>
      <w:numFmt w:val="decimal"/>
      <w:start w:val="19"/>
    </w:lvl>
  </w:abstractNum>
  <w:abstractNum w:abstractNumId="69">
    <w:nsid w:val="69E373"/>
    <w:multiLevelType w:val="hybridMultilevel"/>
    <w:lvl w:ilvl="0">
      <w:lvlJc w:val="left"/>
      <w:lvlText w:val="(%1)"/>
      <w:numFmt w:val="decimal"/>
      <w:start w:val="20"/>
    </w:lvl>
  </w:abstractNum>
  <w:abstractNum w:abstractNumId="70">
    <w:nsid w:val="2C27173B"/>
    <w:multiLevelType w:val="hybridMultilevel"/>
    <w:lvl w:ilvl="0">
      <w:lvlJc w:val="left"/>
      <w:lvlText w:val="(%1)"/>
      <w:numFmt w:val="decimal"/>
      <w:start w:val="21"/>
    </w:lvl>
  </w:abstractNum>
  <w:abstractNum w:abstractNumId="71">
    <w:nsid w:val="4C9B0904"/>
    <w:multiLevelType w:val="hybridMultilevel"/>
    <w:lvl w:ilvl="0">
      <w:lvlJc w:val="left"/>
      <w:lvlText w:val="(%1)"/>
      <w:numFmt w:val="decimal"/>
      <w:start w:val="22"/>
    </w:lvl>
  </w:abstractNum>
  <w:abstractNum w:abstractNumId="72">
    <w:nsid w:val="6AA7B75C"/>
    <w:multiLevelType w:val="hybridMultilevel"/>
    <w:lvl w:ilvl="0">
      <w:lvlJc w:val="left"/>
      <w:lvlText w:val="(%1)"/>
      <w:numFmt w:val="decimal"/>
      <w:start w:val="23"/>
    </w:lvl>
  </w:abstractNum>
  <w:abstractNum w:abstractNumId="73">
    <w:nsid w:val="1DF029D3"/>
    <w:multiLevelType w:val="hybridMultilevel"/>
    <w:lvl w:ilvl="0">
      <w:lvlJc w:val="left"/>
      <w:lvlText w:val="(%1)"/>
      <w:numFmt w:val="decimal"/>
      <w:start w:val="23"/>
    </w:lvl>
  </w:abstractNum>
  <w:abstractNum w:abstractNumId="74">
    <w:nsid w:val="5675FF36"/>
    <w:multiLevelType w:val="hybridMultilevel"/>
    <w:lvl w:ilvl="0">
      <w:lvlJc w:val="left"/>
      <w:lvlText w:val="(%1)"/>
      <w:numFmt w:val="decimal"/>
      <w:start w:val="24"/>
    </w:lvl>
  </w:abstractNum>
  <w:abstractNum w:abstractNumId="75">
    <w:nsid w:val="3DD15094"/>
    <w:multiLevelType w:val="hybridMultilevel"/>
    <w:lvl w:ilvl="0">
      <w:lvlJc w:val="left"/>
      <w:lvlText w:val="(%1)"/>
      <w:numFmt w:val="decimal"/>
      <w:start w:val="24"/>
    </w:lvl>
  </w:abstractNum>
  <w:abstractNum w:abstractNumId="76">
    <w:nsid w:val="3DB012B3"/>
    <w:multiLevelType w:val="hybridMultilevel"/>
    <w:lvl w:ilvl="0">
      <w:lvlJc w:val="left"/>
      <w:lvlText w:val="(%1)"/>
      <w:numFmt w:val="decimal"/>
      <w:start w:val="24"/>
    </w:lvl>
  </w:abstractNum>
  <w:abstractNum w:abstractNumId="77">
    <w:nsid w:val="2708C9AF"/>
    <w:multiLevelType w:val="hybridMultilevel"/>
    <w:lvl w:ilvl="0">
      <w:lvlJc w:val="left"/>
      <w:lvlText w:val="(%1)"/>
      <w:numFmt w:val="decimal"/>
      <w:start w:val="24"/>
    </w:lvl>
  </w:abstractNum>
  <w:abstractNum w:abstractNumId="78">
    <w:nsid w:val="5B25ACE2"/>
    <w:multiLevelType w:val="hybridMultilevel"/>
    <w:lvl w:ilvl="0">
      <w:lvlJc w:val="left"/>
      <w:lvlText w:val="(%1)"/>
      <w:numFmt w:val="decimal"/>
      <w:start w:val="24"/>
    </w:lvl>
  </w:abstractNum>
  <w:abstractNum w:abstractNumId="79">
    <w:nsid w:val="175DFCF0"/>
    <w:multiLevelType w:val="hybridMultilevel"/>
    <w:lvl w:ilvl="0">
      <w:lvlJc w:val="left"/>
      <w:lvlText w:val="(%1)"/>
      <w:numFmt w:val="decimal"/>
      <w:start w:val="26"/>
    </w:lvl>
  </w:abstractNum>
  <w:abstractNum w:abstractNumId="80">
    <w:nsid w:val="4F97E3E4"/>
    <w:multiLevelType w:val="hybridMultilevel"/>
    <w:lvl w:ilvl="0">
      <w:lvlJc w:val="left"/>
      <w:lvlText w:val="(%1)"/>
      <w:numFmt w:val="lowerLetter"/>
      <w:start w:val="1"/>
    </w:lvl>
  </w:abstractNum>
  <w:abstractNum w:abstractNumId="81">
    <w:nsid w:val="53B0A9E"/>
    <w:multiLevelType w:val="hybridMultilevel"/>
    <w:lvl w:ilvl="0">
      <w:lvlJc w:val="left"/>
      <w:lvlText w:val="%1."/>
      <w:numFmt w:val="decimal"/>
      <w:start w:val="2"/>
    </w:lvl>
  </w:abstractNum>
  <w:abstractNum w:abstractNumId="82">
    <w:nsid w:val="34FD6B4F"/>
    <w:multiLevelType w:val="hybridMultilevel"/>
    <w:lvl w:ilvl="0">
      <w:lvlJc w:val="left"/>
      <w:lvlText w:val="%1"/>
      <w:numFmt w:val="decimal"/>
      <w:start w:val="14"/>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
      <w:numFmt w:val="bullet"/>
      <w:start w:val="1"/>
    </w:lvl>
  </w:abstractNum>
  <w:abstractNum w:abstractNumId="85">
    <w:nsid w:val="519E3149"/>
    <w:multiLevelType w:val="hybridMultilevel"/>
    <w:lvl w:ilvl="0">
      <w:lvlJc w:val="left"/>
      <w:lvlText w:val="%1"/>
      <w:numFmt w:val="decimal"/>
      <w:start w:val="99"/>
    </w:lvl>
  </w:abstractNum>
  <w:abstractNum w:abstractNumId="86">
    <w:nsid w:val="2C6E4AFD"/>
    <w:multiLevelType w:val="hybridMultilevel"/>
    <w:lvl w:ilvl="0">
      <w:lvlJc w:val="left"/>
      <w:lvlText w:val="(%1)"/>
      <w:numFmt w:val="upperLetter"/>
      <w:start w:val="2"/>
    </w:lvl>
    <w:lvl w:ilvl="1">
      <w:lvlJc w:val="left"/>
      <w:lvlText w:val="-"/>
      <w:numFmt w:val="bullet"/>
      <w:start w:val="1"/>
    </w:lvl>
  </w:abstractNum>
  <w:abstractNum w:abstractNumId="87">
    <w:nsid w:val="17A1B582"/>
    <w:multiLevelType w:val="hybridMultilevel"/>
    <w:lvl w:ilvl="0">
      <w:lvlJc w:val="left"/>
      <w:lvlText w:val="(%1)"/>
      <w:numFmt w:val="lowerRoman"/>
      <w:start w:val="4"/>
    </w:lvl>
  </w:abstractNum>
  <w:abstractNum w:abstractNumId="88">
    <w:nsid w:val="4DF72E4E"/>
    <w:multiLevelType w:val="hybridMultilevel"/>
    <w:lvl w:ilvl="0">
      <w:lvlJc w:val="left"/>
      <w:lvlText w:val="(%1)"/>
      <w:numFmt w:val="lowerRoman"/>
      <w:start w:val="1"/>
    </w:lvl>
  </w:abstractNum>
  <w:abstractNum w:abstractNumId="89">
    <w:nsid w:val="5046B5A9"/>
    <w:multiLevelType w:val="hybridMultilevel"/>
    <w:lvl w:ilvl="0">
      <w:lvlJc w:val="left"/>
      <w:lvlText w:val="(%1)"/>
      <w:numFmt w:val="lowerRoman"/>
      <w:start w:val="1"/>
    </w:lvl>
  </w:abstractNum>
  <w:abstractNum w:abstractNumId="90">
    <w:nsid w:val="5D888A08"/>
    <w:multiLevelType w:val="hybridMultilevel"/>
    <w:lvl w:ilvl="0">
      <w:lvlJc w:val="left"/>
      <w:lvlText w:val="(%1)"/>
      <w:numFmt w:val="lowerLetter"/>
      <w:start w:val="1"/>
    </w:lvl>
  </w:abstractNum>
  <w:abstractNum w:abstractNumId="91">
    <w:nsid w:val="2A082C70"/>
    <w:multiLevelType w:val="hybridMultilevel"/>
    <w:lvl w:ilvl="0">
      <w:lvlJc w:val="left"/>
      <w:lvlText w:val="(%1)"/>
      <w:numFmt w:val="lowerRoman"/>
      <w:start w:val="1"/>
    </w:lvl>
    <w:lvl w:ilvl="1">
      <w:lvlJc w:val="left"/>
      <w:lvlText w:val="-"/>
      <w:numFmt w:val="bullet"/>
      <w:start w:val="1"/>
    </w:lvl>
  </w:abstractNum>
  <w:abstractNum w:abstractNumId="92">
    <w:nsid w:val="5EC6AFD4"/>
    <w:multiLevelType w:val="hybridMultilevel"/>
    <w:lvl w:ilvl="0">
      <w:lvlJc w:val="left"/>
      <w:lvlText w:val="(%1)"/>
      <w:numFmt w:val="lowerRoman"/>
      <w:start w:val="3"/>
    </w:lvl>
  </w:abstractNum>
  <w:abstractNum w:abstractNumId="93">
    <w:nsid w:val="19E21BB2"/>
    <w:multiLevelType w:val="hybridMultilevel"/>
    <w:lvl w:ilvl="0">
      <w:lvlJc w:val="left"/>
      <w:lvlText w:val="(%1)"/>
      <w:numFmt w:val="lowerLetter"/>
      <w:start w:val="3"/>
    </w:lvl>
  </w:abstractNum>
  <w:abstractNum w:abstractNumId="94">
    <w:nsid w:val="75E0858A"/>
    <w:multiLevelType w:val="hybridMultilevel"/>
    <w:lvl w:ilvl="0">
      <w:lvlJc w:val="left"/>
      <w:lvlText w:val="(%1)"/>
      <w:numFmt w:val="lowerRoman"/>
      <w:start w:val="2"/>
    </w:lvl>
    <w:lvl w:ilvl="1">
      <w:lvlJc w:val="left"/>
      <w:lvlText w:val="-"/>
      <w:numFmt w:val="bullet"/>
      <w:start w:val="1"/>
    </w:lvl>
  </w:abstractNum>
  <w:abstractNum w:abstractNumId="95">
    <w:nsid w:val="57A61A29"/>
    <w:multiLevelType w:val="hybridMultilevel"/>
    <w:lvl w:ilvl="0">
      <w:lvlJc w:val="left"/>
      <w:lvlText w:val="(%1)"/>
      <w:numFmt w:val="lowerLetter"/>
      <w:start w:val="2"/>
    </w:lvl>
    <w:lvl w:ilvl="1">
      <w:lvlJc w:val="left"/>
      <w:lvlText w:val="-"/>
      <w:numFmt w:val="bullet"/>
      <w:start w:val="1"/>
    </w:lvl>
  </w:abstractNum>
  <w:abstractNum w:abstractNumId="96">
    <w:nsid w:val="5399C654"/>
    <w:multiLevelType w:val="hybridMultilevel"/>
    <w:lvl w:ilvl="0">
      <w:lvlJc w:val="left"/>
      <w:lvlText w:val="(%1)"/>
      <w:numFmt w:val="lowerLetter"/>
      <w:start w:val="1"/>
    </w:lvl>
    <w:lvl w:ilvl="1">
      <w:lvlJc w:val="left"/>
      <w:lvlText w:val="-"/>
      <w:numFmt w:val="bullet"/>
      <w:start w:val="1"/>
    </w:lvl>
  </w:abstractNum>
  <w:abstractNum w:abstractNumId="97">
    <w:nsid w:val="20EE1348"/>
    <w:multiLevelType w:val="hybridMultilevel"/>
    <w:lvl w:ilvl="0">
      <w:lvlJc w:val="left"/>
      <w:lvlText w:val="(%1)"/>
      <w:numFmt w:val="lowerLetter"/>
      <w:start w:val="4"/>
    </w:lvl>
  </w:abstractNum>
  <w:abstractNum w:abstractNumId="98">
    <w:nsid w:val="4427069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9">
    <w:nsid w:val="B37E80A"/>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100">
    <w:nsid w:val="2157F6BC"/>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101">
    <w:nsid w:val="704E1DD5"/>
    <w:multiLevelType w:val="hybridMultilevel"/>
    <w:lvl w:ilvl="0">
      <w:lvlJc w:val="left"/>
      <w:lvlText w:val="(%1)"/>
      <w:numFmt w:val="lowerLetter"/>
      <w:start w:val="6"/>
    </w:lvl>
  </w:abstractNum>
  <w:abstractNum w:abstractNumId="102">
    <w:nsid w:val="57D2F10E"/>
    <w:multiLevelType w:val="hybridMultilevel"/>
    <w:lvl w:ilvl="0">
      <w:lvlJc w:val="left"/>
      <w:lvlText w:val="(%1)"/>
      <w:numFmt w:val="lowerLetter"/>
      <w:start w:val="8"/>
    </w:lvl>
  </w:abstractNum>
  <w:abstractNum w:abstractNumId="103">
    <w:nsid w:val="BFFAE18"/>
    <w:multiLevelType w:val="hybridMultilevel"/>
    <w:lvl w:ilvl="0">
      <w:lvlJc w:val="left"/>
      <w:lvlText w:val="(%1)"/>
      <w:numFmt w:val="lowerLetter"/>
      <w:start w:val="1"/>
    </w:lvl>
    <w:lvl w:ilvl="1">
      <w:lvlJc w:val="left"/>
      <w:lvlText w:val="-"/>
      <w:numFmt w:val="bullet"/>
      <w:start w:val="1"/>
    </w:lvl>
  </w:abstractNum>
  <w:abstractNum w:abstractNumId="104">
    <w:nsid w:val="E3E47A8"/>
    <w:multiLevelType w:val="hybridMultilevel"/>
    <w:lvl w:ilvl="0">
      <w:lvlJc w:val="left"/>
      <w:lvlText w:val="(%1)"/>
      <w:numFmt w:val="lowerLetter"/>
      <w:start w:val="2"/>
    </w:lvl>
  </w:abstractNum>
  <w:abstractNum w:abstractNumId="105">
    <w:nsid w:val="2E48F044"/>
    <w:multiLevelType w:val="hybridMultilevel"/>
    <w:lvl w:ilvl="0">
      <w:lvlJc w:val="left"/>
      <w:lvlText w:val="(%1)"/>
      <w:numFmt w:val="lowerLetter"/>
      <w:start w:val="1"/>
    </w:lvl>
  </w:abstractNum>
  <w:abstractNum w:abstractNumId="106">
    <w:nsid w:val="49D0FEAC"/>
    <w:multiLevelType w:val="hybridMultilevel"/>
    <w:lvl w:ilvl="0">
      <w:lvlJc w:val="left"/>
      <w:lvlText w:val="(%1)"/>
      <w:numFmt w:val="lowerLetter"/>
      <w:start w:val="1"/>
    </w:lvl>
  </w:abstractNum>
  <w:abstractNum w:abstractNumId="107">
    <w:nsid w:val="4BEE5A5B"/>
    <w:multiLevelType w:val="hybridMultilevel"/>
    <w:lvl w:ilvl="0">
      <w:lvlJc w:val="left"/>
      <w:lvlText w:val="(%1)"/>
      <w:numFmt w:val="lowerRoman"/>
      <w:start w:val="1"/>
    </w:lvl>
    <w:lvl w:ilvl="1">
      <w:lvlJc w:val="left"/>
      <w:lvlText w:val="-"/>
      <w:numFmt w:val="bullet"/>
      <w:start w:val="1"/>
    </w:lvl>
  </w:abstractNum>
  <w:abstractNum w:abstractNumId="108">
    <w:nsid w:val="5551B9F3"/>
    <w:multiLevelType w:val="hybridMultilevel"/>
    <w:lvl w:ilvl="0">
      <w:lvlJc w:val="left"/>
      <w:lvlText w:val="(%1)"/>
      <w:numFmt w:val="lowerRoman"/>
      <w:start w:val="2"/>
    </w:lvl>
  </w:abstractNum>
  <w:abstractNum w:abstractNumId="109">
    <w:nsid w:val="24F6AB8E"/>
    <w:multiLevelType w:val="hybridMultilevel"/>
    <w:lvl w:ilvl="0">
      <w:lvlJc w:val="left"/>
      <w:lvlText w:val="(%1)"/>
      <w:numFmt w:val="lowerLetter"/>
      <w:start w:val="2"/>
    </w:lvl>
  </w:abstractNum>
  <w:abstractNum w:abstractNumId="110">
    <w:nsid w:val="634C574C"/>
    <w:multiLevelType w:val="hybridMultilevel"/>
    <w:lvl w:ilvl="0">
      <w:lvlJc w:val="left"/>
      <w:lvlText w:val="(%1)"/>
      <w:numFmt w:val="lowerLetter"/>
      <w:start w:val="1"/>
    </w:lvl>
    <w:lvl w:ilvl="1">
      <w:lvlJc w:val="left"/>
      <w:lvlText w:val="-"/>
      <w:numFmt w:val="bullet"/>
      <w:start w:val="1"/>
    </w:lvl>
  </w:abstractNum>
  <w:abstractNum w:abstractNumId="111">
    <w:nsid w:val="24E99DD7"/>
    <w:multiLevelType w:val="hybridMultilevel"/>
    <w:lvl w:ilvl="0">
      <w:lvlJc w:val="left"/>
      <w:lvlText w:val="(%1)"/>
      <w:numFmt w:val="lowerLetter"/>
      <w:start w:val="1"/>
    </w:lvl>
  </w:abstractNum>
  <w:abstractNum w:abstractNumId="112">
    <w:nsid w:val="2A31B62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3">
    <w:nsid w:val="1849C29B"/>
    <w:multiLevelType w:val="hybridMultilevel"/>
    <w:lvl w:ilvl="0">
      <w:lvlJc w:val="left"/>
      <w:lvlText w:val="(%1)"/>
      <w:numFmt w:val="lowerRoman"/>
      <w:start w:val="4"/>
    </w:lvl>
    <w:lvl w:ilvl="1">
      <w:lvlJc w:val="left"/>
      <w:lvlText w:val="-"/>
      <w:numFmt w:val="bullet"/>
      <w:start w:val="1"/>
    </w:lvl>
  </w:abstractNum>
  <w:abstractNum w:abstractNumId="114">
    <w:nsid w:val="7DFF9D09"/>
    <w:multiLevelType w:val="hybridMultilevel"/>
    <w:lvl w:ilvl="0">
      <w:lvlJc w:val="left"/>
      <w:lvlText w:val="(%1)"/>
      <w:numFmt w:val="lowerRoman"/>
      <w:start w:val="11"/>
    </w:lvl>
  </w:abstractNum>
  <w:abstractNum w:abstractNumId="115">
    <w:nsid w:val="754342"/>
    <w:multiLevelType w:val="hybridMultilevel"/>
    <w:lvl w:ilvl="0">
      <w:lvlJc w:val="left"/>
      <w:lvlText w:val="(%1)"/>
      <w:numFmt w:val="lowerLetter"/>
      <w:start w:val="1"/>
    </w:lvl>
    <w:lvl w:ilvl="1">
      <w:lvlJc w:val="left"/>
      <w:lvlText w:val="-"/>
      <w:numFmt w:val="bullet"/>
      <w:start w:val="1"/>
    </w:lvl>
  </w:abstractNum>
  <w:abstractNum w:abstractNumId="116">
    <w:nsid w:val="69E7F3E5"/>
    <w:multiLevelType w:val="hybridMultilevel"/>
    <w:lvl w:ilvl="0">
      <w:lvlJc w:val="left"/>
      <w:lvlText w:val="(%1)"/>
      <w:numFmt w:val="lowerLetter"/>
      <w:start w:val="2"/>
    </w:lvl>
    <w:lvl w:ilvl="1">
      <w:lvlJc w:val="left"/>
      <w:lvlText w:val="-"/>
      <w:numFmt w:val="bullet"/>
      <w:start w:val="1"/>
    </w:lvl>
  </w:abstractNum>
  <w:abstractNum w:abstractNumId="117">
    <w:nsid w:val="2A6DE806"/>
    <w:multiLevelType w:val="hybridMultilevel"/>
    <w:lvl w:ilvl="0">
      <w:lvlJc w:val="left"/>
      <w:lvlText w:val="(%1)"/>
      <w:numFmt w:val="lowerLetter"/>
      <w:start w:val="3"/>
    </w:lvl>
  </w:abstractNum>
  <w:abstractNum w:abstractNumId="118">
    <w:nsid w:val="1816F8C4"/>
    <w:multiLevelType w:val="hybridMultilevel"/>
    <w:lvl w:ilvl="0">
      <w:lvlJc w:val="left"/>
      <w:lvlText w:val="(%1)"/>
      <w:numFmt w:val="lowerLetter"/>
      <w:start w:val="2"/>
    </w:lvl>
  </w:abstractNum>
  <w:abstractNum w:abstractNumId="119">
    <w:nsid w:val="37DF2233"/>
    <w:multiLevelType w:val="hybridMultilevel"/>
    <w:lvl w:ilvl="0">
      <w:lvlJc w:val="left"/>
      <w:lvlText w:val="(%1)"/>
      <w:numFmt w:val="lowerLetter"/>
      <w:start w:val="2"/>
    </w:lvl>
    <w:lvl w:ilvl="1">
      <w:lvlJc w:val="left"/>
      <w:lvlText w:val="-"/>
      <w:numFmt w:val="bullet"/>
      <w:start w:val="1"/>
    </w:lvl>
  </w:abstractNum>
  <w:abstractNum w:abstractNumId="120">
    <w:nsid w:val="7AB49DAF"/>
    <w:multiLevelType w:val="hybridMultilevel"/>
    <w:lvl w:ilvl="0">
      <w:lvlJc w:val="left"/>
      <w:lvlText w:val="(%1)"/>
      <w:numFmt w:val="lowerLetter"/>
      <w:start w:val="3"/>
    </w:lvl>
  </w:abstractNum>
  <w:abstractNum w:abstractNumId="121">
    <w:nsid w:val="759F82CD"/>
    <w:multiLevelType w:val="hybridMultilevel"/>
    <w:lvl w:ilvl="0">
      <w:lvlJc w:val="left"/>
      <w:lvlText w:val="(%1)"/>
      <w:numFmt w:val="lowerLetter"/>
      <w:start w:val="1"/>
    </w:lvl>
    <w:lvl w:ilvl="1">
      <w:lvlJc w:val="left"/>
      <w:lvlText w:val="-"/>
      <w:numFmt w:val="bullet"/>
      <w:start w:val="1"/>
    </w:lvl>
  </w:abstractNum>
  <w:abstractNum w:abstractNumId="122">
    <w:nsid w:val="61E74EA3"/>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123">
    <w:nsid w:val="597B4D84"/>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124">
    <w:nsid w:val="F819E7F"/>
    <w:multiLevelType w:val="hybridMultilevel"/>
    <w:lvl w:ilvl="0">
      <w:lvlJc w:val="left"/>
      <w:lvlText w:val="(%1)"/>
      <w:numFmt w:val="lowerRoman"/>
      <w:start w:val="1"/>
    </w:lvl>
  </w:abstractNum>
  <w:abstractNum w:abstractNumId="125">
    <w:nsid w:val="57C7D42D"/>
    <w:multiLevelType w:val="hybridMultilevel"/>
    <w:lvl w:ilvl="0">
      <w:lvlJc w:val="left"/>
      <w:lvlText w:val="(%1)"/>
      <w:numFmt w:val="lowerLetter"/>
      <w:start w:val="1"/>
    </w:lvl>
    <w:lvl w:ilvl="1">
      <w:lvlJc w:val="left"/>
      <w:lvlText w:val="-"/>
      <w:numFmt w:val="bullet"/>
      <w:start w:val="1"/>
    </w:lvl>
  </w:abstractNum>
  <w:abstractNum w:abstractNumId="126">
    <w:nsid w:val="312167AD"/>
    <w:multiLevelType w:val="hybridMultilevel"/>
    <w:lvl w:ilvl="0">
      <w:lvlJc w:val="left"/>
      <w:lvlText w:val="(%1)"/>
      <w:numFmt w:val="lowerLetter"/>
      <w:start w:val="3"/>
    </w:lvl>
  </w:abstractNum>
  <w:abstractNum w:abstractNumId="127">
    <w:nsid w:val="631B64D4"/>
    <w:multiLevelType w:val="hybridMultilevel"/>
    <w:lvl w:ilvl="0">
      <w:lvlJc w:val="left"/>
      <w:lvlText w:val="(%1)"/>
      <w:numFmt w:val="lowerLetter"/>
      <w:start w:val="1"/>
    </w:lvl>
    <w:lvl w:ilvl="1">
      <w:lvlJc w:val="left"/>
      <w:lvlText w:val="-"/>
      <w:numFmt w:val="bullet"/>
      <w:start w:val="1"/>
    </w:lvl>
  </w:abstractNum>
  <w:abstractNum w:abstractNumId="128">
    <w:nsid w:val="78B5E776"/>
    <w:multiLevelType w:val="hybridMultilevel"/>
    <w:lvl w:ilvl="0">
      <w:lvlJc w:val="left"/>
      <w:lvlText w:val="(%1)"/>
      <w:numFmt w:val="lowerLetter"/>
      <w:start w:val="2"/>
    </w:lvl>
  </w:abstractNum>
  <w:abstractNum w:abstractNumId="129">
    <w:nsid w:val="75486E47"/>
    <w:multiLevelType w:val="hybridMultilevel"/>
    <w:lvl w:ilvl="0">
      <w:lvlJc w:val="left"/>
      <w:lvlText w:val="(%1)"/>
      <w:numFmt w:val="lowerLetter"/>
      <w:start w:val="1"/>
    </w:lvl>
    <w:lvl w:ilvl="1">
      <w:lvlJc w:val="left"/>
      <w:lvlText w:val="-"/>
      <w:numFmt w:val="bullet"/>
      <w:start w:val="1"/>
    </w:lvl>
  </w:abstractNum>
  <w:abstractNum w:abstractNumId="130">
    <w:nsid w:val="6E534CD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1">
    <w:nsid w:val="1A0DDE32"/>
    <w:multiLevelType w:val="hybridMultilevel"/>
    <w:lvl w:ilvl="0">
      <w:lvlJc w:val="left"/>
      <w:lvlText w:val="%1"/>
      <w:numFmt w:val="lowerLetter"/>
      <w:start w:val="1"/>
    </w:lvl>
    <w:lvl w:ilvl="1">
      <w:lvlJc w:val="left"/>
      <w:lvlText w:val="(%2)"/>
      <w:numFmt w:val="lowerRoman"/>
      <w:start w:val="2"/>
    </w:lvl>
  </w:abstractNum>
  <w:abstractNum w:abstractNumId="132">
    <w:nsid w:val="65968C1C"/>
    <w:multiLevelType w:val="hybridMultilevel"/>
    <w:lvl w:ilvl="0">
      <w:lvlJc w:val="left"/>
      <w:lvlText w:val="(%1)"/>
      <w:numFmt w:val="lowerLetter"/>
      <w:start w:val="3"/>
    </w:lvl>
    <w:lvl w:ilvl="1">
      <w:lvlJc w:val="left"/>
      <w:lvlText w:val="%2"/>
      <w:numFmt w:val="lowerRoman"/>
      <w:start w:val="1"/>
    </w:lvl>
  </w:abstractNum>
  <w:abstractNum w:abstractNumId="133">
    <w:nsid w:val="46263DEC"/>
    <w:multiLevelType w:val="hybridMultilevel"/>
    <w:lvl w:ilvl="0">
      <w:lvlJc w:val="left"/>
      <w:lvlText w:val="(%1)"/>
      <w:numFmt w:val="lowerLetter"/>
      <w:start w:val="1"/>
    </w:lvl>
    <w:lvl w:ilvl="1">
      <w:lvlJc w:val="left"/>
      <w:lvlText w:val="-"/>
      <w:numFmt w:val="bullet"/>
      <w:start w:val="1"/>
    </w:lvl>
  </w:abstractNum>
  <w:abstractNum w:abstractNumId="134">
    <w:nsid w:val="260D8C4A"/>
    <w:multiLevelType w:val="hybridMultilevel"/>
    <w:lvl w:ilvl="0">
      <w:lvlJc w:val="left"/>
      <w:lvlText w:val="(%1)"/>
      <w:numFmt w:val="lowerLetter"/>
      <w:start w:val="5"/>
    </w:lvl>
  </w:abstractNum>
  <w:abstractNum w:abstractNumId="135">
    <w:nsid w:val="73D4D3C4"/>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36">
    <w:nsid w:val="746F2E30"/>
    <w:multiLevelType w:val="hybridMultilevel"/>
    <w:lvl w:ilvl="0">
      <w:lvlJc w:val="left"/>
      <w:lvlText w:val="(%1)"/>
      <w:numFmt w:val="lowerLetter"/>
      <w:start w:val="4"/>
    </w:lvl>
    <w:lvl w:ilvl="1">
      <w:lvlJc w:val="left"/>
      <w:lvlText w:val="%2"/>
      <w:numFmt w:val="lowerLetter"/>
      <w:start w:val="1"/>
    </w:lvl>
    <w:lvl w:ilvl="2">
      <w:lvlJc w:val="left"/>
      <w:lvlText w:val="-"/>
      <w:numFmt w:val="bullet"/>
      <w:start w:val="1"/>
    </w:lvl>
  </w:abstractNum>
  <w:abstractNum w:abstractNumId="137">
    <w:nsid w:val="6FDE8AF6"/>
    <w:multiLevelType w:val="hybridMultilevel"/>
    <w:lvl w:ilvl="0">
      <w:lvlJc w:val="left"/>
      <w:lvlText w:val="(%1)"/>
      <w:numFmt w:val="lowerLetter"/>
      <w:start w:val="8"/>
    </w:lvl>
  </w:abstractNum>
  <w:abstractNum w:abstractNumId="138">
    <w:nsid w:val="3FC32E20"/>
    <w:multiLevelType w:val="hybridMultilevel"/>
    <w:lvl w:ilvl="0">
      <w:lvlJc w:val="left"/>
      <w:lvlText w:val="(%1)"/>
      <w:numFmt w:val="lowerLetter"/>
      <w:start w:val="1"/>
    </w:lvl>
    <w:lvl w:ilvl="1">
      <w:lvlJc w:val="left"/>
      <w:lvlText w:val="-"/>
      <w:numFmt w:val="bullet"/>
      <w:start w:val="1"/>
    </w:lvl>
  </w:abstractNum>
  <w:abstractNum w:abstractNumId="139">
    <w:nsid w:val="49C0E823"/>
    <w:multiLevelType w:val="hybridMultilevel"/>
    <w:lvl w:ilvl="0">
      <w:lvlJc w:val="left"/>
      <w:lvlText w:val="(%1)"/>
      <w:numFmt w:val="lowerRoman"/>
      <w:start w:val="1"/>
    </w:lvl>
    <w:lvl w:ilvl="1">
      <w:lvlJc w:val="left"/>
      <w:lvlText w:val="-"/>
      <w:numFmt w:val="bullet"/>
      <w:start w:val="1"/>
    </w:lvl>
  </w:abstractNum>
  <w:abstractNum w:abstractNumId="140">
    <w:nsid w:val="14D53685"/>
    <w:multiLevelType w:val="hybridMultilevel"/>
    <w:lvl w:ilvl="0">
      <w:lvlJc w:val="left"/>
      <w:lvlText w:val="(%1)"/>
      <w:numFmt w:val="lowerLetter"/>
      <w:start w:val="1"/>
    </w:lvl>
  </w:abstractNum>
  <w:abstractNum w:abstractNumId="141">
    <w:nsid w:val="230F856C"/>
    <w:multiLevelType w:val="hybridMultilevel"/>
    <w:lvl w:ilvl="0">
      <w:lvlJc w:val="left"/>
      <w:lvlText w:val="(%1)"/>
      <w:numFmt w:val="lowerLetter"/>
      <w:start w:val="3"/>
    </w:lvl>
  </w:abstractNum>
  <w:abstractNum w:abstractNumId="142">
    <w:nsid w:val="6EAA85FB"/>
    <w:multiLevelType w:val="hybridMultilevel"/>
    <w:lvl w:ilvl="0">
      <w:lvlJc w:val="left"/>
      <w:lvlText w:val="(%1)"/>
      <w:numFmt w:val="lowerLetter"/>
      <w:start w:val="4"/>
    </w:lvl>
  </w:abstractNum>
  <w:abstractNum w:abstractNumId="143">
    <w:nsid w:val="3F06ECB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44">
    <w:nsid w:val="3B594807"/>
    <w:multiLevelType w:val="hybridMultilevel"/>
    <w:lvl w:ilvl="0">
      <w:lvlJc w:val="left"/>
      <w:lvlText w:val="(%1)"/>
      <w:numFmt w:val="decimal"/>
      <w:start w:val="3"/>
    </w:lvl>
    <w:lvl w:ilvl="1">
      <w:lvlJc w:val="left"/>
      <w:lvlText w:val="(%2)"/>
      <w:numFmt w:val="lowerLetter"/>
      <w:start w:val="3"/>
    </w:lvl>
    <w:lvl w:ilvl="2">
      <w:lvlJc w:val="left"/>
      <w:lvlText w:val="-"/>
      <w:numFmt w:val="bullet"/>
      <w:start w:val="1"/>
    </w:lvl>
  </w:abstractNum>
  <w:abstractNum w:abstractNumId="145">
    <w:nsid w:val="6CAA2304"/>
    <w:multiLevelType w:val="hybridMultilevel"/>
    <w:lvl w:ilvl="0">
      <w:lvlJc w:val="left"/>
      <w:lvlText w:val="%1"/>
      <w:numFmt w:val="lowerRoman"/>
      <w:start w:val="1"/>
    </w:lvl>
    <w:lvl w:ilvl="1">
      <w:lvlJc w:val="left"/>
      <w:lvlText w:val="(%2)"/>
      <w:numFmt w:val="lowerLetter"/>
      <w:start w:val="7"/>
    </w:lvl>
    <w:lvl w:ilvl="2">
      <w:lvlJc w:val="left"/>
      <w:lvlText w:val="-"/>
      <w:numFmt w:val="bullet"/>
      <w:start w:val="1"/>
    </w:lvl>
  </w:abstractNum>
  <w:abstractNum w:abstractNumId="146">
    <w:nsid w:val="3F7C2FF4"/>
    <w:multiLevelType w:val="hybridMultilevel"/>
    <w:lvl w:ilvl="0">
      <w:lvlJc w:val="left"/>
      <w:lvlText w:val="(%1)"/>
      <w:numFmt w:val="lowerRoman"/>
      <w:start w:val="2"/>
    </w:lvl>
    <w:lvl w:ilvl="1">
      <w:lvlJc w:val="left"/>
      <w:lvlText w:val="(%2)"/>
      <w:numFmt w:val="lowerLetter"/>
      <w:start w:val="8"/>
    </w:lvl>
    <w:lvl w:ilvl="2">
      <w:lvlJc w:val="left"/>
      <w:lvlText w:val="-"/>
      <w:numFmt w:val="bullet"/>
      <w:start w:val="1"/>
    </w:lvl>
  </w:abstractNum>
  <w:abstractNum w:abstractNumId="147">
    <w:nsid w:val="25413BEC"/>
    <w:multiLevelType w:val="hybridMultilevel"/>
    <w:lvl w:ilvl="0">
      <w:lvlJc w:val="left"/>
      <w:lvlText w:val="(%1)"/>
      <w:numFmt w:val="lowerLetter"/>
      <w:start w:val="12"/>
    </w:lvl>
    <w:lvl w:ilvl="1">
      <w:lvlJc w:val="left"/>
      <w:lvlText w:val="-"/>
      <w:numFmt w:val="bullet"/>
      <w:start w:val="1"/>
    </w:lvl>
  </w:abstractNum>
  <w:abstractNum w:abstractNumId="148">
    <w:nsid w:val="17180B0B"/>
    <w:multiLevelType w:val="hybridMultilevel"/>
    <w:lvl w:ilvl="0">
      <w:lvlJc w:val="left"/>
      <w:lvlText w:val="(%1)"/>
      <w:numFmt w:val="lowerLetter"/>
      <w:start w:val="20"/>
    </w:lvl>
  </w:abstractNum>
  <w:abstractNum w:abstractNumId="149">
    <w:nsid w:val="579328B9"/>
    <w:multiLevelType w:val="hybridMultilevel"/>
    <w:lvl w:ilvl="0">
      <w:lvlJc w:val="left"/>
      <w:lvlText w:val="(%1)"/>
      <w:numFmt w:val="lowerLetter"/>
      <w:start w:val="7"/>
    </w:lvl>
  </w:abstractNum>
  <w:abstractNum w:abstractNumId="150">
    <w:nsid w:val="5D205E20"/>
    <w:multiLevelType w:val="hybridMultilevel"/>
    <w:lvl w:ilvl="0">
      <w:lvlJc w:val="left"/>
      <w:lvlText w:val="(%1)"/>
      <w:numFmt w:val="lowerLetter"/>
      <w:start w:val="1"/>
    </w:lvl>
  </w:abstractNum>
  <w:abstractNum w:abstractNumId="151">
    <w:nsid w:val="11CCA8BA"/>
    <w:multiLevelType w:val="hybridMultilevel"/>
    <w:lvl w:ilvl="0">
      <w:lvlJc w:val="left"/>
      <w:lvlText w:val="(%1)"/>
      <w:numFmt w:val="lowerLetter"/>
      <w:start w:val="2"/>
    </w:lvl>
  </w:abstractNum>
  <w:abstractNum w:abstractNumId="152">
    <w:nsid w:val="4D32AB86"/>
    <w:multiLevelType w:val="hybridMultilevel"/>
    <w:lvl w:ilvl="0">
      <w:lvlJc w:val="left"/>
      <w:lvlText w:val="(%1)"/>
      <w:numFmt w:val="lowerLetter"/>
      <w:start w:val="1"/>
    </w:lvl>
    <w:lvl w:ilvl="1">
      <w:lvlJc w:val="left"/>
      <w:lvlText w:val="-"/>
      <w:numFmt w:val="bullet"/>
      <w:start w:val="1"/>
    </w:lvl>
  </w:abstractNum>
  <w:abstractNum w:abstractNumId="153">
    <w:nsid w:val="3F07ACC3"/>
    <w:multiLevelType w:val="hybridMultilevel"/>
    <w:lvl w:ilvl="0">
      <w:lvlJc w:val="left"/>
      <w:lvlText w:val="(%1)"/>
      <w:numFmt w:val="lowerLetter"/>
      <w:start w:val="2"/>
    </w:lvl>
  </w:abstractNum>
  <w:abstractNum w:abstractNumId="154">
    <w:nsid w:val="6B47F63E"/>
    <w:multiLevelType w:val="hybridMultilevel"/>
    <w:lvl w:ilvl="0">
      <w:lvlJc w:val="left"/>
      <w:lvlText w:val="(%1)"/>
      <w:numFmt w:val="lowerLetter"/>
      <w:start w:val="1"/>
    </w:lvl>
    <w:lvl w:ilvl="1">
      <w:lvlJc w:val="left"/>
      <w:lvlText w:val="-"/>
      <w:numFmt w:val="bullet"/>
      <w:start w:val="1"/>
    </w:lvl>
  </w:abstractNum>
  <w:abstractNum w:abstractNumId="155">
    <w:nsid w:val="5CB44A05"/>
    <w:multiLevelType w:val="hybridMultilevel"/>
    <w:lvl w:ilvl="0">
      <w:lvlJc w:val="left"/>
      <w:lvlText w:val="(%1)"/>
      <w:numFmt w:val="lowerLetter"/>
      <w:start w:val="3"/>
    </w:lvl>
  </w:abstractNum>
  <w:abstractNum w:abstractNumId="156">
    <w:nsid w:val="16CF80F1"/>
    <w:multiLevelType w:val="hybridMultilevel"/>
    <w:lvl w:ilvl="0">
      <w:lvlJc w:val="left"/>
      <w:lvlText w:val="(%1)"/>
      <w:numFmt w:val="lowerLetter"/>
      <w:start w:val="1"/>
    </w:lvl>
    <w:lvl w:ilvl="1">
      <w:lvlJc w:val="left"/>
      <w:lvlText w:val="-"/>
      <w:numFmt w:val="bullet"/>
      <w:start w:val="1"/>
    </w:lvl>
  </w:abstractNum>
  <w:abstractNum w:abstractNumId="157">
    <w:nsid w:val="1C695DEC"/>
    <w:multiLevelType w:val="hybridMultilevel"/>
    <w:lvl w:ilvl="0">
      <w:lvlJc w:val="left"/>
      <w:lvlText w:val="%1"/>
      <w:numFmt w:val="lowerLetter"/>
      <w:start w:val="1"/>
    </w:lvl>
    <w:lvl w:ilvl="1">
      <w:lvlJc w:val="left"/>
      <w:lvlText w:val="(%2)"/>
      <w:numFmt w:val="lowerLetter"/>
      <w:start w:val="3"/>
    </w:lvl>
  </w:abstractNum>
  <w:abstractNum w:abstractNumId="158">
    <w:nsid w:val="3FCFAED9"/>
    <w:multiLevelType w:val="hybridMultilevel"/>
    <w:lvl w:ilvl="0">
      <w:lvlJc w:val="left"/>
      <w:lvlText w:val="(%1)"/>
      <w:numFmt w:val="lowerLetter"/>
      <w:start w:val="9"/>
    </w:lvl>
    <w:lvl w:ilvl="1">
      <w:lvlJc w:val="left"/>
      <w:lvlText w:val="(%2)"/>
      <w:numFmt w:val="lowerLetter"/>
      <w:start w:val="5"/>
    </w:lvl>
  </w:abstractNum>
  <w:abstractNum w:abstractNumId="159">
    <w:nsid w:val="F856867"/>
    <w:multiLevelType w:val="hybridMultilevel"/>
    <w:lvl w:ilvl="0">
      <w:lvlJc w:val="left"/>
      <w:lvlText w:val="(%1)"/>
      <w:numFmt w:val="lowerLetter"/>
      <w:start w:val="1"/>
    </w:lvl>
    <w:lvl w:ilvl="1">
      <w:lvlJc w:val="left"/>
      <w:lvlText w:val="-"/>
      <w:numFmt w:val="bullet"/>
      <w:start w:val="1"/>
    </w:lvl>
  </w:abstractNum>
  <w:abstractNum w:abstractNumId="160">
    <w:nsid w:val="11B1CC33"/>
    <w:multiLevelType w:val="hybridMultilevel"/>
    <w:lvl w:ilvl="0">
      <w:lvlJc w:val="left"/>
      <w:lvlText w:val="(%1)"/>
      <w:numFmt w:val="lowerLetter"/>
      <w:start w:val="2"/>
    </w:lvl>
  </w:abstractNum>
  <w:abstractNum w:abstractNumId="161">
    <w:nsid w:val="2E22FBB7"/>
    <w:multiLevelType w:val="hybridMultilevel"/>
    <w:lvl w:ilvl="0">
      <w:lvlJc w:val="left"/>
      <w:lvlText w:val="(%1)"/>
      <w:numFmt w:val="lowerRoman"/>
      <w:start w:val="5"/>
    </w:lvl>
  </w:abstractNum>
  <w:abstractNum w:abstractNumId="162">
    <w:nsid w:val="29934699"/>
    <w:multiLevelType w:val="hybridMultilevel"/>
    <w:lvl w:ilvl="0">
      <w:lvlJc w:val="left"/>
      <w:lvlText w:val="%1."/>
      <w:numFmt w:val="decimal"/>
      <w:start w:val="1"/>
    </w:lvl>
    <w:lvl w:ilvl="1">
      <w:lvlJc w:val="left"/>
      <w:lvlText w:val="%2)"/>
      <w:numFmt w:val="lowerLetter"/>
      <w:start w:val="1"/>
    </w:lvl>
  </w:abstractNum>
  <w:abstractNum w:abstractNumId="163">
    <w:nsid w:val="77485850"/>
    <w:multiLevelType w:val="hybridMultilevel"/>
    <w:lvl w:ilvl="0">
      <w:lvlJc w:val="left"/>
      <w:lvlText w:val="%1."/>
      <w:numFmt w:val="decimal"/>
      <w:start w:val="1"/>
    </w:lvl>
    <w:lvl w:ilvl="1">
      <w:lvlJc w:val="left"/>
      <w:lvlText w:val="%2)"/>
      <w:numFmt w:val="lowerLetter"/>
      <w:start w:val="1"/>
    </w:lvl>
  </w:abstractNum>
  <w:abstractNum w:abstractNumId="164">
    <w:nsid w:val="744939A3"/>
    <w:multiLevelType w:val="hybridMultilevel"/>
    <w:lvl w:ilvl="0">
      <w:lvlJc w:val="left"/>
      <w:lvlText w:val="(%1)"/>
      <w:numFmt w:val="decimal"/>
      <w:start w:val="1"/>
    </w:lvl>
  </w:abstractNum>
  <w:abstractNum w:abstractNumId="165">
    <w:nsid w:val="4FA0D2E3"/>
    <w:multiLevelType w:val="hybridMultilevel"/>
    <w:lvl w:ilvl="0">
      <w:lvlJc w:val="left"/>
      <w:lvlText w:val="(%1)"/>
      <w:numFmt w:val="lowerRoman"/>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2019-12-06T03:12:56Z</dcterms:created>
  <dcterms:modified xsi:type="dcterms:W3CDTF">2019-12-06T03:12:56Z</dcterms:modified>
</cp:coreProperties>
</file>