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417195</wp:posOffset>
            </wp:positionV>
            <wp:extent cx="7016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750" cy="8255"/>
                    </a:xfrm>
                    <a:prstGeom prst="rect">
                      <a:avLst/>
                    </a:prstGeom>
                    <a:noFill/>
                  </pic:spPr>
                </pic:pic>
              </a:graphicData>
            </a:graphic>
          </wp:anchor>
        </w:drawing>
        <w:drawing>
          <wp:anchor simplePos="0" relativeHeight="251657728" behindDoc="1" locked="0" layoutInCell="0" allowOverlap="1">
            <wp:simplePos x="0" y="0"/>
            <wp:positionH relativeFrom="page">
              <wp:posOffset>266065</wp:posOffset>
            </wp:positionH>
            <wp:positionV relativeFrom="page">
              <wp:posOffset>375285</wp:posOffset>
            </wp:positionV>
            <wp:extent cx="70167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750" cy="1651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15" w:lineRule="exact"/>
        <w:rPr>
          <w:sz w:val="24"/>
          <w:szCs w:val="24"/>
          <w:color w:val="auto"/>
        </w:rPr>
      </w:pPr>
    </w:p>
    <w:p>
      <w:pPr>
        <w:jc w:val="center"/>
        <w:ind w:left="4080" w:right="1640" w:hanging="2434"/>
        <w:spacing w:after="0" w:line="275" w:lineRule="auto"/>
        <w:tabs>
          <w:tab w:leader="none" w:pos="1841"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68" w:lineRule="exact"/>
        <w:rPr>
          <w:rFonts w:ascii="MS PGothic" w:cs="MS PGothic" w:eastAsia="MS PGothic" w:hAnsi="MS PGothic"/>
          <w:sz w:val="16"/>
          <w:szCs w:val="16"/>
          <w:color w:val="auto"/>
        </w:rPr>
      </w:pPr>
    </w:p>
    <w:p>
      <w:pPr>
        <w:jc w:val="center"/>
        <w:ind w:left="4000" w:right="1480" w:hanging="2517"/>
        <w:spacing w:after="0" w:line="275" w:lineRule="auto"/>
        <w:tabs>
          <w:tab w:leader="none" w:pos="1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 ______</w:t>
      </w:r>
    </w:p>
    <w:p>
      <w:pPr>
        <w:spacing w:after="0" w:line="55"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360" w:type="dxa"/>
            <w:vAlign w:val="bottom"/>
            <w:gridSpan w:val="3"/>
          </w:tcPr>
          <w:p>
            <w:pPr>
              <w:jc w:val="center"/>
              <w:ind w:left="155"/>
              <w:spacing w:after="0"/>
              <w:rPr>
                <w:sz w:val="20"/>
                <w:szCs w:val="20"/>
                <w:color w:val="auto"/>
              </w:rPr>
            </w:pPr>
            <w:r>
              <w:rPr>
                <w:rFonts w:ascii="Times New Roman" w:cs="Times New Roman" w:eastAsia="Times New Roman" w:hAnsi="Times New Roman"/>
                <w:sz w:val="16"/>
                <w:szCs w:val="16"/>
                <w:b w:val="1"/>
                <w:bCs w:val="1"/>
                <w:color w:val="auto"/>
                <w:w w:val="99"/>
              </w:rPr>
              <w:t>Commission File Number 001-35095</w:t>
            </w:r>
          </w:p>
        </w:tc>
        <w:tc>
          <w:tcPr>
            <w:tcW w:w="3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580" w:type="dxa"/>
            <w:vAlign w:val="bottom"/>
            <w:gridSpan w:val="4"/>
          </w:tcPr>
          <w:p>
            <w:pPr>
              <w:jc w:val="center"/>
              <w:ind w:right="2903"/>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3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96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7"/>
              </w:rPr>
              <w:t>Georgia</w:t>
            </w:r>
          </w:p>
        </w:tc>
        <w:tc>
          <w:tcPr>
            <w:tcW w:w="700" w:type="dxa"/>
            <w:vAlign w:val="bottom"/>
            <w:tcBorders>
              <w:bottom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383"/>
              <w:spacing w:after="0"/>
              <w:rPr>
                <w:sz w:val="20"/>
                <w:szCs w:val="20"/>
                <w:color w:val="auto"/>
              </w:rPr>
            </w:pPr>
            <w:r>
              <w:rPr>
                <w:rFonts w:ascii="Times New Roman" w:cs="Times New Roman" w:eastAsia="Times New Roman" w:hAnsi="Times New Roman"/>
                <w:sz w:val="16"/>
                <w:szCs w:val="16"/>
                <w:b w:val="1"/>
                <w:bCs w:val="1"/>
                <w:color w:val="auto"/>
              </w:rPr>
              <w:t>58-1807304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960" w:type="dxa"/>
            <w:vAlign w:val="bottom"/>
          </w:tcPr>
          <w:p>
            <w:pPr>
              <w:jc w:val="center"/>
              <w:ind w:left="622"/>
              <w:spacing w:after="0"/>
              <w:rPr>
                <w:sz w:val="20"/>
                <w:szCs w:val="20"/>
                <w:color w:val="auto"/>
              </w:rPr>
            </w:pPr>
            <w:r>
              <w:rPr>
                <w:rFonts w:ascii="Times New Roman" w:cs="Times New Roman" w:eastAsia="Times New Roman" w:hAnsi="Times New Roman"/>
                <w:sz w:val="14"/>
                <w:szCs w:val="14"/>
                <w:color w:val="auto"/>
              </w:rPr>
              <w:t>(State of incorporation)</w:t>
            </w:r>
          </w:p>
        </w:tc>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tcPr>
          <w:p>
            <w:pPr>
              <w:jc w:val="center"/>
              <w:ind w:right="403"/>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660" w:type="dxa"/>
            <w:vAlign w:val="bottom"/>
          </w:tcPr>
          <w:p>
            <w:pPr>
              <w:spacing w:after="0"/>
              <w:rPr>
                <w:sz w:val="24"/>
                <w:szCs w:val="24"/>
                <w:color w:val="auto"/>
              </w:rPr>
            </w:pPr>
          </w:p>
        </w:tc>
        <w:tc>
          <w:tcPr>
            <w:tcW w:w="2960" w:type="dxa"/>
            <w:vAlign w:val="bottom"/>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8"/>
              </w:rPr>
              <w:t>125 Highway 515 East</w:t>
            </w: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296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8"/>
              </w:rPr>
              <w:t>Blairsville, Georgia</w:t>
            </w:r>
          </w:p>
        </w:tc>
        <w:tc>
          <w:tcPr>
            <w:tcW w:w="7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1563"/>
              <w:spacing w:after="0"/>
              <w:rPr>
                <w:sz w:val="20"/>
                <w:szCs w:val="20"/>
                <w:color w:val="auto"/>
              </w:rPr>
            </w:pPr>
            <w:r>
              <w:rPr>
                <w:rFonts w:ascii="Times New Roman" w:cs="Times New Roman" w:eastAsia="Times New Roman" w:hAnsi="Times New Roman"/>
                <w:sz w:val="16"/>
                <w:szCs w:val="16"/>
                <w:b w:val="1"/>
                <w:bCs w:val="1"/>
                <w:color w:val="auto"/>
              </w:rPr>
              <w:t>30512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960" w:type="dxa"/>
            <w:vAlign w:val="bottom"/>
          </w:tcPr>
          <w:p>
            <w:pPr>
              <w:jc w:val="center"/>
              <w:ind w:left="60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tcPr>
          <w:p>
            <w:pPr>
              <w:jc w:val="center"/>
              <w:ind w:right="403"/>
              <w:spacing w:after="0"/>
              <w:rPr>
                <w:sz w:val="20"/>
                <w:szCs w:val="20"/>
                <w:color w:val="auto"/>
              </w:rPr>
            </w:pPr>
            <w:r>
              <w:rPr>
                <w:rFonts w:ascii="Times New Roman" w:cs="Times New Roman" w:eastAsia="Times New Roman" w:hAnsi="Times New Roman"/>
                <w:sz w:val="14"/>
                <w:szCs w:val="14"/>
                <w:color w:val="auto"/>
                <w:w w:val="98"/>
              </w:rPr>
              <w:t>(Zip code)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660" w:type="dxa"/>
            <w:vAlign w:val="bottom"/>
          </w:tcPr>
          <w:p>
            <w:pPr>
              <w:spacing w:after="0"/>
              <w:rPr>
                <w:sz w:val="24"/>
                <w:szCs w:val="24"/>
                <w:color w:val="auto"/>
              </w:rPr>
            </w:pPr>
          </w:p>
        </w:tc>
        <w:tc>
          <w:tcPr>
            <w:tcW w:w="954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 (706) 781-2265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6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7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9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8"/>
              </w:rPr>
              <w:t>Common stock, par value $1 per share</w:t>
            </w:r>
          </w:p>
        </w:tc>
        <w:tc>
          <w:tcPr>
            <w:tcW w:w="700" w:type="dxa"/>
            <w:vAlign w:val="bottom"/>
          </w:tcPr>
          <w:p>
            <w:pPr>
              <w:spacing w:after="0"/>
              <w:rPr>
                <w:sz w:val="17"/>
                <w:szCs w:val="17"/>
                <w:color w:val="auto"/>
              </w:rPr>
            </w:pP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w w:val="99"/>
              </w:rPr>
              <w:t>UCBI</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980" w:type="dxa"/>
            <w:vAlign w:val="bottom"/>
            <w:gridSpan w:val="5"/>
          </w:tcPr>
          <w:p>
            <w:pPr>
              <w:jc w:val="center"/>
              <w:ind w:right="2540"/>
              <w:spacing w:after="0" w:line="164" w:lineRule="exact"/>
              <w:rPr>
                <w:sz w:val="20"/>
                <w:szCs w:val="20"/>
                <w:color w:val="auto"/>
              </w:rPr>
            </w:pPr>
            <w:r>
              <w:rPr>
                <w:rFonts w:ascii="Times New Roman" w:cs="Times New Roman" w:eastAsia="Times New Roman" w:hAnsi="Times New Roman"/>
                <w:sz w:val="16"/>
                <w:szCs w:val="16"/>
                <w:color w:val="auto"/>
                <w:w w:val="99"/>
              </w:rPr>
              <w:t>Depositary shares, each representing 1/1000th interest in a share of</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29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Series I Non-Cumulative Preferred Stock</w:t>
            </w:r>
          </w:p>
        </w:tc>
        <w:tc>
          <w:tcPr>
            <w:tcW w:w="700" w:type="dxa"/>
            <w:vAlign w:val="bottom"/>
          </w:tcPr>
          <w:p>
            <w:pPr>
              <w:spacing w:after="0"/>
              <w:rPr>
                <w:sz w:val="18"/>
                <w:szCs w:val="18"/>
                <w:color w:val="auto"/>
              </w:rPr>
            </w:pP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UCBIO</w:t>
            </w:r>
          </w:p>
        </w:tc>
        <w:tc>
          <w:tcPr>
            <w:tcW w:w="32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5" w:lineRule="exact"/>
        <w:rPr>
          <w:sz w:val="24"/>
          <w:szCs w:val="24"/>
          <w:color w:val="auto"/>
        </w:rPr>
      </w:pPr>
    </w:p>
    <w:p>
      <w:pPr>
        <w:ind w:right="2720"/>
        <w:spacing w:after="0" w:line="25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29" w:lineRule="exact"/>
        <w:rPr>
          <w:sz w:val="24"/>
          <w:szCs w:val="24"/>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2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2"/>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2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0"/>
        </w:trPr>
        <w:tc>
          <w:tcPr>
            <w:tcW w:w="2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81"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highlight w:val="black"/>
        </w:rPr>
        <w:t>☒</w:t>
      </w:r>
    </w:p>
    <w:p>
      <w:pPr>
        <w:spacing w:after="0" w:line="43" w:lineRule="exact"/>
        <w:rPr>
          <w:sz w:val="24"/>
          <w:szCs w:val="24"/>
          <w:color w:val="auto"/>
        </w:rPr>
      </w:pPr>
    </w:p>
    <w:p>
      <w:pPr>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9" w:lineRule="exact"/>
        <w:rPr>
          <w:sz w:val="24"/>
          <w:szCs w:val="24"/>
          <w:color w:val="auto"/>
        </w:rPr>
      </w:pPr>
    </w:p>
    <w:p>
      <w:pPr>
        <w:ind w:right="5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107"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computed by reference to the closing price ($30.19 per share) of such common equity, as of June 30, 2022 (the last business day of the registrant’s most recently completed second fiscal quarter) was $3,187,685,387.</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31, 2023, there were 115,031,867 shares of United Community Banks, Inc.’s common stock issued and outstanding.</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6" w:lineRule="exact"/>
        <w:rPr>
          <w:sz w:val="24"/>
          <w:szCs w:val="24"/>
          <w:color w:val="auto"/>
        </w:rPr>
      </w:pPr>
    </w:p>
    <w:p>
      <w:pPr>
        <w:ind w:right="280"/>
        <w:spacing w:after="0" w:line="290" w:lineRule="auto"/>
        <w:rPr>
          <w:sz w:val="20"/>
          <w:szCs w:val="20"/>
          <w:color w:val="auto"/>
        </w:rPr>
      </w:pPr>
      <w:r>
        <w:rPr>
          <w:rFonts w:ascii="Times New Roman" w:cs="Times New Roman" w:eastAsia="Times New Roman" w:hAnsi="Times New Roman"/>
          <w:sz w:val="16"/>
          <w:szCs w:val="16"/>
          <w:color w:val="auto"/>
        </w:rPr>
        <w:t>Portions of the registrant’s Proxy Statement for the 2023 Annual Meeting of Shareholders to be held on May 17, 2023 (the “2023 Proxy Statement”)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395605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71755</wp:posOffset>
            </wp:positionV>
            <wp:extent cx="7016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750" cy="1714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46355</wp:posOffset>
            </wp:positionV>
            <wp:extent cx="7016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75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5"/>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UNITED COMMUNITY BANKS, INC.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40" w:type="dxa"/>
            <w:vAlign w:val="bottom"/>
            <w:gridSpan w:val="13"/>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12"/>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6"/>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60" w:type="dxa"/>
            <w:vAlign w:val="bottom"/>
            <w:gridSpan w:val="26"/>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80" w:type="dxa"/>
            <w:vAlign w:val="bottom"/>
            <w:gridSpan w:val="4"/>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3</w:t>
            </w:r>
          </w:p>
        </w:tc>
      </w:tr>
      <w:tr>
        <w:trPr>
          <w:trHeight w:val="40"/>
        </w:trPr>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60" w:type="dxa"/>
            <w:vAlign w:val="bottom"/>
            <w:gridSpan w:val="2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Forward-looking Statements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5</w:t>
            </w:r>
          </w:p>
        </w:tc>
      </w:tr>
      <w:tr>
        <w:trPr>
          <w:trHeight w:val="215"/>
        </w:trPr>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5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left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left w:val="single" w:sz="8" w:color="CCEEFF"/>
            </w:tcBorders>
            <w:shd w:val="clear" w:color="auto" w:fill="CCEEFF"/>
          </w:tcPr>
          <w:p>
            <w:pPr>
              <w:spacing w:after="0"/>
              <w:rPr>
                <w:sz w:val="18"/>
                <w:szCs w:val="18"/>
                <w:color w:val="auto"/>
              </w:rPr>
            </w:pPr>
          </w:p>
        </w:tc>
        <w:tc>
          <w:tcPr>
            <w:tcW w:w="260" w:type="dxa"/>
            <w:vAlign w:val="bottom"/>
            <w:tcBorders>
              <w:top w:val="single" w:sz="8" w:color="0000FF"/>
              <w:right w:val="single" w:sz="8" w:color="CCEE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40" w:type="dxa"/>
            <w:vAlign w:val="bottom"/>
            <w:gridSpan w:val="13"/>
            <w:shd w:val="clear" w:color="auto" w:fill="CCEEFF"/>
          </w:tcPr>
          <w:p>
            <w:pPr>
              <w:jc w:val="center"/>
              <w:ind w:right="4780"/>
              <w:spacing w:after="0" w:line="195"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5"/>
        </w:trPr>
        <w:tc>
          <w:tcPr>
            <w:tcW w:w="540" w:type="dxa"/>
            <w:vAlign w:val="bottom"/>
            <w:tcBorders>
              <w:top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1.</w:t>
            </w:r>
          </w:p>
        </w:tc>
        <w:tc>
          <w:tcPr>
            <w:tcW w:w="800" w:type="dxa"/>
            <w:vAlign w:val="bottom"/>
            <w:tcBorders>
              <w:top w:val="single" w:sz="8" w:color="CCEEFF"/>
            </w:tcBorders>
            <w:gridSpan w:val="5"/>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gridSpan w:val="14"/>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Business</w:t>
            </w:r>
          </w:p>
        </w:tc>
        <w:tc>
          <w:tcPr>
            <w:tcW w:w="580" w:type="dxa"/>
            <w:vAlign w:val="bottom"/>
            <w:tcBorders>
              <w:top w:val="single" w:sz="8" w:color="0000FF"/>
            </w:tcBorders>
            <w:gridSpan w:val="2"/>
          </w:tcPr>
          <w:p>
            <w:pPr>
              <w:spacing w:after="0"/>
              <w:rPr>
                <w:sz w:val="16"/>
                <w:szCs w:val="16"/>
                <w:color w:val="auto"/>
              </w:rPr>
            </w:pPr>
          </w:p>
        </w:tc>
        <w:tc>
          <w:tcPr>
            <w:tcW w:w="5020" w:type="dxa"/>
            <w:vAlign w:val="bottom"/>
            <w:tcBorders>
              <w:top w:val="single" w:sz="8" w:color="CCEEFF"/>
            </w:tcBorders>
            <w:gridSpan w:val="10"/>
          </w:tcPr>
          <w:p>
            <w:pPr>
              <w:spacing w:after="0"/>
              <w:rPr>
                <w:sz w:val="16"/>
                <w:szCs w:val="16"/>
                <w:color w:val="auto"/>
              </w:rPr>
            </w:pPr>
          </w:p>
        </w:tc>
        <w:tc>
          <w:tcPr>
            <w:tcW w:w="280" w:type="dxa"/>
            <w:vAlign w:val="bottom"/>
            <w:tcBorders>
              <w:top w:val="single" w:sz="8" w:color="CCEEFF"/>
            </w:tcBorders>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7</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34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560" w:type="dxa"/>
            <w:vAlign w:val="bottom"/>
            <w:gridSpan w:val="27"/>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22</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6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87"/>
              </w:rPr>
              <w:t>Item 1B.</w:t>
            </w:r>
          </w:p>
        </w:tc>
        <w:tc>
          <w:tcPr>
            <w:tcW w:w="72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7"/>
              </w:rPr>
              <w:t>Unresolved Staff Comments</w:t>
            </w:r>
          </w:p>
        </w:tc>
        <w:tc>
          <w:tcPr>
            <w:tcW w:w="7240" w:type="dxa"/>
            <w:vAlign w:val="bottom"/>
            <w:gridSpan w:val="17"/>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37</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2.</w:t>
            </w:r>
          </w:p>
        </w:tc>
        <w:tc>
          <w:tcPr>
            <w:tcW w:w="80" w:type="dxa"/>
            <w:vAlign w:val="bottom"/>
            <w:shd w:val="clear" w:color="auto" w:fill="CCEEFF"/>
          </w:tcPr>
          <w:p>
            <w:pPr>
              <w:spacing w:after="0"/>
              <w:rPr>
                <w:sz w:val="16"/>
                <w:szCs w:val="16"/>
                <w:color w:val="auto"/>
              </w:rPr>
            </w:pPr>
          </w:p>
        </w:tc>
        <w:tc>
          <w:tcPr>
            <w:tcW w:w="720" w:type="dxa"/>
            <w:vAlign w:val="bottom"/>
            <w:tcBorders>
              <w:left w:val="single" w:sz="8" w:color="CCEEFF"/>
            </w:tcBorders>
            <w:gridSpan w:val="4"/>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gridSpan w:val="9"/>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Properties</w:t>
            </w:r>
          </w:p>
        </w:tc>
        <w:tc>
          <w:tcPr>
            <w:tcW w:w="7240" w:type="dxa"/>
            <w:vAlign w:val="bottom"/>
            <w:gridSpan w:val="17"/>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37</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3.</w:t>
            </w:r>
          </w:p>
        </w:tc>
        <w:tc>
          <w:tcPr>
            <w:tcW w:w="80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5"/>
              </w:rPr>
              <w:t>Legal Proceedings</w:t>
            </w:r>
          </w:p>
        </w:tc>
        <w:tc>
          <w:tcPr>
            <w:tcW w:w="7980" w:type="dxa"/>
            <w:vAlign w:val="bottom"/>
            <w:gridSpan w:val="21"/>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37</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4.</w:t>
            </w:r>
          </w:p>
        </w:tc>
        <w:tc>
          <w:tcPr>
            <w:tcW w:w="800" w:type="dxa"/>
            <w:vAlign w:val="bottom"/>
            <w:gridSpan w:val="5"/>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360" w:type="dxa"/>
            <w:vAlign w:val="bottom"/>
            <w:gridSpan w:val="2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37</w:t>
            </w: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5"/>
        </w:trPr>
        <w:tc>
          <w:tcPr>
            <w:tcW w:w="1340" w:type="dxa"/>
            <w:vAlign w:val="bottom"/>
            <w:gridSpan w:val="6"/>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5"/>
        </w:trPr>
        <w:tc>
          <w:tcPr>
            <w:tcW w:w="5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5.</w:t>
            </w:r>
          </w:p>
        </w:tc>
        <w:tc>
          <w:tcPr>
            <w:tcW w:w="800" w:type="dxa"/>
            <w:vAlign w:val="bottom"/>
            <w:gridSpan w:val="5"/>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20" w:type="dxa"/>
            <w:vAlign w:val="bottom"/>
            <w:gridSpan w:val="2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7"/>
              </w:rPr>
              <w:t>Market for Registrant’s Common Equity, Related Stockholder Matters and Issuer Purchases of Equity Securities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38</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tcBorders>
              <w:right w:val="single" w:sz="8" w:color="0000FF"/>
            </w:tcBorders>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80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84"/>
              </w:rPr>
              <w:t>Reserved</w:t>
            </w:r>
          </w:p>
        </w:tc>
        <w:tc>
          <w:tcPr>
            <w:tcW w:w="7880" w:type="dxa"/>
            <w:vAlign w:val="bottom"/>
            <w:gridSpan w:val="23"/>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39</w:t>
            </w:r>
          </w:p>
        </w:tc>
      </w:tr>
      <w:tr>
        <w:trPr>
          <w:trHeight w:val="30"/>
        </w:trPr>
        <w:tc>
          <w:tcPr>
            <w:tcW w:w="5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7.</w:t>
            </w:r>
          </w:p>
        </w:tc>
        <w:tc>
          <w:tcPr>
            <w:tcW w:w="800" w:type="dxa"/>
            <w:vAlign w:val="bottom"/>
            <w:gridSpan w:val="5"/>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60" w:type="dxa"/>
            <w:vAlign w:val="bottom"/>
            <w:gridSpan w:val="2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40</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tcBorders>
              <w:right w:val="single" w:sz="8" w:color="CCEEFF"/>
            </w:tcBorders>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7A.</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rPr>
              <w:t>63</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8.</w:t>
            </w:r>
          </w:p>
        </w:tc>
        <w:tc>
          <w:tcPr>
            <w:tcW w:w="80" w:type="dxa"/>
            <w:vAlign w:val="bottom"/>
            <w:shd w:val="clear" w:color="auto" w:fill="CCEEFF"/>
          </w:tcPr>
          <w:p>
            <w:pPr>
              <w:spacing w:after="0"/>
              <w:rPr>
                <w:sz w:val="16"/>
                <w:szCs w:val="16"/>
                <w:color w:val="auto"/>
              </w:rPr>
            </w:pPr>
          </w:p>
        </w:tc>
        <w:tc>
          <w:tcPr>
            <w:tcW w:w="720" w:type="dxa"/>
            <w:vAlign w:val="bottom"/>
            <w:tcBorders>
              <w:left w:val="single" w:sz="8" w:color="CCEEFF"/>
            </w:tcBorders>
            <w:gridSpan w:val="4"/>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4780" w:type="dxa"/>
            <w:vAlign w:val="bottom"/>
            <w:gridSpan w:val="8"/>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64</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Report on Internal Control Over Financial Reporting</w:t>
            </w:r>
          </w:p>
        </w:tc>
        <w:tc>
          <w:tcPr>
            <w:tcW w:w="4440" w:type="dxa"/>
            <w:vAlign w:val="bottom"/>
            <w:gridSpan w:val="7"/>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65</w:t>
            </w:r>
          </w:p>
        </w:tc>
      </w:tr>
      <w:tr>
        <w:trPr>
          <w:trHeight w:val="30"/>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60" w:type="dxa"/>
            <w:vAlign w:val="bottom"/>
            <w:gridSpan w:val="2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rPr>
              <w:t>66</w:t>
            </w:r>
          </w:p>
        </w:tc>
      </w:tr>
      <w:tr>
        <w:trPr>
          <w:trHeight w:val="40"/>
        </w:trPr>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Financial Statements and Accompanying Notes</w:t>
            </w:r>
          </w:p>
        </w:tc>
        <w:tc>
          <w:tcPr>
            <w:tcW w:w="780" w:type="dxa"/>
            <w:vAlign w:val="bottom"/>
            <w:gridSpan w:val="4"/>
          </w:tcPr>
          <w:p>
            <w:pPr>
              <w:spacing w:after="0"/>
              <w:rPr>
                <w:sz w:val="16"/>
                <w:szCs w:val="16"/>
                <w:color w:val="auto"/>
              </w:rPr>
            </w:pPr>
          </w:p>
        </w:tc>
        <w:tc>
          <w:tcPr>
            <w:tcW w:w="414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67</w:t>
            </w:r>
          </w:p>
        </w:tc>
      </w:tr>
      <w:tr>
        <w:trPr>
          <w:trHeight w:val="30"/>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6"/>
              </w:rPr>
              <w:t>Item 9.</w:t>
            </w:r>
          </w:p>
        </w:tc>
        <w:tc>
          <w:tcPr>
            <w:tcW w:w="800" w:type="dxa"/>
            <w:vAlign w:val="bottom"/>
            <w:gridSpan w:val="5"/>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60" w:type="dxa"/>
            <w:vAlign w:val="bottom"/>
            <w:gridSpan w:val="2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 Financial Disclosure</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124</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tcBorders>
              <w:right w:val="single" w:sz="8" w:color="0000FF"/>
            </w:tcBorders>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9A.</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124</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6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87"/>
              </w:rPr>
              <w:t>Item 9B.</w:t>
            </w:r>
          </w:p>
        </w:tc>
        <w:tc>
          <w:tcPr>
            <w:tcW w:w="720" w:type="dxa"/>
            <w:vAlign w:val="bottom"/>
            <w:tcBorders>
              <w:left w:val="single" w:sz="8" w:color="CCEEFF"/>
            </w:tcBorders>
            <w:gridSpan w:val="4"/>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2"/>
              </w:rPr>
              <w:t>Other Information</w:t>
            </w:r>
          </w:p>
        </w:tc>
        <w:tc>
          <w:tcPr>
            <w:tcW w:w="50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7480" w:type="dxa"/>
            <w:vAlign w:val="bottom"/>
            <w:gridSpan w:val="19"/>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124</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9C.</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124</w:t>
            </w: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left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left w:val="single" w:sz="8" w:color="CCEE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8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34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left w:val="single" w:sz="8" w:color="CCEE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8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10.</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Directors, Executive Officers and Corporate Governance</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125</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6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2"/>
              </w:rPr>
              <w:t>Item 11.</w:t>
            </w:r>
          </w:p>
        </w:tc>
        <w:tc>
          <w:tcPr>
            <w:tcW w:w="720" w:type="dxa"/>
            <w:vAlign w:val="bottom"/>
            <w:tcBorders>
              <w:left w:val="single" w:sz="8" w:color="CCEEFF"/>
            </w:tcBorders>
            <w:gridSpan w:val="4"/>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30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5060" w:type="dxa"/>
            <w:vAlign w:val="bottom"/>
            <w:gridSpan w:val="11"/>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125</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12.</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Stockholder Matters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125</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tcBorders>
              <w:right w:val="single" w:sz="8" w:color="0000FF"/>
            </w:tcBorders>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34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13.</w:t>
            </w:r>
          </w:p>
        </w:tc>
        <w:tc>
          <w:tcPr>
            <w:tcW w:w="9560" w:type="dxa"/>
            <w:vAlign w:val="bottom"/>
            <w:gridSpan w:val="27"/>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 Independence</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125</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14.</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125</w:t>
            </w: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left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left w:val="single" w:sz="8" w:color="CCEE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820" w:type="dxa"/>
            <w:vAlign w:val="bottom"/>
            <w:tcBorders>
              <w:top w:val="single" w:sz="8" w:color="0000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85"/>
        </w:trPr>
        <w:tc>
          <w:tcPr>
            <w:tcW w:w="134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Item 15.</w:t>
            </w:r>
          </w:p>
        </w:tc>
        <w:tc>
          <w:tcPr>
            <w:tcW w:w="9560" w:type="dxa"/>
            <w:vAlign w:val="bottom"/>
            <w:gridSpan w:val="27"/>
          </w:tcPr>
          <w:p>
            <w:pPr>
              <w:ind w:left="200"/>
              <w:spacing w:after="0" w:line="186" w:lineRule="exact"/>
              <w:rPr>
                <w:sz w:val="20"/>
                <w:szCs w:val="20"/>
                <w:color w:val="auto"/>
              </w:rPr>
            </w:pPr>
            <w:r>
              <w:rPr>
                <w:rFonts w:ascii="Times New Roman" w:cs="Times New Roman" w:eastAsia="Times New Roman" w:hAnsi="Times New Roman"/>
                <w:sz w:val="18"/>
                <w:szCs w:val="18"/>
                <w:b w:val="1"/>
                <w:bCs w:val="1"/>
                <w:color w:val="0000FF"/>
              </w:rPr>
              <w:t>Exhibits and Financial Statement Schedules</w:t>
            </w:r>
          </w:p>
        </w:tc>
        <w:tc>
          <w:tcPr>
            <w:tcW w:w="280" w:type="dxa"/>
            <w:vAlign w:val="bottom"/>
            <w:gridSpan w:val="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126</w:t>
            </w:r>
          </w:p>
        </w:tc>
      </w:tr>
      <w:tr>
        <w:trPr>
          <w:trHeight w:val="30"/>
        </w:trPr>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34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Item 16.</w:t>
            </w:r>
          </w:p>
        </w:tc>
        <w:tc>
          <w:tcPr>
            <w:tcW w:w="9560" w:type="dxa"/>
            <w:vAlign w:val="bottom"/>
            <w:gridSpan w:val="27"/>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b w:val="1"/>
                <w:bCs w:val="1"/>
                <w:color w:val="0000FF"/>
              </w:rPr>
              <w:t>Form 10-K Summary</w:t>
            </w:r>
          </w:p>
        </w:tc>
        <w:tc>
          <w:tcPr>
            <w:tcW w:w="28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b w:val="1"/>
                <w:bCs w:val="1"/>
                <w:color w:val="0000FF"/>
                <w:w w:val="88"/>
              </w:rPr>
              <w:t>128</w:t>
            </w:r>
          </w:p>
        </w:tc>
      </w:tr>
      <w:tr>
        <w:trPr>
          <w:trHeight w:val="225"/>
        </w:trPr>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5"/>
        </w:trPr>
        <w:tc>
          <w:tcPr>
            <w:tcW w:w="114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0000FF"/>
                <w:w w:val="88"/>
              </w:rPr>
              <w:t>129</w:t>
            </w:r>
          </w:p>
        </w:tc>
      </w:tr>
      <w:tr>
        <w:trPr>
          <w:trHeight w:val="40"/>
        </w:trPr>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tcBorders>
              <w:right w:val="single" w:sz="8" w:color="CCEEFF"/>
            </w:tcBorders>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95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8"/>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Affected Benchmarks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 and other benchmark rates dependent on the availability of LIBOR</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Aquesta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Aquesta Financial Holdings, Inc. and its wholly-owned subsidiary, Aquesta Bank</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reference rate</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326</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Topic 326, Financial Instruments - Credit Losses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BHC Act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Holding Company Act of 1956, as amended</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model</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Financial Protection Bureau</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Reinvestment Act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Dodd-Frank Act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Dodd-Frank Wall Street Reform and Consumer Protection Act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Reinvestment and Stock Purchase Plan</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FINRA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Industry Regulatory Authority</w:t>
            </w:r>
          </w:p>
        </w:tc>
        <w:tc>
          <w:tcPr>
            <w:tcW w:w="40" w:type="dxa"/>
            <w:vAlign w:val="bottom"/>
          </w:tcPr>
          <w:p>
            <w:pPr>
              <w:spacing w:after="0"/>
              <w:rPr>
                <w:sz w:val="19"/>
                <w:szCs w:val="19"/>
                <w:color w:val="auto"/>
              </w:rPr>
            </w:pPr>
          </w:p>
        </w:tc>
      </w:tr>
      <w:tr>
        <w:trPr>
          <w:trHeight w:val="172"/>
        </w:trPr>
        <w:tc>
          <w:tcPr>
            <w:tcW w:w="26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FinTrust Capital Partners, LLC, and its operating subsidiaries, FinTrust Capital Advisors, LLC, FinTrust Capital</w:t>
            </w:r>
          </w:p>
        </w:tc>
        <w:tc>
          <w:tcPr>
            <w:tcW w:w="40" w:type="dxa"/>
            <w:vAlign w:val="bottom"/>
          </w:tcPr>
          <w:p>
            <w:pPr>
              <w:spacing w:after="0"/>
              <w:rPr>
                <w:sz w:val="14"/>
                <w:szCs w:val="14"/>
                <w:color w:val="auto"/>
              </w:rPr>
            </w:pPr>
          </w:p>
        </w:tc>
      </w:tr>
      <w:tr>
        <w:trPr>
          <w:trHeight w:val="231"/>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Benefits Group, LLC and FinTrust Brokerage Services, LLC</w:t>
            </w:r>
          </w:p>
        </w:tc>
      </w:tr>
      <w:tr>
        <w:trPr>
          <w:trHeight w:val="23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c>
          <w:tcPr>
            <w:tcW w:w="40" w:type="dxa"/>
            <w:vAlign w:val="bottom"/>
          </w:tcPr>
          <w:p>
            <w:pPr>
              <w:spacing w:after="0"/>
              <w:rPr>
                <w:sz w:val="20"/>
                <w:szCs w:val="20"/>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GADBF</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Department of Banking and Finance</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GLB Act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Gramm-Leach-Bliley Act</w:t>
            </w:r>
          </w:p>
        </w:tc>
        <w:tc>
          <w:tcPr>
            <w:tcW w:w="40" w:type="dxa"/>
            <w:vAlign w:val="bottom"/>
          </w:tcPr>
          <w:p>
            <w:pPr>
              <w:spacing w:after="0"/>
              <w:rPr>
                <w:sz w:val="19"/>
                <w:szCs w:val="19"/>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3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HELOC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40" w:type="dxa"/>
            <w:vAlign w:val="bottom"/>
          </w:tcPr>
          <w:p>
            <w:pPr>
              <w:spacing w:after="0"/>
              <w:rPr>
                <w:sz w:val="20"/>
                <w:szCs w:val="20"/>
                <w:color w:val="auto"/>
              </w:rPr>
            </w:pPr>
          </w:p>
        </w:tc>
      </w:tr>
      <w:tr>
        <w:trPr>
          <w:trHeight w:val="88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2"/>
        </w:trPr>
        <w:tc>
          <w:tcPr>
            <w:tcW w:w="2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Dollar London Interbank Offered Rate</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LIHTC</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Low income housing tax credits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Modified Retirement Plan</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United's unfunded noncontributory defined benefit pension plan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National Association of Securities Dealers Automated Quotations Stock Market</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Navitas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Navitas Credit Corp.</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172"/>
        </w:trPr>
        <w:tc>
          <w:tcPr>
            <w:tcW w:w="22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Patriot Act</w:t>
            </w:r>
          </w:p>
        </w:tc>
        <w:tc>
          <w:tcPr>
            <w:tcW w:w="8940" w:type="dxa"/>
            <w:vAlign w:val="bottom"/>
          </w:tcPr>
          <w:p>
            <w:pPr>
              <w:ind w:left="380"/>
              <w:spacing w:after="0" w:line="172" w:lineRule="exact"/>
              <w:rPr>
                <w:sz w:val="20"/>
                <w:szCs w:val="20"/>
                <w:color w:val="auto"/>
              </w:rPr>
            </w:pPr>
            <w:r>
              <w:rPr>
                <w:rFonts w:ascii="Times New Roman" w:cs="Times New Roman" w:eastAsia="Times New Roman" w:hAnsi="Times New Roman"/>
                <w:sz w:val="18"/>
                <w:szCs w:val="18"/>
                <w:color w:val="auto"/>
                <w:w w:val="97"/>
              </w:rPr>
              <w:t>Uniting and Strengthening America by Providing Appropriate Tools Required to Intercept and Obstruct Terrorism Act of</w:t>
            </w:r>
          </w:p>
        </w:tc>
      </w:tr>
      <w:tr>
        <w:trPr>
          <w:trHeight w:val="235"/>
        </w:trPr>
        <w:tc>
          <w:tcPr>
            <w:tcW w:w="2260" w:type="dxa"/>
            <w:vAlign w:val="bottom"/>
          </w:tcPr>
          <w:p>
            <w:pPr>
              <w:spacing w:after="0"/>
              <w:rPr>
                <w:sz w:val="20"/>
                <w:szCs w:val="20"/>
                <w:color w:val="auto"/>
              </w:rPr>
            </w:pP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2001</w:t>
            </w: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Purchased credit deteriorated loans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 based restricted stock unit awards with market conditions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RWA</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Risk-weighted assets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SCBFI</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Carolina Board of Financial Institutions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SIPC</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 Investor Protection Corporation</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Troubled debt restructuring</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Shores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Three Shores Bancorporation, Inc.</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UCBI</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UCMS</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Community Mortgage Services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UCPS</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Community Payment Systems, LLC</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In particular, information appearing under “Business,” “Risk Factors,” and “Management’s Discussion and Analysis of Financial Condition and Results of Operations” includes forward-looking statements.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out of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Items 1A of this Report - “Risk Factors” - include, but are not limited to the following:</w:t>
      </w:r>
    </w:p>
    <w:p>
      <w:pPr>
        <w:spacing w:after="0" w:line="134" w:lineRule="exact"/>
        <w:rPr>
          <w:sz w:val="20"/>
          <w:szCs w:val="20"/>
          <w:color w:val="auto"/>
        </w:rPr>
      </w:pPr>
    </w:p>
    <w:p>
      <w:pPr>
        <w:jc w:val="both"/>
        <w:ind w:left="320" w:hanging="314"/>
        <w:spacing w:after="0" w:line="25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NPAs, charge-offs and provision expense;</w:t>
      </w: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spacing w:after="0" w:line="1"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effects of the COVID-19 pandemic and the potential effects of other pandemics or public health conditions on the economic and business environments in which we operate;</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5"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replacements of LIBOR and replacement or reform of other interest rate benchmarks, as well as cash flow reassessments may reduce net interest margin and/or the volumes and values of loans made or held as well as the value of other financial assets;</w:t>
      </w:r>
    </w:p>
    <w:p>
      <w:pPr>
        <w:spacing w:after="0" w:line="2"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 and any unanticipated or greater than anticipated adverse conditions in the national or local economies in which we operate;</w:t>
      </w:r>
    </w:p>
    <w:p>
      <w:pPr>
        <w:spacing w:after="0" w:line="1"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5"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2"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5" w:lineRule="exact"/>
        <w:rPr>
          <w:rFonts w:ascii="Times New Roman" w:cs="Times New Roman" w:eastAsia="Times New Roman" w:hAnsi="Times New Roman"/>
          <w:sz w:val="18"/>
          <w:szCs w:val="18"/>
          <w:color w:val="auto"/>
        </w:rPr>
      </w:pPr>
    </w:p>
    <w:p>
      <w:pPr>
        <w:ind w:left="320" w:hanging="314"/>
        <w:spacing w:after="0" w:line="25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 w:name="page6"/>
    <w:bookmarkEnd w:id="5"/>
    <w:p>
      <w:pPr>
        <w:ind w:left="314" w:hanging="314"/>
        <w:spacing w:after="0"/>
        <w:tabs>
          <w:tab w:leader="none" w:pos="3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24" w:lineRule="exact"/>
        <w:rPr>
          <w:rFonts w:ascii="Times New Roman" w:cs="Times New Roman" w:eastAsia="Times New Roman" w:hAnsi="Times New Roman"/>
          <w:sz w:val="18"/>
          <w:szCs w:val="18"/>
          <w:color w:val="auto"/>
        </w:rPr>
      </w:pPr>
    </w:p>
    <w:p>
      <w:pPr>
        <w:ind w:left="314" w:hanging="314"/>
        <w:spacing w:after="0" w:line="245"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jc w:val="both"/>
        <w:ind w:left="314" w:hanging="314"/>
        <w:spacing w:after="0" w:line="245"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war or terrorist activities, the Russian invasion of Ukraine, disruptions in our customers’ supply chains, disruptions in transportation, essential utility outages or trade disputes and related tariffs; and</w:t>
      </w:r>
    </w:p>
    <w:p>
      <w:pPr>
        <w:spacing w:after="0" w:line="2" w:lineRule="exact"/>
        <w:rPr>
          <w:rFonts w:ascii="Times New Roman" w:cs="Times New Roman" w:eastAsia="Times New Roman" w:hAnsi="Times New Roman"/>
          <w:sz w:val="18"/>
          <w:szCs w:val="18"/>
          <w:color w:val="auto"/>
        </w:rPr>
      </w:pPr>
    </w:p>
    <w:p>
      <w:pPr>
        <w:ind w:left="314" w:hanging="314"/>
        <w:spacing w:after="0" w:line="251"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91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“we,” “our,” or “us” refer to United Community Banks, Inc. and its direct and indirect subsidiaries, including United Community Bank.</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United Community Banks, Inc. is a Georgia corporation incorporated in 1987 and headquartered in Blairsville, Georgia. We are a bank holding company under the BHC Act and, as of July 1, 2021, a financial holding company under the GLB Act. We provide diversified financial services primarily through our principal subsidiary, United Community Bank. The Bank was founded in 1950 as a Georgia state-chartered bank and converted to a South Carolina state-chartered bank effective on July 1, 2021. We have grown through a combination of acquisitions and strategic growth throughout Georgia, South Carolina, North Carolina, Tennessee, and Florida, as well as nationally through our SBA/USDA lending and equipment finance businesses. As of December 31, 2022 we had consolidated total assets of $24.0 billion. On January 3, 2023, we entered the Alabama market with the acquisition of Progress.</w:t>
      </w:r>
    </w:p>
    <w:p>
      <w:pPr>
        <w:spacing w:after="0" w:line="2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a financial holding company, we coordinate the financial resources of the consolidated enterprise and maintain systems of financial, operational, and administrative control intended to coordinate selected policies and activities, including as described in Item 9A of Part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Reliant</w:t>
      </w:r>
    </w:p>
    <w:p>
      <w:pPr>
        <w:spacing w:after="0" w:line="2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1, 2022, we acquired Reliant, a bank headquartered in Brentwood, Tennessee, a suburb of Nashville. Reliant operates a 25 branch network in Tennessee, located primarily in the Nashville, Clarksville and Chattanooga metropolitan areas. It also has a manufactured housing finance group based in Knoxville. In this acquisition, we acquired $2.96 billion of assets and assumed $2.66 billion of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Progress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Subsequent to year-end, on January 3, 2023, United completed the acquisition of Progress, a bank headquartered in Huntsville, Alabama. Progress operates 13 branches in Alabama and the Florida Panhandle. As of December 31, 2022, Progress reported total assets of $1.76 billion, total loans of $1.48 billion and total deposits of $1.34 billion.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First Miami</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Subsequent to year-end, on February 13, 2023, United announced an agreement to acquire First Miami, a bank headquartered in South Miami, Florida. First Miami operates 3 offices in the Miami metropolitan area and, as of December 31, 2022, had total assets of $1.0 billion, total loans of $594 million, and total deposits of $867 million. In addition to traditional banking products, First Miami offers private banking, trust and wealth management with approximately $312 million in assets under administration. The merger, which is subject to regulatory approval, the approval of First Miami shareholders, and other customary conditions, is expected to close in the third quarter of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Businesses and Services We Provide</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provide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our branches, other offices, the internet, and mobile applications.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business model combines the commitment to exceptional customer service of a local bank with the products and expertise of a larger institution. We have a strong culture focused on what we call “The Golden Rule of Banking” – treating each other and our customers the way we would want to be treated. We exist to serve our customers, and we are committed to making lives better through outstanding products, dedication to our customers, and serving the communities in which we operate.</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18"/>
          <w:szCs w:val="18"/>
          <w:color w:val="auto"/>
        </w:rPr>
        <w:t>We operate as a locally-focused community bank, supplemented by experienced, centralized support to deliver products and services to our larger, more sophisticated, customers. Our organizational structure reflects these strengths, with local leaders for each market and market advisory boards operating in partnership with the product experts of our Commercial Banking Solutions unit. We believe that this combination of service and expertise sets us apart and is instrumental in our strategy to build long-term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full range of lending services, including real estate, consumer and commercial loans, to individuals, small businesses, mid-sized commercial businesses and non-profit organizations. We also originate loans partially guaranteed by the SBA and to a lesser extent by the USDA loan programs. Our consolidated loans at December 31, 2022 were $15.3 billion, or 64% of total consolidated assets. The interest rates that we charge on loans vary with the degree of risk, maturity and amount of the loan, and are further subject to competitive pressures, deposit costs, availability of funds and government regulations.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most significant categories of our loans are those to finance owner occupied real estate, commercial income property, commercial and industrial equipment and operating loans, and consumer loans secured by personal residences. A majority of our loans are made on a secured basis.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majority of our loans are to customers located in the immediate market areas of our banking locations in Georgia, South Carolina, North Carolina, Tennessee, and Florida, including customers who have a seasonal residence in our market areas. We originate a significant portion of our SBA/USDA and equipment finance loans on a national basis, to customers outside of our immediate market areas.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full-service retail mortgage lending division, UCMS, is approved as a seller/servicer for the Fannie Mae and the Freddie Mac and provides fixed and adjustable-rate home mortgages. During 2022, the Bank originated $1.53 billion in residential mortgage loans for the purchase of homes and to refinance existing mortgage debt. The majority of these mortgages were sold into the secondary market without recourse to us, other than for breaches of warranties. We have retained the servicing on most of our mortgage loans sold.</w:t>
      </w:r>
    </w:p>
    <w:p>
      <w:pPr>
        <w:spacing w:after="0" w:line="14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additional information regarding our lending activity, see the section captioned “Loans” in the “Balance Sheet Review” section of Part II, Item 7. MD&amp;A of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Activities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Deposits are the major source of our funds for lending and other investment activities. We offer our customers a variety of deposit products, including checking accounts, savings accounts, money market accounts and other deposit accounts. Generally, we attempt to maintain the rates paid on our deposits at a competitive level. We generate the majority of our deposits from customers in our local markets. For additional information regarding our deposit accounts, see the section captioned “Deposits” in Part II, Item 7. MD&amp;A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our investment portfolio to provide for the investment of excess funds at acceptable risk levels while providing liquidity to fund loan demand or to offset fluctuations in deposits. Our portfolio consists primarily of residential and commercial mortgage-backed securities, asset-backed securities, U.S. Treasury, U.S. agency and municipal obligations. Many of the securities are classified by us as AFS and recorded on our balance sheet at fair value at each balance sheet date. Changes in fair value on AFS securities are generally recorded directly in our shareholders’ equity account and are not recognized in our income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 Trust, and Insurance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our Wealth Management division, we provide financial planning services, customized portfolio management and investment advice utilizing an open architecture approach to the selection of asset managers. We also offer trust services to manage fiduciary assets. Seaside Capital Management, Inc. and FinTrust Capital Advisors, LLC are registered investment advisors that offer investment advisory services for clients who wish to utilize an independent custodian. FinTrust Insurance and Benefits, Inc. operates as an independent insurance agency for our clients. We also operate FinTrust Brokerage Services, LLC, a registered broker dealer.</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Through our United Community Advisory Services division, we generate fee revenue through the sale of non-deposit investment products and insurance products, including life insurance, long-term care insurance and tax-deferred annuities, to our customers. We have an affiliation with a third party broker/dealer, LPL Financial, to facilitate this line of business.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and Merchant Services</w:t>
      </w:r>
    </w:p>
    <w:p>
      <w:pPr>
        <w:spacing w:after="0" w:line="19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own a captive insurance subsidiary, NLFC Reinsurance Corp., which provides reinsurance on a property insurance contract covering equipment financed by our equipment financing division.</w:t>
      </w:r>
    </w:p>
    <w:p>
      <w:pPr>
        <w:spacing w:after="0" w:line="12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provide payment processing services for our commercial and small business customers through UCPS. UCPS is a joint venture between the Bank and Clover, a merchant services provider and subsidiary of 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Other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operating subsidiaries at December 31, 2022 are listed in Exhibit 21 of this Report. Technical and regulatory details follow:</w:t>
      </w:r>
    </w:p>
    <w:p>
      <w:pPr>
        <w:spacing w:after="0" w:line="24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Bank is supervised and regulated as described in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in this Item below.</w:t>
      </w:r>
    </w:p>
    <w:p>
      <w:pPr>
        <w:spacing w:after="0" w:line="6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FinTrust Capital Advisors, LLC and Seaside Capital Management, Inc. are registered with the SEC as investment advisers.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Seaside Capital Management, Inc. is registered with the State of Florida as an investment adviser.</w:t>
      </w:r>
    </w:p>
    <w:p>
      <w:pPr>
        <w:spacing w:after="0" w:line="58"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FinTrust Brokerage Services, LLC is registered as a broker-dealer with the SEC and all states in which it conducts business for which registration is required and is a Member FINRA/SIPC.</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FinTrust Insurance and Benefits, Inc. is licensed as an insurance agency in all states in which it conducts business for which licensing is required.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 - Acquisitions and Expansion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 element of our business strategy is to consider opportunities to expand into or enhance our presence in attractive markets in which we believe our operating model will be successful. We have entered new markets and expanded our product offerings both by establishing new branches and service locations and also by selective acquisitions of existing market participants. We have developed a number of commercial lending businesses organically, which provide local commercial real estate, middle market, senior living, renewable energy, builder finance and asset-based lending services. We generally seek acquisition partners that share a similar culture and commitment to customer service. Acquisitions typically involve the payment of a premium over book and market values and, therefore, some dilution to our book value may occur with any future transactions. Our goal is to maintain a reasonable earn-back period of any tangible book value dilution, using realistic growth and expense reduction assumptions, as well as to achieve an attractive return on investment. Our ability to engage in any potential acquisition will depend upon the review and approval from various bank regulatory authorities.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Concentration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of our significant subsidiaries is dependent upon a single client or very few clients.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Calendar-Year Seasonality</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do not experience material seasonality; however, we do experience seasonal variation in certain revenues, expenses, and credit trends. Historically, these variations have somewhat increased certain expenses and diminished certain revenues in the commercial banking business, principally in the first quarter each year.</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experience seasonal variation in certain business efforts that affect our income and our asset and liability balances. Our mortgage business tends to be seasonally strong in the second and third quarters correlating with home buying trends. Our commercial lending businesses (including SBA and Navitas) tend to be seasonally weaker in the first quarter and seasonally stronger in the fourth quarter. In addition, our government deposit balances tend to be strongest in the third and fourth quarters correlating with their tax receipts.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services facilitate commercial and consumer economic activities in critical ways. As a result, in many ways, the performance of the financial services industry tends to reflect that of the economies it serves. As a result, our banking business is broadly and strongly dependent on the size and strength of the U.S. economy.</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Generally, when the U.S. economy is in an expansionary phase of the business cycle, we experience loan growth, income from lending tends to rise (assuming static interest rates), credit losses tend to fall, and fee income tends to increase. In a contracting phase, those patterns tend to reverse. The impact of those factors on our operating results can be substantial, especially if they consistently move up or down at the same time.</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banking business is highly dependent on the level of interest rates, whether federal monetary policy is easing or tightening, and on the shape of the interest rate yield curve. These factors also are cyclical, and are related in complex ways with the business cycle mentioned above.</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factors, and their impacts on us, often are mixed rather than consistently positive or negative. For example, low interest rates reduce the interest income we earn, reduce our costs of funding, tend to stimulate economic activity and loan growth, and, through lower debt service, tend to ease financial pressure on clients, reducing default risk. A steeper yield curve, one with long-term interest rates noticeably higher than short-term rates, is generally positive for our net interest margin as lower short rates will keep our deposit costs down while higher long rates will support the rates we can charge on lending. But if rates fall low enough (as they did prior to 2022), the yield curve can flatten, causing our margins to suffer. Moreover, the Federal Reserve tends to lower rates in response to, or to avoid, a weakening economy. Economic weakness tends to diminish client borrowing and other activities that otherwise benefit our performance.</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Further information on these topics is presented: within Item 1A, Risk Factors under the headings: </w:t>
      </w:r>
      <w:r>
        <w:rPr>
          <w:rFonts w:ascii="Times New Roman" w:cs="Times New Roman" w:eastAsia="Times New Roman" w:hAnsi="Times New Roman"/>
          <w:sz w:val="18"/>
          <w:szCs w:val="18"/>
          <w:i w:val="1"/>
          <w:iCs w:val="1"/>
          <w:color w:val="auto"/>
        </w:rPr>
        <w:t>Risks from Changes in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Associated with Monetary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Liquidity and Funding Risk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Interest Rate and Yield Curve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Origination and Related Services</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strength of consumer mortgage lending activity in the United States impacts our mortgage origination and related services line of business. Mortgage lending activity is strongly linked to economic strength and interest rate cycles. Activity tends to be inversely related to prevailing mortgage rates: when rates are high, home-buying and refinancing decrease, and when rates are low, home-buying and refinancing increase. Moreover, expectations about near-term future mortgage rates can accelerate or delay those impacts, as borrowers rush to avoid future rate increases or wait for future rate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Human Resources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January 31, 2023, we had 3,046 full-time equivalent employees, compared to 2,921 at January 31, 2022. None of our employees are represented by a union, collective bargaining agreement or similar arrangement, and we have not experienced any labor disputes or strikes arising from any organized labor groups. Our employees support our vision to follow what we call “The Golden Rule of Banking” – to treat each other, and our customers, the way we would like to be treated. We believe that our ability to earn the trust of our customers and deliver exceptional customer service hinges on our culture, which in turn depends upon the dedication and engagement of our employees. When employees are dedicated and engaged, they take extra steps for our customers. We have a community bank mindset, empowering employees to make decisions at the local level, while arming our employees with the products, services, and centralized support of a larger institution. We are committed to attracting and retaining talented employees whose values align with our customer service mission, creating meaningful opportunities for training and advancement, and being an extraordinary place to work.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strive to foster an open, supportive workplace in which our employees can grow professionally and achieve their potential. We pride ourselves on maintaining workplaces that are intended to inspire employees to voice their ideas and openly express opinions for the betterment of the Bank, our employees, and our customers. We desire that all employees feel that they are operating in an inclusive environment that welcomes and supports differences. We believe that encouraging input from all perspectives allows us to provide our customers with creative ideas and solutions for operating effectively in a complex, ever-changing marketplace.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0" w:name="page11"/>
    <w:bookmarkEnd w:id="10"/>
    <w:p>
      <w:pPr>
        <w:jc w:val="both"/>
        <w:spacing w:after="0" w:line="239" w:lineRule="auto"/>
        <w:rPr>
          <w:sz w:val="20"/>
          <w:szCs w:val="20"/>
          <w:color w:val="auto"/>
        </w:rPr>
      </w:pPr>
      <w:r>
        <w:rPr>
          <w:rFonts w:ascii="Times New Roman" w:cs="Times New Roman" w:eastAsia="Times New Roman" w:hAnsi="Times New Roman"/>
          <w:sz w:val="18"/>
          <w:szCs w:val="18"/>
          <w:color w:val="auto"/>
        </w:rPr>
        <w:t>In 2020, to strengthen a sense of belonging for all employees, we formed our Diversity and Inclusion Council, called the “Power of U.” In addition to leadership provided by our Board and executive management, our Diversity and Inclusion Council is designed to recommend strategies, programs, and opportunities to foster diversity and inclusion. The Power of U is comprised of 14 members from across our geographical footprint and focuses on enhancing the Bank’s culture of teamwork, communication and connection.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Management</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Board and its Talent and Compensation Committee provide oversight on human capital matters, including overall compensation philosophy, equity award programs, diversity and inclusion and succession planning. Our Human Resources, Legal and Compliance departments develop policies associated with our labor and human capital practices, identify risks, and implement practices to mitigate those risks, under the oversight of the Board and its committees. At the management level, our Employee Benefits Committee is responsible for reviewing and approving our employee benefits programs, including healthcare and other benefits. Our Incentive Compensation Committee is responsible for overseeing, reviewing and approving the non-executive incentive compensation plans for our employees and for assessing the risks associated with those incentive compensation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3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are committed to providing competitive compensation and benefits programs designed to attract, retain, motivate and reward employees for matching the right products with our customers’ needs, while also staying within our risk tolerance. We offer a variety of group health plans for our employees, including prescription drug coverage, comprehensive dental and vision plans, disability and life insurance and health care accounts, which help our employees reduce the costs of medical and dependent care by allowing them to set aside pre-tax dollars. Employees are eligible to contribute to our 401(k) Retirement Plan beginning the first of the month following their date of employment and may earn a company match on 5% of pay after 90 days of service.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Through our talent development initiatives, such as Boundary Spanning Leadership and Leadership Academy, our internal team and subject matter experts provide our employees with quality continuing education on a variety of topics. Participation in continuing education is expected and supported so our employees stay informed and up to date on information, skills and systems.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our memberships with the American Bankers Association, the Risk Management Association, the Mid-Size Bank Coalition of America, and state bankers associations, our employees have access to resources, online training, conferences, and discussion groups designed for bankers at all levels in all roles. We encourage our employees to utilize these resources, and we support our employees’ involvement with these organizations for training, to advance their knowledge and skills sets, and to develop leadership skills. Many of our employees are actively engaged in leadership roles, forums, task forces and other groups within these organizations.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encourage, support, and equip our rising leaders with relevant skills, we offer our Leadership Academy, an annual program for a selected group of individuals who exemplify the qualities of a next generation leader. The program is designed to empower emerging leaders with the knowledge and skills necessary to lead our Bank. Participants are selected annually for the multi-month program and engage in strategic projects, leadership and business development sessions and executive and senior leadership roundtable mentoring. This is intended to allow our future leaders with the highest potential to enhance their knowledge and skills, grow in understanding of our culture and how we do business, and be challenged with assignments that strategically impact the Bank.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Surveys</w:t>
      </w:r>
    </w:p>
    <w:p>
      <w:pPr>
        <w:spacing w:after="0" w:line="2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Best Banks to Work For program, initiated in 2013 by American Banker and Best Companies Group, identifies and recognizes U.S. banks for outstanding employee satisfaction. We are honored to have been named one of American Banker’s 2022 Best Banks to Work For, an award we’ve received for six consecutive years.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believe that an engaged workforce is one of our most valuable assets in sustaining our success and that we are on this list because we listen to our employees and respond to their concerns. We periodically conduct employee engagement surveys, facilitated by a third-party provider, to seek input and feedback from all of our employees across our entire footprint. Among other things, the survey asks employees to rate and comment on the Bank’s strategies and priorities, customer focus, operations, individual roles and responsibilities, competitiveness for compensation and benefits, work environment and</w:t>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employee engagement. The survey includes questions that ask employees to score certain questions, as well as allowing employees to provide open-ended feedback responses.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The employee engagement survey results are reviewed and discussed by both executive management and our Board. Our leadership analyzes the survey feedback for areas of improvement, progress and emphasis, and action plans are developed with cross functional bank representatives to address areas of opportunity. Our leadership takes the survey feedback into account in developing and prioritizing the Bank’s strategic plans and initiatives. We also share an overview of the survey results with our employees and communicate the changes we make in response to the survey to meet our employees’ needs, to enhance our employees’ experience and to continue to make our company an employer of choice.</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Serving the needs of all the members of our communities also remains an important part of our strategy. We know employees want to work for companies that give back and, as an organization, we believe in the power of coming together for good. Through our “Together for Good Council,” a group of employees who help to coordinate volunteer efforts, guide charitable giving and lead each of our “Good Days” of service, we are continuing our efforts to enhance our community engagement initiatives and involvement with our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profitability depends principally on our ability to effectively compete in the markets in which we conduct business. We experience strong competition in all aspects of the businesses in which we engage from both bank and non-bank competitors. Broadly speaking, we compete with national banks, super-regional banks, smaller community banks, credit unions, non-traditional internet-based banks and insurance companies and agencies. We also compete with other financial intermediaries and investment alternatives such as mortgage companies, credit card issuers, leasing companies, finance companies, money market mutual funds, brokerage firms, governmental and corporate bond issuers, and other securities firms. Many of these non-bank competitors are not subject to the same regulatory oversight, which can provide them with a competitive advantage in some instances. In many cases, our competitors have substantially greater resources and offer certain services that we are unable to provide to our customers.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encounter strong pricing competition in providing our services, particularly in making loans and attracting deposits. The larger national and super-regional banks may have significantly greater lending limits and may offer additional products. We attempt to compete successfully with our competitors, regardless of their size, by emphasizing customer service while continuing to provide a wide variety of services.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expect competition in the industry to continue to increase mainly as a result of the improvement in financial technology used by both existing and new banking and financial services firms. Competition may further intensify as additional companies (both banks and non-banks) enter the markets where we conduct business, competitors combine to present more formidable challengers, and we enter mature markets in accordance with our expansion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of this Section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section describes certain material aspects of the regulatory framework applicable to banks and financial holding companies and their subsidiaries and to companies engaged in securities and insurance activities. To the extent that the following information describes statutory or regulatory provisions, it is qualified in its entirety by express reference to each of the particular statutory and regulatory provisions,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Finally, investors should be aware that the regulatory framework governing banks and the financial services industry is intended primarily to protect depositors and the Deposit Insurance Fund – not to protect our Bank or our security 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Holding Company</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Holding Company is a bank holding company and financial holding company within the meaning of the BHC Act and is registered with the Federal Reserve. We are subject to the regulation and supervision of, and to examination by, the Federal Reserve (under the BHC Act). We are required to file with the Federal Reserve annual reports and such additional information as the Federal Reserve may require pursuant to the BHC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Effective July 1, 2021, the Holding Company elected to become a financial holding company, which allows for engagement in a broader range of financial activities. A bank holding company that is not a financial holding company is limited to engaging in “banking” and activities found by the Federal Reserve to be “closely related to banking.” Eligible bank holding companies that elect to become financial holding companies may affiliate with securities firms and insurance companies and engage in activities that are “financial in nature.” “Financial” activities are broader in scope than those which are “closely related to banking.” See </w:t>
      </w:r>
      <w:r>
        <w:rPr>
          <w:rFonts w:ascii="Times New Roman" w:cs="Times New Roman" w:eastAsia="Times New Roman" w:hAnsi="Times New Roman"/>
          <w:sz w:val="18"/>
          <w:szCs w:val="18"/>
          <w:i w:val="1"/>
          <w:iCs w:val="1"/>
          <w:color w:val="auto"/>
        </w:rPr>
        <w:t>Financial Activities other than Banking</w:t>
      </w:r>
      <w:r>
        <w:rPr>
          <w:rFonts w:ascii="Times New Roman" w:cs="Times New Roman" w:eastAsia="Times New Roman" w:hAnsi="Times New Roman"/>
          <w:sz w:val="18"/>
          <w:szCs w:val="18"/>
          <w:color w:val="auto"/>
        </w:rPr>
        <w:t xml:space="preserve"> in this Item.</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BHC Act requires every bank holding company to obtain the Federal Reserve’s prior approval before (1) acquiring direct or indirect ownership or control of more than 5% of the voting shares of any bank that it does not already control; (2) acquiring all or substantially all of the assets of a bank; and (3) subject to certain exceptions, merging or consolidating with any other bank holding company. In addition, a bank holding company is generally prohibited from engaging in, or acquiring a direct or indirect interest in or control of more than 5%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The Federal Reserve also may approve an application by a bank holding company to acquire a bank located outside the acquirer’s principal state of operations without regard to whether the transaction is prohibited under state law, although state law may still impose certain requirements. See </w:t>
      </w:r>
      <w:r>
        <w:rPr>
          <w:rFonts w:ascii="Times New Roman" w:cs="Times New Roman" w:eastAsia="Times New Roman" w:hAnsi="Times New Roman"/>
          <w:sz w:val="18"/>
          <w:szCs w:val="18"/>
          <w:i w:val="1"/>
          <w:iCs w:val="1"/>
          <w:color w:val="auto"/>
        </w:rPr>
        <w:t>Interstate Branching and Mergers</w:t>
      </w:r>
      <w:r>
        <w:rPr>
          <w:rFonts w:ascii="Times New Roman" w:cs="Times New Roman" w:eastAsia="Times New Roman" w:hAnsi="Times New Roman"/>
          <w:sz w:val="18"/>
          <w:szCs w:val="18"/>
          <w:color w:val="auto"/>
        </w:rPr>
        <w:t xml:space="preserve"> in this Item for further information.</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 See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xml:space="preserve"> discussed below</w:t>
      </w:r>
      <w:r>
        <w:rPr>
          <w:rFonts w:ascii="Times New Roman" w:cs="Times New Roman" w:eastAsia="Times New Roman" w:hAnsi="Times New Roman"/>
          <w:sz w:val="18"/>
          <w:szCs w:val="18"/>
          <w:i w:val="1"/>
          <w:i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United Community Bank, our most significant subsidiary, is a South Carolina state-chartered bank subject to the regulation and supervision of, and to examination by, the SCBFI. Effective July 1, 2021, the Bank moved its headquarters from Blairsville, Georgia to Greenville, South Carolina and became a South Carolina state-chartered bank subject to examination and reporting requirements of the SCBFI. Prior to that date, the Bank was a Georgia state-chartered bank subject to examination and reporting requirements of the GADBF. In addition to general supervision and examination powers, the SCBFI has the power to approve mergers with the Bank, the Bank’s issuance of preferred stock or capital notes, the establishment of branches, and many other corporate actions. We are not required to obtain the approval of the SCBFI prior to acquiring the capital stock of a national bank, but we must notify them at least 15 days prior to doing so. We must receive the SCBFI’s approval prior to engaging in the acquisition of a South Carolina state-chartered bank or another South Carolina bank holding company.</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Bank is subject to examination and reporting requirements of the FDIC, the SCBFI and the CFPB. The financial statements and information contained herein have not been reviewed, or confirmed for accuracy or relevance, by the FDIC or any other regulator.</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Bank is insured by, and subject to regulation by, the FDIC and is subject to regulation in certain respects by the CFPB. The Bank is also subject to various requirements and restrictions under federal and state law, including requirements to maintain reserves against deposits, restrictions on the types and amounts of loans that may be made and the interest that may be charged, limitations on the types of investments that may be made, activities that may be engaged in, and types of services that may be offered. Various consumer laws and regulations also affect the operations of the Bank. In addition, several of the Bank’s subsidiaries are regulated separately, as discussed in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in this Item.</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impact of regulation, commercial banks are affected significantly by the actions of the Federal Reserve as it attempts to control money supply and credit availability in order to influence the economy. Also, the Bank and certain of its subsidiaries are prohibited from engaging in certain tie-in arrangements in connection with extensions of credit, leases or sales of property, or furnishing products or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Holding Company is a legal entity separate and distinct from the Bank and other subsidiaries. The Holding Company’s principal source of cash flow, including cash flow to pay dividends on our stock or to pay principal (including premium, if any) and interest on debt securities is dividends paid to it by the Bank. There are statutory and regulatory requirements applicable to the payment of dividends and other distributions by the Bank, as well as by the Holding Company to its shareholders.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 w:name="page14"/>
    <w:bookmarkEnd w:id="13"/>
    <w:p>
      <w:pPr>
        <w:jc w:val="both"/>
        <w:spacing w:after="0" w:line="274" w:lineRule="auto"/>
        <w:rPr>
          <w:sz w:val="20"/>
          <w:szCs w:val="20"/>
          <w:color w:val="auto"/>
        </w:rPr>
      </w:pPr>
      <w:r>
        <w:rPr>
          <w:rFonts w:ascii="Times New Roman" w:cs="Times New Roman" w:eastAsia="Times New Roman" w:hAnsi="Times New Roman"/>
          <w:sz w:val="18"/>
          <w:szCs w:val="18"/>
          <w:color w:val="auto"/>
        </w:rPr>
        <w:t>During 2022, 2021 and 2020, the Bank paid dividends to the Holding Company of $133 million, $217 million and $150 million, respectively. The Holding Company declared quarterly cash dividends on its common stock in 2022, 2021 and 2020 totaling $0.86, $0.78 and $0.72 per share,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Holding Company</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Georgia corporate law, we may not pay cash dividends if, after giving effect to such payment, we would not be able to pay our debts as they become due in the usual course of business or our total assets would be less than the sum of our total liabilities plus any amounts needed to satisfy any preferential rights if we were dissolving. In addition, in deciding whether or not to declare a dividend of any particular size, our Board must consider our current and prospective capital, liquidity, and other needs, including the needs of the Bank which we are obligated to support.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 to its bank subsidiaries. The Holding Company and the Bank must also maintain the CET1 capital conservation buffer of 2.5% to avoid becoming subject to restrictions on capital distributions, including dividends, as described below under </w:t>
      </w:r>
      <w:r>
        <w:rPr>
          <w:rFonts w:ascii="Times New Roman" w:cs="Times New Roman" w:eastAsia="Times New Roman" w:hAnsi="Times New Roman"/>
          <w:sz w:val="18"/>
          <w:szCs w:val="18"/>
          <w:i w:val="1"/>
          <w:iCs w:val="1"/>
          <w:color w:val="auto"/>
        </w:rPr>
        <w:t>Capital Adequacy-Basel III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South Carolina state-chartered bank, the Bank is permitted to pay a dividend of up to 100% of its current year earnings without requesting approval of the SCBFI, provided certain conditions are met. All other cash dividends require approval of the SCBFI. The application of those restrictions to the Bank is discussed in more detail in Note 1, Summary of Significant Accounting Policies, of Part II, Item 8. Financial Statements, which is incorporated into this Item 1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Dividends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in the opinion of the applicable regulatory authority, the Holding Company or the Bank are engaged in or about to engage in an unsafe or unsound practice (which, depending on the financial condition of the Holding Company or the Bank, could include the payment of dividends), such authority may require us or the Bank to cease and desist from that practice. The federal banking agencies have indicated that paying dividends that deplete a depository institution’s or holding company’s capital base to an inadequate level would be an unsafe and unsound banking practice.</w:t>
      </w:r>
    </w:p>
    <w:p>
      <w:pPr>
        <w:spacing w:after="0" w:line="20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addition, under the Federal Deposit Insurance Act, an FDIC-insured depository institution (such as the Bank) may not make any capital distributions, pay any management fees to its holding company, or pay any dividend if it is undercapitalized or if such payment would cause it to become undercapitalized.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payment of dividends by the Holding Company and the Bank may also be affected or limited by other factors, such as the requirement to maintain adequate capital above regulatory guidelines imposed by debt covenants. For example, as discussed under </w:t>
      </w:r>
      <w:r>
        <w:rPr>
          <w:rFonts w:ascii="Times New Roman" w:cs="Times New Roman" w:eastAsia="Times New Roman" w:hAnsi="Times New Roman"/>
          <w:sz w:val="18"/>
          <w:szCs w:val="18"/>
          <w:i w:val="1"/>
          <w:iCs w:val="1"/>
          <w:color w:val="auto"/>
        </w:rPr>
        <w:t>Capital Adequacy</w:t>
      </w:r>
      <w:r>
        <w:rPr>
          <w:rFonts w:ascii="Times New Roman" w:cs="Times New Roman" w:eastAsia="Times New Roman" w:hAnsi="Times New Roman"/>
          <w:sz w:val="18"/>
          <w:szCs w:val="18"/>
          <w:color w:val="auto"/>
        </w:rPr>
        <w:t xml:space="preserve"> discussed below, our ability to pay dividends would be restricted if our capital ratios fell below minimum regulatory requirements plus a capital conservation buffer.</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Reserve generally requires bank holding companies to pay dividends only out of current operating earnings. The Federal Reserve has released a supervisory letter advising, among other things, that a bank holding company should inform the Federal Reserve and should eliminate, defer, or significantly reduce its dividends if (i) the bank holding company’s net income available to shareholders for the past four quarters, net of dividends previously paid during that period, is not sufficient to fully fund the dividends; (ii) the bank holding company’s prospective rate of earnings is not consistent with the bank holding company’s capital needs and overall current and prospective financial condition; or (iii) the bank holding company will not meet, or is in danger of not meeting, its minimum regulatory capital adequacy ratios.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Affiliates</w:t>
      </w:r>
    </w:p>
    <w:p>
      <w:pPr>
        <w:spacing w:after="0" w:line="2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Federal banking laws restrict transactions between a bank and its affiliates, including a parent BHC. The Bank is subject to these restrictions, which include quantitative and qualitative limits on the amounts and types of permissible transactions, including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 w:name="page15"/>
    <w:bookmarkEnd w:id="14"/>
    <w:p>
      <w:pPr>
        <w:jc w:val="both"/>
        <w:spacing w:after="0" w:line="272" w:lineRule="auto"/>
        <w:rPr>
          <w:sz w:val="20"/>
          <w:szCs w:val="20"/>
          <w:color w:val="auto"/>
        </w:rPr>
      </w:pPr>
      <w:r>
        <w:rPr>
          <w:rFonts w:ascii="Times New Roman" w:cs="Times New Roman" w:eastAsia="Times New Roman" w:hAnsi="Times New Roman"/>
          <w:sz w:val="17"/>
          <w:szCs w:val="17"/>
          <w:color w:val="auto"/>
        </w:rPr>
        <w:t>extensions of credit to affiliates, investments in the stock or securities of affiliates, purchases of assets from affiliates and certain other transactions with affiliates. These restrictions also require that credit transactions with affiliates be collateralized and that transactions with affiliates must be on terms substantially the same, or at least as favorable, as those prevailing at the time for comparable transactions with or involving nonaffiliates. In the absence of such comparable transactions, any transaction between banks and their affiliates must be on terms and under circumstances, including credit standards, which</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good faith would be offered to or would apply to nonaffiliates. Generally, a bank’s covered transactions with any one affiliate are limited to 10% of the bank’s capital stock and surplus and covered transactions with all affiliates are limited to 20% of the bank’s capital stock and surplus. The Dodd-Frank Act expanded the scope of these regulations, including by applying them to the credit exposure arising under derivative transactions, repurchase and reverse repurchase agreements, and securities borrowing and lending transactions. Federal banking laws also place similar restrictions on loans and other extensions of credit by FDIC-insured banks, such as the Bank, and their subsidiaries to their directors, executive officers, and principal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Adequacy</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Basel III Capital Standards</w:t>
      </w:r>
    </w:p>
    <w:p>
      <w:pPr>
        <w:spacing w:after="0" w:line="23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Federal financial industry regulators require that regulated financial institutions, including the Holding Company and the Bank maintain minimum capital levels. The capital requirements in the United States are based on international standards known as “Basel III.”, which require the following:</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Risk-based ratios: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CET1 capital</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Tier 1 capital</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capital</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Leverage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Ratio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19685</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Equity Tier 1 Capital to RWA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Tier 1 Capital to RWA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-115570</wp:posOffset>
            </wp:positionV>
            <wp:extent cx="71348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Capital to RWA</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Tier 1 Capital divided by quarterly average assets net of goodwill, certain other intangible assets, and certain required deduction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-247015</wp:posOffset>
            </wp:positionV>
            <wp:extent cx="7134860" cy="260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Minimum Capital Plus Capital</w:t>
            </w:r>
          </w:p>
        </w:tc>
      </w:tr>
      <w:tr>
        <w:trPr>
          <w:trHeight w:val="211"/>
        </w:trPr>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Conservation Buffer</w:t>
            </w:r>
          </w:p>
        </w:tc>
      </w:tr>
      <w:tr>
        <w:trPr>
          <w:trHeight w:val="413"/>
        </w:trPr>
        <w:tc>
          <w:tcPr>
            <w:tcW w:w="11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24"/>
                <w:szCs w:val="24"/>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w:t>
            </w:r>
          </w:p>
        </w:tc>
      </w:tr>
      <w:tr>
        <w:trPr>
          <w:trHeight w:val="225"/>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8.5</w:t>
            </w:r>
          </w:p>
        </w:tc>
      </w:tr>
      <w:tr>
        <w:trPr>
          <w:trHeight w:val="225"/>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10.5</w:t>
            </w:r>
          </w:p>
        </w:tc>
      </w:tr>
      <w:tr>
        <w:trPr>
          <w:trHeight w:val="411"/>
        </w:trPr>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bl>
    <w:p>
      <w:pPr>
        <w:spacing w:after="0" w:line="200" w:lineRule="exact"/>
        <w:rPr>
          <w:sz w:val="20"/>
          <w:szCs w:val="20"/>
          <w:color w:val="auto"/>
        </w:rPr>
      </w:pPr>
    </w:p>
    <w:p>
      <w:pPr>
        <w:sectPr>
          <w:pgSz w:w="11900" w:h="16838" w:orient="portrait"/>
          <w:cols w:equalWidth="0" w:num="3">
            <w:col w:w="1160" w:space="720"/>
            <w:col w:w="5040" w:space="700"/>
            <w:col w:w="3620"/>
          </w:cols>
          <w:pgMar w:left="320" w:top="916" w:right="339" w:bottom="1440" w:gutter="0" w:footer="0" w:header="0"/>
          <w:type w:val="continuous"/>
        </w:sectPr>
      </w:pP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Tier 1 capital includes two components: CET1 capital and additional Tier 1 capital. The highest form of capital, CET1 capital, consists of common shareholders’ equity, excluding AOCI, intangible assets, net of associated net deferred tax liabilities, and disallowed deferred tax assets. Additional Tier 1 capital includes non-cumulative perpetual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Tier 2 capital includes the allowable portion of the ACL up to 1.25% of RWA as well as qualifying subordinated debt and trust preferred securities.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a banking organization must maintain a 2.5% capital conservation buffer on top of its minimum risk-based capital requirements in order to avoid restrictions on capital distributions or discretionary bonus payments to executives. This buffer must consist solely of Tier 1 Common Equity, but the buffer applies to all three risk-based measurements (CET1, Tier 1 capital and total capital).</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Failure to meet capital guidelines could subject a bank to a variety of enforcement remedies, including the termination of deposit insurance by the FDIC, and to certain restrictions on its business and in certain circumstances to the appointment of a conservator or receiver. See </w:t>
      </w:r>
      <w:r>
        <w:rPr>
          <w:rFonts w:ascii="Times New Roman" w:cs="Times New Roman" w:eastAsia="Times New Roman" w:hAnsi="Times New Roman"/>
          <w:sz w:val="18"/>
          <w:szCs w:val="18"/>
          <w:i w:val="1"/>
          <w:iCs w:val="1"/>
          <w:color w:val="auto"/>
        </w:rPr>
        <w:t>Prompt Corrective Action</w:t>
      </w:r>
      <w:r>
        <w:rPr>
          <w:rFonts w:ascii="Times New Roman" w:cs="Times New Roman" w:eastAsia="Times New Roman" w:hAnsi="Times New Roman"/>
          <w:sz w:val="18"/>
          <w:szCs w:val="18"/>
          <w:color w:val="auto"/>
        </w:rPr>
        <w:t xml:space="preserve"> immediately below for additional information.</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Bank is required to have a capital structure that the SCBFI determines is adequate, based on SCBFI’s assessment of the Bank’s businesses and risks. The SCBFI may require the Bank to increase its capital, if found to be inadequate.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Prompt Corrective Action</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banking regulators must take “prompt corrective action” regarding FDIC-insured depository institutions that do not meet minimum capital requirements. For this purpose, insured depository institutions are divided into five capital categories, the specific regulatory requirements for which are set forth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Risk-Based Ratios</w:t>
            </w:r>
          </w:p>
        </w:tc>
        <w:tc>
          <w:tcPr>
            <w:tcW w:w="134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Capital</w:t>
            </w: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Tier 1</w:t>
            </w:r>
          </w:p>
        </w:tc>
        <w:tc>
          <w:tcPr>
            <w:tcW w:w="132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7"/>
              </w:rPr>
              <w:t>CET1</w:t>
            </w:r>
          </w:p>
        </w:tc>
        <w:tc>
          <w:tcPr>
            <w:tcW w:w="134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Leverage</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Tangible Equity to</w:t>
            </w:r>
          </w:p>
        </w:tc>
        <w:tc>
          <w:tcPr>
            <w:tcW w:w="0" w:type="dxa"/>
            <w:vAlign w:val="bottom"/>
          </w:tcPr>
          <w:p>
            <w:pPr>
              <w:spacing w:after="0"/>
              <w:rPr>
                <w:sz w:val="1"/>
                <w:szCs w:val="1"/>
                <w:color w:val="auto"/>
              </w:rPr>
            </w:pPr>
          </w:p>
        </w:tc>
      </w:tr>
      <w:tr>
        <w:trPr>
          <w:trHeight w:val="211"/>
        </w:trPr>
        <w:tc>
          <w:tcPr>
            <w:tcW w:w="48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3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Well-capitalized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10%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at least 6.5%</w:t>
            </w:r>
          </w:p>
        </w:tc>
        <w:tc>
          <w:tcPr>
            <w:tcW w:w="134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at least 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Adequately capitalized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6%</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at least 4.5%</w:t>
            </w:r>
          </w:p>
        </w:tc>
        <w:tc>
          <w:tcPr>
            <w:tcW w:w="13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at least 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Undercapitalized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under 4.5%</w:t>
            </w:r>
          </w:p>
        </w:tc>
        <w:tc>
          <w:tcPr>
            <w:tcW w:w="134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under 4%</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Significantly undercapitalized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6%</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3%</w:t>
            </w:r>
          </w:p>
        </w:tc>
        <w:tc>
          <w:tcPr>
            <w:tcW w:w="13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under 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Critically undercapitalized</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 or less</w:t>
            </w: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2022, the Bank qualified as “well-capitalized” under the regulatory capital requirements discussed above. An institution may be deemed to be in a capitalization category that is lower than is indicated by its actual capital position if it receives an unsatisfactory examination rating. Institutions generally are not allowed to publicly disclose examination results.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Federal banking regulators are required to take various mandatory supervisory actions and are authorized to take other discretionary actions with respect to institutions in the three undercapitalized categories. The severity of the action depends upon the capital category in which the institution is placed. Institutions in any of the three undercapitalized categories are prohibited from declaring dividends or making capital distributions. In addition, an institution that is categorized in the three undercapitalized categories is required to submit an acceptable capital restoration plan to its appropriate federal banking agency, which, for the Bank, is the FDIC. Generally, subject to a narrow exception, banking regulators must appoint a receiver or conservator for an institution that is “critically undercapitalized.” The FDIC regulations also allow it to “downgrade” an institution to a lower capital category based on supervisory factors other than capital.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Structure and Support of Subsidiary Banks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our right to participate in the assets of any subsidiary upon the latter’s liquidation or reorganization will be subject to the prior claims of the subsidiary’s creditors (including depositors in the case of the Bank) except to the extent that we may be a creditor with recognized claims against the subsidiary. In addition, depositors of a bank, and the FDIC as their subrogee, would be entitled to priority over the other creditors in the event of liquidation of the bank.</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Under Federal Reserve policy, now codified in the Dodd-Frank Act, we are expected to act as a source of financial strength to, and to commit resources to support, the Bank. This support may be required at times even if, absent such Federal Reserve policy, we might not wish to provide it or have the resources to provide it. In addition, any capital loans by a bank holding company to any of its subsidiary banks are subordinate in right of payment to deposits and to certain other indebtedness of the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Volcker Rule</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Volcker rule (1) generally prohibits banks from engaging in proprietary trading, which is engaging as principal (for the bank’s own account) in any purchase or sale of one or more of certain types of financial instruments, and (2) limits banks’ ability to invest in or sponsor hedge funds or private equity funds.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Dodd-Frank Act created the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Practices Act, the Consumer Financial Privacy provisions of the GLB Act and certain other statutes. The CFPB has examination and primary enforcement authority with respect to depository institutions with $10 billion or more in assets, including the Bank. The CFPB has authority to prevent unfair, deceptive or abusive practices in connection with the offering of consumer financial products.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CFPB has issued a number of regulations related to the origination of mortgages, foreclosures, and overdrafts as well as many other consumer issues. Additionally, the CFPB has proposed, or may propose, additional regulations or modifications to existing regulations that directly relate to our business. New CFPB regulations, and changes to CFPB regulations and enforcement priorities, may have a material impact on our compliance costs, compliance risk, and operations of the Bank.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FDIC Insurance Assessments; Deposit Insurance Fund</w:t>
      </w:r>
    </w:p>
    <w:p>
      <w:pPr>
        <w:spacing w:after="0" w:line="2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Bank’s deposits are insured by the FDIC up to $250,000 per depositor subject to applicable limitations through the Deposit Insurance Fund. As a result, the Bank must pay deposit insurance assessments to the FDIC. The FDIC imposes a risk-based deposit premium assessment system to determine assessments based on a number of factors to measure the risk each institution poses to the Deposit Insurance Fund. The assessment rate is applied to our total average assets less tangible equity. Under the current system, premiums are assessed quarterly and could increase if, for example, criticized loans and/or other higher risk assets increase or balance sheet liquidity decreases. Because the Bank exceeds $10 billion in assets, the FDIC uses a “scorecard” system to calculate our assessments. Key factors include: the institution’s risk category; whether the institution is deemed large and highly complex; whether the institution qualifies for an unsecured debt adjustment; and whether the institution is burdened with a brokered deposit adjustment. Other factors can impact the base against which the applicable rate is applied, including (for example) whether a net loss is realized. The FDIC also has the ability to make discretionary adjustments to the total score based upon significant risk factors that are not adequately captured in the calculations. In October 2022, the FDIC announced a uniform 2 basis point increase in the deposit insurance assessment rate beginning in the first quarterly assessment period of 2023, with the intended purpose of having the Deposit Insurance Fund reach its statutory limit of 1.35 percent by the statutory deadline of September 30, 2028.</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Interchange Fee Restrictions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regulations that severely cap interchange fees which the Bank may charge merchants for debit card transactions. These restrictions were required by a statutory provision known as the Durbin Amendment of the Dodd-Frank Act. The Federal Reserve’s final rules implementing the Durbin Amendment capped interchange fees for debit card transactions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all debit cards must now participate in at least two unaffiliated networks so that the transactions initiated using those debit cards will have at least two independent routing channels.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and Risk Management</w:t>
      </w:r>
    </w:p>
    <w:p>
      <w:pPr>
        <w:spacing w:after="0" w:line="2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to the potential restrictions on discretionary bonus compensation under the Basel III rules, the federal bank regulatory agencies have issued guidance on incentive compensation policies (the “Incentive Compensation Guidance”) intended to ensure that the incentive compensation policies of financial institutions do not undermine the safety and soundness of such institutions by encouraging excessive risk-taking. The Incentive Compensation Guidance, which covers all employees who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 We operate a risk management process for assessing risk in incentive compensation plans.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Federal Reserve reviews, as part of its regular, risk-focused examination process, the incentive compensation arrangements of financial institutions, including us, that are not “large, complex banking organizations.” These reviews are tailored to each financial institution based on the scope and complexity of the institution’s activities and the prevalence of incentive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6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scope and content of federal bank regulatory agencies’ policies on executive compensation are continuing to develop and are likely to continue evolving in the near future. In 2016, federal agencies proposed regulations which could significantly change the regulation of incentive compensation programs at financial institutions. The proposal would create four tiers of institutions based on asset size. Institutions in the top two tiers would be subject to rules much more detailed and proscriptive than are currently in effect. If interpreted aggressively by the regulators, the proposed rules could be used to prevent, as a practical matter, larger institutions from engaging in certain lines of business where substantial commission and bonus pool arrangements are the norm. In the 2016 proposal, the top two tiers included institutions with more than $50 billion of assets, which would not currently apply to us. Additionally, prompted by post-2016 legislation which significantly raised several statutory asset-size tiers, if this proposal were finalized today, the $50 billion floor might be raised significantly, allowing us to remain in the third tier for the foreseeable future. We cannot predict what final rules may be adopted, nor how they may be implemented and, therefore, it cannot be determined at this time whether compliance with such policies will adversely affect our ability to hire, retain and motivate our key employees.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Lending</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including the FDIC, restrict concentrations in commercial real estate lending and have noted that increases in banks’ commercial real estate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Cross-Guarantee Liability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depository institution insured by the FDIC can be held liable for any loss incurred by, or reasonably expected to be incurred by, the FDIC in connection with</w:t>
      </w:r>
    </w:p>
    <w:p>
      <w:pPr>
        <w:spacing w:after="0" w:line="36" w:lineRule="exact"/>
        <w:rPr>
          <w:sz w:val="20"/>
          <w:szCs w:val="20"/>
          <w:color w:val="auto"/>
        </w:rPr>
      </w:pPr>
    </w:p>
    <w:p>
      <w:pPr>
        <w:jc w:val="both"/>
        <w:ind w:firstLine="6"/>
        <w:spacing w:after="0" w:line="246"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of a commonly controlled FDIC-insured depository institution or (ii) any assistance provided by the FDIC to any commonly controlled FDIC-insured depository institution “in danger of default.” “Default” is defined generally as the appointment of a conservator or receiver and “in danger of default” is defined generally as the existence of certain conditions indicating that a default is likely to occur in the absence of regulatory assistance. Any FDIC damage claim is superior to claims of shareholders of the insured depository institution or its holding company but is subordinate to claims of depositors, secured creditors, and holders of subordinated debt (other than affiliates) of the commonly controlled insured depository institution. Currently the Bank is our only depository institution subsidiary. If we were to own or operate another depository institution, any loss suffered by the FDIC in respect of one subsidiary bank would likely result in assertion of the cross-guarantee provisions, the assessment of estimated losses against our other subsidiary bank(s), and a potential loss of our investment in our subsidiary banks.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Branching and Mergers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mentioned, the Bank generally must have SCBFI’s approval to establish a new branch. For a new branch located outside of South Carolina, South Carolina law requires the Bank to comply with branching laws applicable to the state where the new branch will be located. Federal law allows the Bank to establish or acquire a branch in another state to the same extent as a bank chartered in that other state would be allowed to establish or acquire a branch in South Carolina.</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an interstate merger or acquisition: the acquiring bank must be well-capitalized and well-managed; concentration limits on liabilities and deposits may not be exceeded; regulators must assess the transaction for incremental systemic risk; and the acquiring bank must have at least “satisfactory” standing under the federal Community Reinvestment Act (discussed immediately below). Once a bank has established branches in a state through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or acquired branching or through an interstate merger transaction, the bank may then establish or acquire additional branches within that state to the same extent that a bank chartered in that state is allowed to establish or acquire branches within the state.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Reinvestment Act</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CRA requires each U.S. bank, consistent with safe and sound operation, to help meet the credit needs of each community where the bank accepts deposits, including low- and moderate-income communities. Federal banking regulators periodically assess the Bank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8" w:name="page19"/>
    <w:bookmarkEnd w:id="18"/>
    <w:p>
      <w:pPr>
        <w:jc w:val="both"/>
        <w:spacing w:after="0" w:line="274" w:lineRule="auto"/>
        <w:rPr>
          <w:sz w:val="20"/>
          <w:szCs w:val="20"/>
          <w:color w:val="auto"/>
        </w:rPr>
      </w:pPr>
      <w:r>
        <w:rPr>
          <w:rFonts w:ascii="Times New Roman" w:cs="Times New Roman" w:eastAsia="Times New Roman" w:hAnsi="Times New Roman"/>
          <w:sz w:val="18"/>
          <w:szCs w:val="18"/>
          <w:color w:val="auto"/>
        </w:rPr>
        <w:t>for CRA compliance and that assessment is made public. The Bank’s low- and moderate-income community operations and activities traditionally are critical focal points in those assessments.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CRA examinations, federal banking regulators rate each institution’s compliance with the CRA as “Outstanding,” “Satisfactory,” “Needs to Improve” or “Substantial Noncompliance.” A CRA rating below “Satisfactory” can slow or halt a bank’s plans to expand by branching, acquisition, or merger, and can prevent a bank holding company from becoming a financial holding company. In its most recent CRA examination, the Bank received a “Satisfactory” rating.</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Federal Reserve, the OCC, and the FDIC have adopted revised CRA regulations based upon rules adopted jointly by the agencies in 1995. These rules were effective January 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Activities other than Banking</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Permitted Activities. </w:t>
      </w:r>
      <w:r>
        <w:rPr>
          <w:rFonts w:ascii="Times New Roman" w:cs="Times New Roman" w:eastAsia="Times New Roman" w:hAnsi="Times New Roman"/>
          <w:sz w:val="18"/>
          <w:szCs w:val="18"/>
          <w:color w:val="auto"/>
        </w:rPr>
        <w:t>Under the BHC Act, a bank holding company is generally permitted to engage in, or acquire direct or indirect control of more than 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shares of any company engaged in, the following activities:</w:t>
      </w:r>
    </w:p>
    <w:p>
      <w:pPr>
        <w:spacing w:after="0" w:line="2"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 managing or controlling banks;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services to or performing services for our subsidiaries;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that the Federal Reserve determines to be so closely related to banking as to be a proper incident to the business of banking.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that the Federal Reserve has found to be so closely related to banking as to be a proper incident to the business of banking include:</w:t>
      </w:r>
    </w:p>
    <w:p>
      <w:pPr>
        <w:spacing w:after="0" w:line="12"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factoring accounts receivable;</w:t>
      </w:r>
    </w:p>
    <w:p>
      <w:pPr>
        <w:spacing w:after="0" w:line="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acquiring, brokering or servicing loans and usual related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personal or real property;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non-bank depository institution, such as a savings association;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functions;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investment advisory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discount securities brokerage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and dealing in government obligations and money market instruments;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specified management consulting and counseling activities;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selected data processing services and support services;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agent or broker in selling credit life insurance and other types of insurance in connection with credit transactions;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selected insurance underwriting activities.</w:t>
      </w:r>
    </w:p>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Federal law generally allows financial holding companies broad authority to engage in activities that are financial in nature or incidental to a financial activity. These include: insurance underwriting and brokerage; merchant banking; securities underwriting, dealing, and market-making; real estate development; and such additional activities as the Federal Reserve in consultation with the Secretary of the Treasury determines to be financial in nature or incidental. A bank holding company may engage in these activities directly or through subsidiaries by qualifying as a “financial holding company.” To qualify as a financial holding company, a bank holding company must file an initial declaration with the Federal Reserve, certifying that all of its subsidiary depository institutions are well-managed and well-capitalized.</w:t>
      </w:r>
    </w:p>
    <w:p>
      <w:pPr>
        <w:spacing w:after="0" w:line="2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Federal law also permits banks to engage in certain of these activities through financial subsidiaries. To control or hold an interest in a financial subsidiary, a bank must meet the following requirements:</w:t>
      </w:r>
    </w:p>
    <w:p>
      <w:pPr>
        <w:spacing w:after="0" w:line="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must receive approval from its primary federal regulator for the financial subsidiary to engage in the activities.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and its depository institution affiliates must each be well-capitalized and well-managed.</w:t>
      </w:r>
    </w:p>
    <w:p>
      <w:pPr>
        <w:spacing w:after="0" w:line="31"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consolidated total assets of all of the bank’s financial subsidiaries must not exceed the lesser of: 45% of the bank’s consolidated total assets; or $50 billion (subject to indexing for inflation).</w:t>
      </w:r>
    </w:p>
    <w:p>
      <w:pPr>
        <w:spacing w:after="0" w:line="5"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must have in place adequate policies and procedures to identify and manage financial and operational risks and to preserve the separate identities and limited liability of the bank and the financial subsidiary.</w:t>
      </w:r>
    </w:p>
    <w:p>
      <w:pPr>
        <w:spacing w:after="0" w:line="5"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is among the 100 largest banks, the bank must meet the long-term debt rating or alternative standards adopted by the Federal Reserve and the U.S. Secretary of the Treasury from time to time. If this fifth requirement ceases to be met after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9" w:name="page20"/>
    <w:bookmarkEnd w:id="19"/>
    <w:p>
      <w:pPr>
        <w:ind w:left="640"/>
        <w:spacing w:after="0" w:line="258" w:lineRule="auto"/>
        <w:rPr>
          <w:sz w:val="20"/>
          <w:szCs w:val="20"/>
          <w:color w:val="auto"/>
        </w:rPr>
      </w:pPr>
      <w:r>
        <w:rPr>
          <w:rFonts w:ascii="Times New Roman" w:cs="Times New Roman" w:eastAsia="Times New Roman" w:hAnsi="Times New Roman"/>
          <w:sz w:val="18"/>
          <w:szCs w:val="18"/>
          <w:color w:val="auto"/>
        </w:rPr>
        <w:t>bank controls or holds an interest in a financial subsidiary, the bank cannot invest additional capital in that subsidiary until the requirement again is met.</w:t>
      </w: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No new activity may be commenced unless the bank and all of its depository institution affiliates have at least “Satisfactory” CRA ratings. Certain restrictions apply if the bank holding company or the bank fails to continue to meet one or more of the requirements listed above. In addition, federal law contains a number of other provisions that may affect the Bank’s operations, including limitations on the use and disclosure to third parties of client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December 31, 2022, we are a financial holding company and we have a number of financial subsidiaries, as discussed in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in this Item.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Reserve, FDIC and other bank regulatory agencies have adopted guidelines for safeguarding confidential, personal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In addition, various federal regulators, including the Federal Reserve and the SEC, have increased their focus on cyber-security through guidance, examinations and regulations. The Bank has adopted a customer information security program that has been approved by its Board of Directors.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GLB Act requires financial institutions to implement policies regarding the disclosure of non-public personal information about consumers to nonaffiliated third parties. In general, the statute requires explanations to consumers on policies and procedures regarding the disclosure of such nonpublic information and, except as otherwise required by law, prohibits disclosing such information except as provided in a banking subsidiary’s policies and procedures. The Bank has implemented a privacy policy.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States are also increasingly proposing or enacting legislation that relates to data privacy and data protection such as the California Consumer Privacy Act which went into effect on January 1, 2020. We continue to assess the requirements of such laws and proposed legislation and their applicability to us. Moreover, these laws, and proposed legislation, are still subject to revision or formal guidance and they may be interpreted or applied in a manner inconsistent with our understanding.</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Like other lenders, the Bank and other of our subsidiaries use credit bureau data in their underwriting activities. Use of such data is regulated under the Fair Credit Reporting Act, which regulates the reporting of information to credit bureaus, prescreening individuals for credit offers, sharing of information between affiliates, and using affiliate data for marketing purposes. Similar state laws may impose additional requirements on the Bank and its subsidiaries.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Initiatives, the USA Patriot Act and the Office of Foreign Asset Control</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federal laws that are designed to combat terrorist financing, money laundering and transactions with persons, companies or foreign governments sanctioned by the United States. These include the Bank Secrecy Act, the Money Laundering Control Act, the International Emergency Economic Powers Act and the Trading with the Enemy Act, as administered by the United States Treasury Department’s Office of Foreign Assets Control. These regulations obligate depositary institutions and broker-dealers to verify the identity of their customers, conduct customer due diligence, report on suspicious activity, file reports of transactions in currency and conduct enhanced due diligence on certain accounts. They also prohibit U.S. persons from engaging in transactions with certain designated restricted countries and persons. Depository institutions and broker-dealers are required by their federal regulators to maintain robust policies and procedures in order to ensure compliance with these obligations.</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Failure of a financial institution to maintain and implement adequate programs to combat terrorist financing, or to comply with all of the relevant laws or regulations, can lead to significant monetary penalties and could have other serious legal and reputational consequences for the institution. Federal regulators evaluate the effectiveness of an applicant in combating money laundering when determining whether to approve a proposed bank merger, acquisition, restructuring, or other expansionary activity. There have been a number of significant enforcement actions by regulators, as well as state attorneys general and the Department of Justice, against banks, broker-dealers and non-bank financial institutions with respect to these laws and some have resulted in substantial penalties, including criminal pleas. Our Board has approved policies and procedures that it believes comply with these laws.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Depositor Preference</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law provides that deposits and certain claims for administrative expenses and associate compensation against an insured depository institution would be afforded a priority over other general unsecured claims against such an institution, including federal funds and letters of credit, in the “liquidation or other resolution” of such an institution by any receiver.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Regulation</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of our subsidiaries are subject to various securities laws and regulations and capital adequacy requirements promulgated by the regulatory and exchange authorities of the jurisdictions in which they operate.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registered broker-dealer subsidiary is subject to the SEC’s net capital rule, Rule 15c3-1. That rule requires the maintenance of minimum net capital and limits the ability of the broker-dealer to transfer large amounts of capital to a parent company or affiliate. Compliance with the rule could limit operations that require intensive use of capital, such as underwriting and trading.</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of our subsidiaries are registered investment advisers which are regulated under the Investment Advisers Act of 1940. Advisory contracts with clients automatically terminate under these laws upon an assignment of the contract by the investment adviser unless appropriate consents are obtained.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Activities</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Certain of our subsidiaries sell various types of insurance as agent in a number of states. Insurance activities are subject to regulation by the states in which such business is transacted. Although most of such regulation focuses on insurance companies and their insurance products, insurance agents and their activities are also subject to regulation by the states, including, among other things, licensing and marketing and sales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and state legislators as well as regulatory agencies may introduce or enact new laws and rules, or amend existing laws and rules that may affect the regulation of United and its subsidiaries in substantial and unpredictable ways, and, if enacted, could increase or decrease the cost of doing business, limit or expand permissible activities or affect the industry’s competitive balance. We are not able to predict what, if any, legislative and regulatory changes affecting financial institutions will be enacted or implemented in the future, nor the impact that those actions will have upon us. Any such changes, however, could materially and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264160</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Source and Availability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other borrowings and operating and general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internet website address is www.ucbi.com. We file with or furnish to the SEC annual reports on Form 10-K, quarterly reports on Form 10-Q, current reports on Form 8-K and amendments to those reports, proxy statements and annual reports to shareholders and, from time to time, registration statements and other documents. These documents are available free of charge to the public on or through the “Investor Relations” section of our website as soon as reasonably practicable after we electronically file them with or furnish them to the SEC. The SEC maintains an internet site that contains reports, proxy and information statements and other information that we file electronically with, or furnish to, the SEC. The address of that website is www.sec.gov. The information on any website referenced in this Report is not incorporated by reference into, and is not a part of this Report. </w:t>
      </w:r>
      <w:r>
        <w:rPr>
          <w:rFonts w:ascii="Times New Roman" w:cs="Times New Roman" w:eastAsia="Times New Roman" w:hAnsi="Times New Roman"/>
          <w:sz w:val="18"/>
          <w:szCs w:val="18"/>
          <w:color w:val="212529"/>
        </w:rPr>
        <w:t>Further, our references to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URLs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3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Item outlines specific risks that could affect the ability of our various businesses to compete, change our risk profile or materially affect our financial condition or results of operations. Our operating environment continues to evolve and new risks continue to emerge. To address that challenge we have a risk management governance structure that oversees processes for monitoring evolving risks and oversees various initiatives designed to manage and control our potential exposure. This Item highlights risks that could affect us in material ways by causing future results to differ materially from past results, by causing future results to differ materially from current expectations, or by causing material changes in our financial condition. Some of these risks are interrelated and the occurrence of one or more of them may exacerbate the effect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TRADITIONAL COMPETITION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intense competition for clients and the nature of that competition is rapidly evolving.</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Our primary areas of competition include: consumer and commercial deposits, commercial loans, consumer loans including home mortgages and lines of credit, financial planning and wealth management, fixed income products and services, and other consumer and commercial financial products and services. Our competitors in these areas include national, state and non-U.S. banks, credit unions, savings and loan associations, consumer finance companies, mortgage banking firms, trust companies, securities brokerage firms, investment counseling firms, insurance companies and agencies, money market funds and other mutual funds, hedge funds and other financial services companies that serve in our markets. The emergence of non-traditional, disruptive service providers (see </w:t>
      </w:r>
      <w:r>
        <w:rPr>
          <w:rFonts w:ascii="Times New Roman" w:cs="Times New Roman" w:eastAsia="Times New Roman" w:hAnsi="Times New Roman"/>
          <w:sz w:val="17"/>
          <w:szCs w:val="17"/>
          <w:i w:val="1"/>
          <w:iCs w:val="1"/>
          <w:color w:val="auto"/>
        </w:rPr>
        <w:t>Industry Disruption</w:t>
      </w:r>
      <w:r>
        <w:rPr>
          <w:rFonts w:ascii="Times New Roman" w:cs="Times New Roman" w:eastAsia="Times New Roman" w:hAnsi="Times New Roman"/>
          <w:sz w:val="17"/>
          <w:szCs w:val="17"/>
          <w:color w:val="auto"/>
        </w:rPr>
        <w:t xml:space="preserve"> section below) has intensified this competitive environment. In addition, as customer preferences and expectations continue to evolve, technology has lowered barriers to entry and made it possible for nonbanks to offer products and services traditionally provided by banks, such as check-cashing, automatic transfer and automatic payment systems and “peer-to-peer” lending in which investors provide debt financing and/or capital directly to borrowers. While traditional banks are subject to the same regulatory framework as we are, nonbanks experience a significantly different or reduced degree of regulation as well as lower cost structures.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Failure to perform in any of these areas could significantly weaken our competitive position, which could adversely affect our growth and profitability which, in turn, could have a material adverse effect on our business, financial condition and results of operations. We may also be affected by the marketplace loosening of credit underwriting standards and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STRATEGIC AND MACRO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successfully implement our strategy to grow our commercial and consumer banking businesses.</w:t>
      </w: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Although our current strategy is expected to evolve as business conditions change, in 2023 our strategy is to continue to invest resources in our banking businesses and operations as we integrate the businesses and operations of our recent acquisitions, including FinTrust, Aquesta, Reliant and Progress and seek to exploit opportunities for cost and revenue synergies. In the future, we expect to continue to nurture profitable organic growth as well as pursue acquisitions or strategic transactions if appropriate opportunities, within or outside of our current markets, present themselves. Our failure or inability to successfully implement those strategies could have a material and adverse effect on our results of operation and financial condition.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Failure to achieve one or more key elements needed for successful business acquisitions and integrations could adversely affect our business and earnings.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Expanding in our current markets and selecting attractive new growth markets by opening additional branches and service locations or through acquisitions of all or part of other financial institutions involve risks, any one of which could result in a material and adverse effect upon our results of operation or financial condition. These risks include, without limitation, the following:</w:t>
      </w:r>
    </w:p>
    <w:p>
      <w:pPr>
        <w:spacing w:after="0" w:line="233"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identify and expand into suitable markets;</w:t>
      </w:r>
    </w:p>
    <w:p>
      <w:pPr>
        <w:spacing w:after="0" w:line="10" w:lineRule="exact"/>
        <w:rPr>
          <w:rFonts w:ascii="Times New Roman" w:cs="Times New Roman" w:eastAsia="Times New Roman" w:hAnsi="Times New Roman"/>
          <w:sz w:val="21"/>
          <w:szCs w:val="21"/>
          <w:color w:val="auto"/>
        </w:rPr>
      </w:pPr>
    </w:p>
    <w:p>
      <w:pPr>
        <w:ind w:left="640" w:hanging="316"/>
        <w:spacing w:after="0" w:line="214"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identify and acquire suitable sites for new branches and service locations;</w:t>
      </w: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and execute potential acquisition targets;</w:t>
      </w:r>
    </w:p>
    <w:p>
      <w:pPr>
        <w:spacing w:after="0" w:line="11" w:lineRule="exact"/>
        <w:rPr>
          <w:rFonts w:ascii="Times New Roman" w:cs="Times New Roman" w:eastAsia="Times New Roman" w:hAnsi="Times New Roman"/>
          <w:sz w:val="18"/>
          <w:szCs w:val="18"/>
          <w:color w:val="auto"/>
        </w:rPr>
      </w:pPr>
    </w:p>
    <w:p>
      <w:pPr>
        <w:ind w:left="640" w:hanging="316"/>
        <w:spacing w:after="0" w:line="230"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develop accurate estimates and judgments to evaluate asset values and credit, operations, management and market risks with respect to an acquired branch or institution, a new branch office or a new market;</w:t>
      </w:r>
    </w:p>
    <w:p>
      <w:pPr>
        <w:ind w:left="640" w:hanging="316"/>
        <w:spacing w:after="0" w:line="23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realize certain assumptions and estimates to preserve the expected financial benefits of the transaction;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2" w:name="page23"/>
    <w:bookmarkEnd w:id="22"/>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avoid the diversion of our management’s attention from existing operations during the negotiation of a transaction;</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manage successful entry into new markets where we have limited or no direct prior experience;</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obtain regulatory and other approvals, or obtain such approvals without restrictive conditions;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integrate the acquired business’ operations, clients, and properties quickly and cost-effectively;</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manage cultural assimilation risks associated with growth through acquisitions, which can be an often-overlooked and often-critical failure point in mergers;</w:t>
      </w:r>
    </w:p>
    <w:p>
      <w:pPr>
        <w:spacing w:after="0" w:line="8" w:lineRule="exact"/>
        <w:rPr>
          <w:rFonts w:ascii="Times New Roman" w:cs="Times New Roman" w:eastAsia="Times New Roman" w:hAnsi="Times New Roman"/>
          <w:sz w:val="21"/>
          <w:szCs w:val="21"/>
          <w:color w:val="auto"/>
        </w:rPr>
      </w:pPr>
    </w:p>
    <w:p>
      <w:pPr>
        <w:ind w:left="640" w:hanging="316"/>
        <w:spacing w:after="0" w:line="223"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combine the franchise values of businesses that we acquire with those of ours without significant loss from re-branding and other similar changes; or</w:t>
      </w:r>
    </w:p>
    <w:p>
      <w:pPr>
        <w:ind w:left="640" w:hanging="316"/>
        <w:spacing w:after="0" w:line="237"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retain core clients and key associates.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one or more key elements needed for successful organic growth could adversely affect our business and earnings.</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a number of risks to the successful execution of our organic growth strategy that could result in a material and adverse effect upon our results of operation and financial condition. These risks include, without limitation, the following:</w:t>
      </w:r>
    </w:p>
    <w:p>
      <w:pPr>
        <w:spacing w:after="0" w:line="231" w:lineRule="exact"/>
        <w:rPr>
          <w:sz w:val="20"/>
          <w:szCs w:val="20"/>
          <w:color w:val="auto"/>
        </w:rPr>
      </w:pPr>
    </w:p>
    <w:p>
      <w:pPr>
        <w:ind w:left="640" w:hanging="316"/>
        <w:spacing w:after="0" w:line="230"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attract and retain clients in our banking market areas, particularly as we integrate our recent acquisitions, including FinTrust, Aquesta, Reliant and Progress;</w:t>
      </w:r>
    </w:p>
    <w:p>
      <w:pPr>
        <w:ind w:left="640" w:hanging="316"/>
        <w:spacing w:after="0" w:line="23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achieve and maintain growth in our earnings while pursuing new business opportunities;</w:t>
      </w:r>
    </w:p>
    <w:p>
      <w:pPr>
        <w:spacing w:after="0" w:line="10" w:lineRule="exact"/>
        <w:rPr>
          <w:rFonts w:ascii="Times New Roman" w:cs="Times New Roman" w:eastAsia="Times New Roman" w:hAnsi="Times New Roman"/>
          <w:sz w:val="21"/>
          <w:szCs w:val="21"/>
          <w:color w:val="auto"/>
        </w:rPr>
      </w:pPr>
    </w:p>
    <w:p>
      <w:pPr>
        <w:jc w:val="both"/>
        <w:ind w:left="640" w:hanging="316"/>
        <w:spacing w:after="0" w:line="229"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maintain a high level of client service while optimizing our physical branch count due to changing client demand, all while expanding our remote banking services and expanding or enhancing our information processing, technology, compliance, and other operational infrastructures effectively and efficiently;</w:t>
      </w:r>
    </w:p>
    <w:p>
      <w:pPr>
        <w:ind w:left="640" w:hanging="316"/>
        <w:spacing w:after="0" w:line="23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maintain loan quality in the context of significant loan growth;</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attract sufficient deposits and capital to fund anticipated loan growth;</w:t>
      </w:r>
    </w:p>
    <w:p>
      <w:pPr>
        <w:spacing w:after="0" w:line="10" w:lineRule="exact"/>
        <w:rPr>
          <w:rFonts w:ascii="Times New Roman" w:cs="Times New Roman" w:eastAsia="Times New Roman" w:hAnsi="Times New Roman"/>
          <w:sz w:val="21"/>
          <w:szCs w:val="21"/>
          <w:color w:val="auto"/>
        </w:rPr>
      </w:pPr>
    </w:p>
    <w:p>
      <w:pPr>
        <w:ind w:left="640" w:right="20" w:hanging="316"/>
        <w:spacing w:after="0" w:line="221"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maintain adequate common equity and regulatory capital while managing the liquidity and capital requirements associated with growth, especially organic growth and cash-funded acquisitions;</w:t>
      </w:r>
    </w:p>
    <w:p>
      <w:pPr>
        <w:spacing w:after="0" w:line="1" w:lineRule="exact"/>
        <w:rPr>
          <w:rFonts w:ascii="Times New Roman" w:cs="Times New Roman" w:eastAsia="Times New Roman" w:hAnsi="Times New Roman"/>
          <w:sz w:val="21"/>
          <w:szCs w:val="21"/>
          <w:color w:val="auto"/>
        </w:rPr>
      </w:pPr>
    </w:p>
    <w:p>
      <w:pPr>
        <w:ind w:left="640" w:hanging="316"/>
        <w:spacing w:after="0" w:line="23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hire or retain adequate management personnel and systems to oversee and support such growth;</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implement additional policies, procedures and operating systems required to support our growth;</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inability to manage effectively and efficiently the changes and adaptations necessitated by a complex, burdensome, and evolving regulatory environment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in place strategies designed to achieve those elements that are significant to us at present, our challenge is to execute those strategies and adjust them, or adopt new strategies, as conditions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INDUSTRY DISRUPTION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keep pace with technological changes could adversely affect our business.</w:t>
      </w:r>
    </w:p>
    <w:p>
      <w:pPr>
        <w:spacing w:after="0" w:line="23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We may not be able to effectively implement new technology-driven products and services or be successful in marketing these products and services to our customers. Failure to successfully keep pace with technological change affecting the financial services industry could have a material adverse effect on our business, financial condition and results of operations.</w:t>
      </w:r>
    </w:p>
    <w:p>
      <w:pPr>
        <w:spacing w:after="0" w:line="3"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b w:val="1"/>
          <w:bCs w:val="1"/>
          <w:color w:val="auto"/>
        </w:rPr>
        <w:t>Through technological innovations and changes in client habits, the manner in which clients use financial services continues to change at a rapid pace.</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provide a large number of services remotely (online and mobile), and physical branch utilization has been in long-term decline throughout the industry for many years. Technology has helped us reduce costs and improve service, but also has weakened traditional geographic and relationship ties, and has allowed disruptors to enter traditional banking areas. Through digital marketing and service platforms, many banks are making client inroads unrelated to physical presence. This competitive risk is especially pronounced from the largest U.S. banks, and from online-only banks, due in part to the investments they are able to sustain in their digital platforms.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Companies as disparate as PayPal and Starbucks provide payment and exchange services which compete directly with banks in ways not possible traditionally.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some government leaders have discussed having the U.S. Post Office offer banking services.</w:t>
      </w:r>
    </w:p>
    <w:p>
      <w:pPr>
        <w:spacing w:after="0" w:line="20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b w:val="1"/>
          <w:bCs w:val="1"/>
          <w:color w:val="auto"/>
        </w:rPr>
        <w:t>The nature of technology-driven disruption to our industry is changing, in some cases seeking to displace traditional financial service providers rather than merely enhance traditional services or their delivery.</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 number of recent technologies have worked with the existing financial system and traditional banks, such as the evolution of ATM cards into debit/credit cards and the evolution of debit/credit cards into smart phones. These sorts of technologies often have expanded the market for banking services overall while siphoning a portion of the revenues from those services away from banks and disrupting prior methods of delivering those services. Additionally, some recent innovations may tend to replace traditional banks as financial service providers rather than merely augmenting those services. For example, companies which claim to offer applications and services based on artificial intelligence are beginning to compete much more directly with traditional financial services companies in areas involving personal advice, including high-margin services such as financial planning and wealth management. The low-cost, high-speed nature of these “robo-advisor” services can be especially attractive to younger, less-affluent clients and potential clients, as well as persons interested in “self-service” investment management. Other industry changes, such as zero-commission trading offered by certain large firms able to use trading as a loss-leader,</w:t>
      </w: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may amplify this trend. Similarly, inventions based on blockchain technology eventually may be the foundation for greatly enhancing transactional security throughout the banking industry, but also eventually may reduce the need for banks as secure deposit-keepers and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is a major, and increasing, operational risk for us and all banks.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Two traditional areas, deposit fraud (check kiting, wire fraud, etc.) and loan fraud, continue to be major sources of fraud attempts and loss. The sophistication and methods used to perpetrate fraud continue to evolve as technology changes. In addition to cybersecurity risk (discussed below), new technologies have made it easier for bad actors to obtain and use client personal information, mimic signatures and otherwise create false documents that look genuine. The industry fraud threat continues to evolve, including but not limited to card fraud, check fraud, social engineering and phishing attacks for identity theft and</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 takeover. Our anti-fraud measures are both preventive and, when necessary, responsive; however, some level of fraud loss is unavoidable, and the risk of a major loss cannot be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ability to conduct and grow our businesses is dependent in part upon our ability to create, maintain, expand, and evolve an appropriate operational and organizational infrastructure, manage expenses, and recruit and retain personnel with the ability to manage a complex business.</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Operational risk can arise in many ways, including: errors related to failed or inadequate physical, operational, information technology, or other processes; faulty or disabled computer or other technology systems; fraud, theft, physical security breaches, electronic data and related security breaches, or other criminal conduct by associates or third parties; and exposure to other external events. Inadequacies may present themselves in myriad ways. Actions taken to manage one risk may be ineffective against others. For example, information technology systems may be sufficiently redundant to withstand a fire, incursion, malware, or other major casualty, but they may be insufficiently adaptable to new business conditions or opportunities. Efforts to make systems more robust may make them less adaptable, and </w:t>
      </w:r>
      <w:r>
        <w:rPr>
          <w:rFonts w:ascii="Times New Roman" w:cs="Times New Roman" w:eastAsia="Times New Roman" w:hAnsi="Times New Roman"/>
          <w:sz w:val="18"/>
          <w:szCs w:val="18"/>
          <w:i w:val="1"/>
          <w:iCs w:val="1"/>
          <w:color w:val="auto"/>
        </w:rPr>
        <w:t>vice-versa</w:t>
      </w:r>
      <w:r>
        <w:rPr>
          <w:rFonts w:ascii="Times New Roman" w:cs="Times New Roman" w:eastAsia="Times New Roman" w:hAnsi="Times New Roman"/>
          <w:sz w:val="18"/>
          <w:szCs w:val="18"/>
          <w:color w:val="auto"/>
        </w:rPr>
        <w:t>. Also, our efforts to control expenses, which is a significant priority for us, increases our operational challenges as we strive to maintain client service and compliance at high quality and low cost.</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A serious information technology security (cybersecurity) breach can cause significant damage and at the same time be difficult to detect even after it occurs.</w:t>
      </w:r>
    </w:p>
    <w:p>
      <w:pPr>
        <w:spacing w:after="0" w:line="18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and other information in our computer systems and networks as well as through the internet through digital and mobile technologies. Although we take protective measures and endeavor to modify these systems as circumstances warrant, the advances in technology increase the risk of information security breaches. We provide our customers the ability to bank remotely, including over the internet or through their mobile device. The secure transmission of confidential information is a critical element of remote and mobile banking. Any failure, interruption or breach in security of these systems could result in disruptions to our accounting, deposit, loan and other systems, and adversely affect our customer relationships.</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There have been increasing efforts on the part of third parties, including through cyber-attacks, to breach data security at financial institutions or with respect to financial transactions. There have been several recent instances involving financial services, credit bureaus and consumer-based companies reporting the unauthorized disclosure of client or customer information or the destruction or theft of corporate data, by both private individuals and foreign governments. In addition, because the techniques used to cause such security breaches change frequently, often are not recognized until launched against a target and may originate from less regulated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4" w:name="page25"/>
    <w:bookmarkEnd w:id="24"/>
    <w:p>
      <w:pPr>
        <w:jc w:val="both"/>
        <w:spacing w:after="0" w:line="244" w:lineRule="auto"/>
        <w:rPr>
          <w:sz w:val="20"/>
          <w:szCs w:val="20"/>
          <w:color w:val="auto"/>
        </w:rPr>
      </w:pPr>
      <w:r>
        <w:rPr>
          <w:rFonts w:ascii="Times New Roman" w:cs="Times New Roman" w:eastAsia="Times New Roman" w:hAnsi="Times New Roman"/>
          <w:sz w:val="18"/>
          <w:szCs w:val="18"/>
          <w:color w:val="auto"/>
        </w:rPr>
        <w:t>remote areas around the world, we may be unable to proactively address these techniques or to implement adequate preventative measures. Our network, and the systems of parties with whom we contract, could be vulnerable to unauthorized access, computer viruses, phishing schemes, spam attacks, human error, natural disasters, power loss and other security breaches.</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Cyber threats are rapidly evolving and we may not be able to anticipate or prevent all such attacks. Among other things, damage can occur due to outright theft or extortion of our funds, fraud or identity theft perpetrated on clients, or adverse publicity associated with a breach and its potential effects. Perpetrators potentially can be associates, clients, and certain vendors, all of whom legitimately have access to some portion of our systems, as well as outsiders with no legitimate access. These risks are heightened through the increasing use of digital and mobile solutions which allow for rapid money movement and increase the difficulty to detect and prevent fraudulent transactions.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We rely on information technology and telecommunications systems and certain third-party service providers, the operational functions of which may experience disruptions that could adversely affect us and over which we may have limited or no control.</w:t>
      </w:r>
    </w:p>
    <w:p>
      <w:pPr>
        <w:spacing w:after="0" w:line="1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business is highly dependent on the successful and uninterrupted functioning of our information technology and telecommunications systems, third-party accounting systems and mobile and online banking platforms. We outsource many of our major systems, such as data processing, loan servicing and deposit processing systems and online banking platforms.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damage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third-party vendors could also create significant delay and expense.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renewed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 Our ability to recoup our losses may be limited legally or practically in many situations.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risk management framework may not be effective in mitigating risks and/or losses.</w:t>
      </w:r>
    </w:p>
    <w:p>
      <w:pPr>
        <w:spacing w:after="0" w:line="2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have implemented a risk management framework to mitigate our risk and loss exposure. This framework is comprised of various processes, systems and strategies, and is designed to identify, measure, monitor, report and manage the types of risk to which we are subject, including, among others, credit risk, interest rate risk, liquidity risk, legal and regulatory risk, compliance risk, strategic risk, reputational risk and operational risk related to its employees, systems and vendors, among others. Any system of control and any system to reduce risk exposure, however well designed and operated, is based in part on certain assumptions and can provide only reasonable, not absolute, assurances that the objectives of the system are met and will be effective under all circumstances or that it will adequately identify, manage or mitigate any risk or loss to us. Additionally, instruments, systems and strategies used to hedge or otherwise manage exposure to various types of interest rate, price, legal and regulatory compliance, credit, liquidity, operational and business risks and enterprise-wide risk could be less effective than anticipated. As a result, we may not be able to effectively mitigate our risk exposures in particular market environments or against particular types of risk. If our risk management framework is not effective, we could suffer unexpected losses and become subject to litigation, negative regulatory consequences, or reputational damage among other adverse consequences, any of which could result in our business, financial condition, results of operations or prospects being materially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for talent is substantial and increasing. Moreover, revenue growth in some business lines increasingly depends upon top talent</w:t>
      </w:r>
      <w:r>
        <w:rPr>
          <w:rFonts w:ascii="Times New Roman" w:cs="Times New Roman" w:eastAsia="Times New Roman" w:hAnsi="Times New Roman"/>
          <w:sz w:val="18"/>
          <w:szCs w:val="18"/>
          <w:color w:val="auto"/>
        </w:rPr>
        <w:t>.</w:t>
      </w:r>
    </w:p>
    <w:p>
      <w:pPr>
        <w:spacing w:after="0" w:line="2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recent years, the cost to us of hiring and retaining top revenue-producing talent has increased, and that trend is likely to continue. We have assembled a management team which has substantial background and experience in banking and financial services in our markets. Moreover, much of our organic loan growth in recent years was the result of our ability to attract experienced financial services professionals who have been able to attract customers from other financial institutions. We anticipate deploying a similar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5" w:name="page26"/>
    <w:bookmarkEnd w:id="25"/>
    <w:p>
      <w:pPr>
        <w:jc w:val="both"/>
        <w:spacing w:after="0" w:line="238" w:lineRule="auto"/>
        <w:rPr>
          <w:sz w:val="20"/>
          <w:szCs w:val="20"/>
          <w:color w:val="auto"/>
        </w:rPr>
      </w:pPr>
      <w:r>
        <w:rPr>
          <w:rFonts w:ascii="Times New Roman" w:cs="Times New Roman" w:eastAsia="Times New Roman" w:hAnsi="Times New Roman"/>
          <w:sz w:val="18"/>
          <w:szCs w:val="18"/>
          <w:color w:val="auto"/>
        </w:rPr>
        <w:t>hiring strategy in the future. Additionally,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affect our growth because of the loss of these individuals’ skills and customer relationships and/or the potential difficulty of promptly replacing them. Moreover, the higher costs we must pay to hire and retain these experienced individuals could cause our noninterest expense levels to rise and negatively impact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RISKS FROM CHANGES IN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Inflationary pressures present a potential threat to our results of operation and financial condition.</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United States generally and the regions in which we operate specifically have recently experienced, for the first time in decades, significant inflationary pressures, evidenced by higher gas prices, higher food prices and other consumer items. Inflation represents a loss in purchasing power because the value of investments often does not keep up with inflation and erodes the purchasing power of money and the potential value of investments over time. Accordingly, inflation can result in material adverse effects upon our customers, their businesses (as a result of rising costs, including labor) and, as a result, our financial position and results of operations. Inflation also can and does generally lead to higher interest rates, which have their own separate risks. See </w:t>
      </w:r>
      <w:r>
        <w:rPr>
          <w:rFonts w:ascii="Times New Roman" w:cs="Times New Roman" w:eastAsia="Times New Roman" w:hAnsi="Times New Roman"/>
          <w:sz w:val="18"/>
          <w:szCs w:val="18"/>
          <w:i w:val="1"/>
          <w:iCs w:val="1"/>
          <w:color w:val="auto"/>
        </w:rPr>
        <w:t>Risks Associated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Monetary Events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Interest Rate and Yield Curve Risks </w:t>
      </w:r>
      <w:r>
        <w:rPr>
          <w:rFonts w:ascii="Times New Roman" w:cs="Times New Roman" w:eastAsia="Times New Roman" w:hAnsi="Times New Roman"/>
          <w:sz w:val="18"/>
          <w:szCs w:val="18"/>
          <w:color w:val="auto"/>
        </w:rPr>
        <w:t>in this Item 1A of this report.</w:t>
      </w:r>
    </w:p>
    <w:p>
      <w:pPr>
        <w:spacing w:after="0" w:line="21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b w:val="1"/>
          <w:bCs w:val="1"/>
          <w:color w:val="auto"/>
        </w:rPr>
        <w:t>Generally, in periods of economic downturns, including periods of rising interest rates and recessions, our realized credit losses increase, demand for our products and services declines, and the credit quality of our loan portfolio declines.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success depends significantly upon local, national and global economic and political conditions, as well as governmental monetary policies and trade relations.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Unlike banks that are more geographically diversified, we are a regional bank that provides services to customers primarily in Georgia, South Carolina, North Carolina, Tennessee and Florida. The market conditions in these markets may be different from, and could be worse than, the economic conditions in the United States as a whole. As discussed elsewhere in this Item 1A, inflationary pressures have caused the Federal Reserve to recently increase interest rates and indicate its intention to continue to do so. Increases in interest rates in the past have led to recessions of various lengths and intensities and might lead to such a recession in the near future. Such a recession or any other adverse changes in business and economic conditions generally or specifically in the markets in which we operate could affect our business, including causing one or more of the following negative developments:</w:t>
      </w:r>
    </w:p>
    <w:p>
      <w:pPr>
        <w:spacing w:after="0" w:line="242"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decrease in the demand for loans and other products and services offered by us;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decrease in the value of the collateral securing our residential or commercial real estate loans;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permanent impairment of our assets; or</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 increase in the number of customers or other counterparties who default on their loans or other obligations to us, which could result in a higher level of NPAs, net charge-offs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RISKS ASSOCIATED WITH MONETARY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Federal Reserve has implemented significant economic strategies that have affected interest rates, inflation, asset values, and the shape of the yield curve. These strategies have had, and will continue to have, a significant impact on our business and on many of our clients.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response to the recession in 2008 and the following uneven recovery, the Federal Reserve implemented a series of domestic monetary initiatives designed to lower interest rates and make credit easier to obtain. The Federal Reserve changed course in 2015, raising interest rates several times through 2018. Following a substantial and broad stock market decline in 2019 and the onset of the COVID-19 pandemic, the Federal Reserve lowered interest rates, which remained at</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historically low levels until 2022. In 2022, however, in response to inflationary pressures, the Federal Reserve has increased interest rates substantially and has indicated its intention to continue to do so. These increases in interest rates can have significant and adverse effects upon our business as well as the business of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Federal Reserve strategies can, and often are intended to, affect the domestic money supply, inflation, interest rates, and the shape of the yield curve.</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Effects on the yield curve often are most pronounced at the short end of the curve, which is of particular importance to us and other banks. Among other things, easing strategies are intended to lower interest rates, expand the money supply, and stimulate economic activity, while tightening strategies are intended to increase interest rates, tighten the money supply, and restrain economic activity. Many external factors may interfere with the effects of these plans or cause them to be changed, sometimes quickly. Such factors include significant economic trends or events as well as significant international monetary policies and events. Such strategies also can affect the U.S. and world-wide financial systems in ways that may be difficult to predict. Risks associated with interest rates and the yield curve are discussed in this Item 1A under the caption </w:t>
      </w:r>
      <w:r>
        <w:rPr>
          <w:rFonts w:ascii="Times New Roman" w:cs="Times New Roman" w:eastAsia="Times New Roman" w:hAnsi="Times New Roman"/>
          <w:sz w:val="18"/>
          <w:szCs w:val="18"/>
          <w:i w:val="1"/>
          <w:iCs w:val="1"/>
          <w:color w:val="auto"/>
        </w:rPr>
        <w:t>Interest Rate and Yield Curve Risks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REPUTATION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ability to conduct and grow our businesses, and to obtain and retain clients, is highly dependent upon external perceptions of our business practices and financial stability.</w:t>
      </w:r>
    </w:p>
    <w:p>
      <w:pPr>
        <w:spacing w:after="0" w:line="1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reputation is a key asset for us. Reputation risk, or the risk to our earnings, liquidity and capital from negative public opinion, is inherent in our business. Our reputation is affected principally by our business practices and how those practices are perceived and understood by others. Negative public opinion could adversely affect our ability to keep and attract customers and expose us to adverse legal and regulatory consequences. Negative public opinion could result from our actual or alleged conduct in any number of activities, including lending practices (including lending to certain customers that transact business in unpopular industries), corporate governance, regulatory compliance, securities compliance, mergers and acquisitions,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 generally or that relates to parties with whom we have important relationships. Because we conduct most of our business under the “United” brand, negative public opinion about one business could affect our 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CREDIT AND COUNTERPARTY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We face the risk that our clients may not repay their loans or other obligations and that the realizable value of collateral may be insufficient to avoid a charge-off.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risks that other counterparties, in a wide range of situations, may fail to honor their obligations to pay us. In our business some level of credit</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charge-offs is unavoidable and overall levels of credit charge-offs can vary substantially over time. Lending activities are inherently risky. When we lend money or commit to lend, we incur credit risk or the risk of loss if borrowers do not repay their loans or other credit obligations. Credit risk includes, among other things, the quality of our underwriting, the impact of increases in interest rates and changes in the economic conditions in the markets where we operate as well as across the United States.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Rising interest rates and a weakening economy adversely affect the ability of some borrowers to repay outstanding loans as well as the value of the collateral securing some of these loans. If loan customers with significant loan balances fail to repay their loans, our results of operations, financial condition and capital levels will suffer.</w:t>
      </w:r>
    </w:p>
    <w:p>
      <w:pPr>
        <w:spacing w:after="0" w:line="20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We are exposed to higher credit and concentration risk from our commercial real estate, commercial and industrial and commercial construction lending.</w:t>
      </w:r>
    </w:p>
    <w:p>
      <w:pPr>
        <w:spacing w:after="0" w:line="1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credit risk and credit losses can increase if our loans become concentrated to borrowers engaged in the same or similar activities or to borrowers who as a group may be uniquely or disproportionately affected by economic or market conditions. As of December 31, 2022, approximately 73% of our loan portfolio consisted of commercial loans, including commercial and industrial, equipment financing, commercial construction and commercial real estate mortgage loans. Our borrowers under these loans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affect our results of operations and financial condition.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Deterioration in economic conditions, housing conditions and commodity and real estate values and an increase in unemployment in certain states or locations could result in materially higher credit losses if loans are concentrated in those locations. Our loans are heavily concentrated in our primary markets of Georgia, South Carolina, North Carolina, Tennessee and Florida. These markets may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have different or weaker performance than other areas of the country and our portfolio may be more negatively impacted than a financial services company with wider geographic diversity.</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the section captioned “Loans” in the “Balance Sheet Review” section of Part II, Item 7. MD&amp;A of this Report for further discussion related to commercial and industrial, construction and commercial real estate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If our allowance for credit losses was required to be increased because it is not large enough to cover expected losses in our loan portfolio, our results of operations and financial condition could be materially and adversely affected.</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maintain an ACL, which is a reserve established through a provision for credit losses charged to expense. After adopting ASC 326, the ACL reflects our assessment of the current expected losses over the life of the loan using historical experience, current conditions and reasonable and supportable forecasts. CECL has created more volatility in the level of our ACL because it relies on macroeconomic forecasts. It is possible that CECL may increase the cost of lending in the industry and result in slower loan growth and lower levels of net income. The level of the allowance reflects our continuing evaluation of factors including current economic forecasts, historical loss experience, the volume and types of loans, and specific credit risks. The determination of the appropriate level of the ACL inherently involves subjectivity in our modeling and requires us to make estimates of current credit risks and future trends, all of which may undergo material changes or vary from our historical experience. Deterioration in economic conditions affecting borrowers, changing economic forecasts, new information regarding existing loans, identification of additional problem loans and other factors, both within and outside of our control, may require an increase in the ACL. If we are required to materially increase our level of ACL for any reason, such increase could adversely affect our business, financial</w:t>
      </w:r>
    </w:p>
    <w:p>
      <w:pPr>
        <w:spacing w:after="0"/>
        <w:rPr>
          <w:sz w:val="20"/>
          <w:szCs w:val="20"/>
          <w:color w:val="auto"/>
        </w:rPr>
      </w:pPr>
      <w:r>
        <w:rPr>
          <w:rFonts w:ascii="Times New Roman" w:cs="Times New Roman" w:eastAsia="Times New Roman" w:hAnsi="Times New Roman"/>
          <w:sz w:val="18"/>
          <w:szCs w:val="18"/>
          <w:color w:val="auto"/>
        </w:rPr>
        <w:t>condition and results of operations</w:t>
      </w:r>
      <w:r>
        <w:rPr>
          <w:rFonts w:ascii="Times New Roman" w:cs="Times New Roman" w:eastAsia="Times New Roman" w:hAnsi="Times New Roman"/>
          <w:sz w:val="21"/>
          <w:szCs w:val="21"/>
          <w:color w:val="0000FF"/>
        </w:rPr>
        <w:t>.</w:t>
      </w:r>
    </w:p>
    <w:p>
      <w:pPr>
        <w:spacing w:after="0" w:line="2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bank regulatory agencies periodically review our ACL and may require an increase in the provision for credit losses or the recognition of further loan charge-offs, based on judgments different than those of management. Furthermore, if charge-offs in future periods exceed the ACL, we will need additional provisions to increase the ACL. Any increases in the ACL will result in a decrease in net income and, possibly, capital, and may have a material adverse effect on our business, financial condition and results of operations.</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See the section captioned “Allowance for Credit Losses” in Part II, Item 7. MD&amp;A of this Report for further discussion related to our process for determining the appropriate level of the 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RISKS RELATED TO PUBLIC HEALTH ISSUES, INCLUDING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Outbreaks of communicable diseases, including COVID-19 and its variants, have led to periods of significant volatility in financial, commodities (including oil and gas) and other markets, adversely affected our ability to conduct normal business, adversely affected our clients, and are likely to harm our businesses, financial condition and results of operations.</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ongoing COVID-19 pandemic has caused and may continue to cause significant disruption in the international and United States economies and financial markets and has had an adverse effect on our business and results of operations. This has recently been accompanied by a surge in flu and other respiratory illnesses of varying seriousness and magnitude. The spread of these diseases, including COVID variants, has caused illness and death resulting in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have branches, and most other states, periodically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public health issues have resulted in significant adverse effects for many different types of businesses, including, among others, those in the hospitality (including hotels and lodging) and restaurant industries, and resulted in a significant number of layoffs and furloughs of employees nationwide and in the regions in which we operate.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taking precautions to protect the safety and well-being of our employees and customers, the unpredictability of the pandemic and public health issues could result in any of the following:</w:t>
      </w:r>
    </w:p>
    <w:p>
      <w:pPr>
        <w:spacing w:after="0" w:line="221"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employees contracting these diseases, including COVID-19 or its variants;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reductions in operating effectiveness as employees work from home;</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work stoppage, forced quarantine, or other interruption of our business, including sustained closures of our business locations;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unavailability of key personnel necessary to conduct our business activities;</w:t>
      </w:r>
    </w:p>
    <w:p>
      <w:pPr>
        <w:spacing w:after="0" w:line="10" w:lineRule="exact"/>
        <w:rPr>
          <w:rFonts w:ascii="Times New Roman" w:cs="Times New Roman" w:eastAsia="Times New Roman" w:hAnsi="Times New Roman"/>
          <w:sz w:val="21"/>
          <w:szCs w:val="21"/>
          <w:color w:val="auto"/>
        </w:rPr>
      </w:pPr>
    </w:p>
    <w:p>
      <w:pPr>
        <w:ind w:left="640" w:hanging="316"/>
        <w:spacing w:after="0" w:line="221" w:lineRule="auto"/>
        <w:tabs>
          <w:tab w:leader="none" w:pos="63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effects on key employees, including operational management personnel and those charged with preparing, monitoring, and evaluating our financial reporting and internal controls;</w:t>
      </w:r>
    </w:p>
    <w:p>
      <w:pPr>
        <w:spacing w:after="0" w:line="1" w:lineRule="exact"/>
        <w:rPr>
          <w:rFonts w:ascii="Times New Roman" w:cs="Times New Roman" w:eastAsia="Times New Roman" w:hAnsi="Times New Roman"/>
          <w:sz w:val="21"/>
          <w:szCs w:val="21"/>
          <w:color w:val="auto"/>
        </w:rPr>
      </w:pPr>
    </w:p>
    <w:p>
      <w:pPr>
        <w:ind w:left="640" w:hanging="316"/>
        <w:spacing w:after="0" w:line="237" w:lineRule="auto"/>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increased cybersecurity risks as a result of employees working remotely;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8" w:name="page29"/>
    <w:bookmarkEnd w:id="28"/>
    <w:p>
      <w:pPr>
        <w:ind w:left="640" w:hanging="316"/>
        <w:spacing w:after="0"/>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declines in demand for loans and other banking services and products;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reduced consumer spending due to job losses, inflation and other effects directly or indirectly attributable to the pandemic;</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continued volatility in United States financial markets;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continued volatile performance of our investment securities portfolio;</w:t>
      </w:r>
    </w:p>
    <w:p>
      <w:pPr>
        <w:spacing w:after="0" w:line="10" w:lineRule="exact"/>
        <w:rPr>
          <w:rFonts w:ascii="Times New Roman" w:cs="Times New Roman" w:eastAsia="Times New Roman" w:hAnsi="Times New Roman"/>
          <w:sz w:val="21"/>
          <w:szCs w:val="21"/>
          <w:color w:val="auto"/>
        </w:rPr>
      </w:pPr>
    </w:p>
    <w:p>
      <w:pPr>
        <w:ind w:left="640" w:hanging="316"/>
        <w:spacing w:after="0" w:line="228"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decline in the credit quality of our loan portfolio resulting from the effects of the COVID-19 pandemic in our markets, leading to a need to increase the ACL, as applicable;</w:t>
      </w:r>
    </w:p>
    <w:p>
      <w:pPr>
        <w:spacing w:after="0" w:line="1" w:lineRule="exact"/>
        <w:rPr>
          <w:rFonts w:ascii="Times New Roman" w:cs="Times New Roman" w:eastAsia="Times New Roman" w:hAnsi="Times New Roman"/>
          <w:sz w:val="21"/>
          <w:szCs w:val="21"/>
          <w:color w:val="auto"/>
        </w:rPr>
      </w:pPr>
    </w:p>
    <w:p>
      <w:pPr>
        <w:ind w:left="640" w:hanging="316"/>
        <w:spacing w:after="0" w:line="237"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declines in value of collateral for loans, including real estate collateral;</w:t>
      </w:r>
    </w:p>
    <w:p>
      <w:pPr>
        <w:spacing w:after="0" w:line="10" w:lineRule="exact"/>
        <w:rPr>
          <w:rFonts w:ascii="Times New Roman" w:cs="Times New Roman" w:eastAsia="Times New Roman" w:hAnsi="Times New Roman"/>
          <w:sz w:val="21"/>
          <w:szCs w:val="21"/>
          <w:color w:val="auto"/>
        </w:rPr>
      </w:pPr>
    </w:p>
    <w:p>
      <w:pPr>
        <w:ind w:left="640" w:hanging="316"/>
        <w:spacing w:after="0" w:line="221"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declines in the net worth and liquidity of borrowers and loan guarantors, impairing their ability to honor commitments to us, which may affect, among other things, the levels of NPAs, charge-offs, and provision expense; and</w:t>
      </w:r>
    </w:p>
    <w:p>
      <w:pPr>
        <w:spacing w:after="0" w:line="8" w:lineRule="exact"/>
        <w:rPr>
          <w:rFonts w:ascii="Times New Roman" w:cs="Times New Roman" w:eastAsia="Times New Roman" w:hAnsi="Times New Roman"/>
          <w:sz w:val="21"/>
          <w:szCs w:val="21"/>
          <w:color w:val="auto"/>
        </w:rPr>
      </w:pPr>
    </w:p>
    <w:p>
      <w:pPr>
        <w:ind w:left="640" w:hanging="316"/>
        <w:spacing w:after="0" w:line="230" w:lineRule="auto"/>
        <w:tabs>
          <w:tab w:leader="none" w:pos="6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declines in demand resulting from businesses deemed to be “non-essential” by governments in the markets that we serve, and from both “non-essential” and “essential” businesses suffering adverse effects from reduced levels of economic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REGULATORY, LEGISLATIVE AND LEGAL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challenging regulatory environment that restricts our activities.</w:t>
      </w:r>
    </w:p>
    <w:p>
      <w:pPr>
        <w:spacing w:after="0" w:line="2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We operate in heavily regulated industries. Our regulatory burdens, including both operating restrictions and ongoing compliance costs, are substantial. We are subject to many banking, deposit, insurance, securities brokerage and underwriting, and consumer lending regulations in addition to the rules applicable to all companies whose securities are publicly traded in the U.S. securities markets. Failure to comply with applicable regulations could result in financial, structural, and operational penalties. In addition, efforts to comply with applicable regulations may increase our costs and/or limit our ability to pursue certain business opportunities. See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in Item 1 of this Report, for additional information concerning financial industry regulations. Federal and state regulations significantly limit the types of activities in which we, as a financial institution, may engage. In addition, we are subject to a wide array of other regulations that govern other aspects of how we conduct our business, such as in the areas of employment and intellectual property. Federal and state legislative and regulatory authorities often change these regulations or adopt new ones. Actions could be taken that would further limit the amount of interest or fees we can charge, further restrict our ability to collect loans or realize on collateral, affect the terms or profitability of the products and services we offer, or materially and adversely affect us in other ways. The following paragraphs highlight certain specific important risk areas related to regulatory matters currently. These paragraphs do not describe these risks exhaustively, and they do not describe all such risks that we face currently. Moreover, the importance of specific risks will grow or diminish as circumstances change.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Failure to maintain certain regulatory capital levels and ratios could result in regulatory actions that would be materially adverse to our shareholders.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U.S. capital standards are discussed under the captions </w:t>
      </w:r>
      <w:r>
        <w:rPr>
          <w:rFonts w:ascii="Times New Roman" w:cs="Times New Roman" w:eastAsia="Times New Roman" w:hAnsi="Times New Roman"/>
          <w:sz w:val="17"/>
          <w:szCs w:val="17"/>
          <w:i w:val="1"/>
          <w:iCs w:val="1"/>
          <w:color w:val="auto"/>
        </w:rPr>
        <w:t>Capital Adequacy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Prompt Corrective Action</w:t>
      </w:r>
      <w:r>
        <w:rPr>
          <w:rFonts w:ascii="Times New Roman" w:cs="Times New Roman" w:eastAsia="Times New Roman" w:hAnsi="Times New Roman"/>
          <w:sz w:val="17"/>
          <w:szCs w:val="17"/>
          <w:color w:val="auto"/>
        </w:rPr>
        <w:t xml:space="preserve"> in Item 1 of this Report and the caption “Capital Resources and Dividends” in Item 7 of this report. Pressures to maintain appropriate capital levels and address business needs in a changing economy could result in certain mandatory and possible additional discretionary actions by regulators that, if undertaken, could be dilutive or otherwise have an adverse effect on our shareholders. Such actions could include: reduction or elimination of dividends; the issuance of common or preferred stock, or securities convertible into stock; or the issuance of any class of stock having rights that are adverse to those of the holders of our existing classes of common or preferred stock. In addition, these requirements could have a negative impact on our ability to lend, grow deposit balances, make acquisitions or make share repurchases or redemptions. Higher capital levels could also lower our return on equity. Additional information concerning these risks and our management of them, all of which is incorporated into this Item 1A by this reference, appears: under the captions </w:t>
      </w:r>
      <w:r>
        <w:rPr>
          <w:rFonts w:ascii="Times New Roman" w:cs="Times New Roman" w:eastAsia="Times New Roman" w:hAnsi="Times New Roman"/>
          <w:sz w:val="17"/>
          <w:szCs w:val="17"/>
          <w:i w:val="1"/>
          <w:iCs w:val="1"/>
          <w:color w:val="auto"/>
        </w:rPr>
        <w:t>Capital Adequacy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Prompt Corrective Action</w:t>
      </w:r>
      <w:r>
        <w:rPr>
          <w:rFonts w:ascii="Times New Roman" w:cs="Times New Roman" w:eastAsia="Times New Roman" w:hAnsi="Times New Roman"/>
          <w:sz w:val="17"/>
          <w:szCs w:val="17"/>
          <w:color w:val="auto"/>
        </w:rPr>
        <w:t xml:space="preserve"> in Item 1 of this report; under the caption “Capital Resources and Dividends” of Part II, Item 7. MD&amp;A; and Note 22 Regulatory Matters, of Part II, Item 8. Financial Statements.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Political dysfunction and volatility within the federal government, both at the regulatory and Congressional level, creates significant potential for major and abrupt shifts in federal policy regarding bank regulation, taxes, and the economy, any of which could have significant and adverse impacts on our business and financial performance.</w:t>
      </w:r>
    </w:p>
    <w:p>
      <w:pPr>
        <w:spacing w:after="0" w:line="20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Legal disputes are an unavoidable part of business, and the outcome of pending or threatened litigation cannot be predicted with any certainty.</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face the risk of litigation from clients, associates, vendors, contractual parties, and other persons, either singly or in class actions, and from federal or state regulators. We manage those risks through internal controls, personnel training, insurance, litigation management, our compliance and ethics processes, and other means. However, the commencement, outcome, and magnitude of litigation cannot be predicted or controlled with any certainty. Substantial legal liability or significant regulatory action against us could have material adverse financial effects or cause significant reputational harm to us, which in turn could seriously harm our business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is becoming a major political concern. The laws governing it are new, and are likely to evolve and expand.</w:t>
      </w: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Many non-regulated, non-banking companies have gathered large amounts of personal details about millions of people, and have the ability to analyze that data and act on that analysis very quickly. This situation has prompted governmental responses. Two prominent responses are the European Union General Data Protection Regulation and the California Consumer Privacy Act. Neither is a banking industry regulation, but both apply to banks in relation to certain clients. Further general regulation to protect data privacy appears likely, and banking industry regulations might be enlarged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LIQUIDITY AND FUNDING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Liquidity is essential to our business model and a lack of liquidity, or an increase in the cost of liquidity could materially impair our ability to fund our operations and jeopardize our results of operation, financial condition and cash flows.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Deposit levels may be affected by several factors, including rates paid by competitors, general interest rate levels, returns available to customers on alternative investments, general economic and market conditions and other factors. Loan repayments are a relatively stable source of funds but are subject to the borrowers’ ability to repay loans,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generally are not readily convertible to cash.</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Recently, we have increased our reliance on secondary sources of liquidity to meet growth in loans, deposit withdrawal demands and otherwise fund operations and we expect to continue to use secondary sources in the near-term. Such secondary sources may include FHLB advances, brokered deposits, repurchase agreements, secured and unsecured federal funds lines of credit from correspondent banks, Federal Reserve borrowings and/or accessing the equity</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or debt capital markets. 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Additionally, if we fail to remain “well-capitalized” our ability to utilize brokered deposits may be restricted. We have somewhat similar risks to the extent high balance core deposits exceed the amount of deposit insurance coverage available.</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anticipate we will continue to rely primarily on deposits, loan repayments, and cash flows from our investment securities to provide liquidity. However, in the current environment, the secondary sources of borrowed funds described above will be used to augment our primary funding sources. An inability to maintain or raise funds (including the inability to access secondary funding sources) in amounts necessary to meet our liquidity needs would have a substantial negative effect, individually or collectively, on our liquidity. Our access to funding sources in amounts adequate to finance our activities, or on terms attractive to us, could be impaired by factors that affect us specifically or the financial services industry in general. For example, factors that could detrimentally impact our access to liquidity sources include our financial results, a decrease in the level of our business activity due to a market downturn or adverse regulatory action against us, a reduction in our credit rating, any damage to our reputation, counterparty availability, changes in the activities of our business partners, changes affecting our loan portfolio or other assets, or any other event that could cause a decrease in depositor or investor confidence in our creditworthiness and business. Our access to liquidity could also be impaired by factors that are not specific to us, such as general business conditions, interest rate fluctuations, severe volatility or disruption of the financial markets or negative views and expectations about the prospects for the financial services industry as a whole, or legal, regulatory, accounting, and tax environments governing our funding transactions. In addition, our ability to raise funds is strongly affected by the general state of the U.S. and world economies and financial markets as well as the policies and capabilities of the U.S.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0" w:name="page31"/>
    <w:bookmarkEnd w:id="30"/>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government and its agencies, and may remain or become increasingly difficult due to economic and other factors beyond our control. Any such event or failure to manage our liquidity effectively could affect our competitive position, increase our borrowing costs and the interest rates we pay on deposits, limit our access to the capital markets, or cause us to sell investment securities and incur losses from those sales, any and all of which could have a material adverse effect on our results of operations or financial condition. Changes associated with LIBOR and other interest rate benchmarks also may impact our funding ability; see </w:t>
      </w:r>
      <w:r>
        <w:rPr>
          <w:rFonts w:ascii="Times New Roman" w:cs="Times New Roman" w:eastAsia="Times New Roman" w:hAnsi="Times New Roman"/>
          <w:sz w:val="18"/>
          <w:szCs w:val="18"/>
          <w:i w:val="1"/>
          <w:iCs w:val="1"/>
          <w:color w:val="auto"/>
        </w:rPr>
        <w:t>Interest Rate and Yield Curve Risks</w:t>
      </w:r>
      <w:r>
        <w:rPr>
          <w:rFonts w:ascii="Times New Roman" w:cs="Times New Roman" w:eastAsia="Times New Roman" w:hAnsi="Times New Roman"/>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INTEREST RATE AND YIELD CURVE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We are subject to interest rate risk because a significant portion of our business involves borrowing and lending money, and investing in financial instruments.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considerable amount of our profitability is dependent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benchmark rates, our net interest margin may be negatively impacted if these short-term rates begin to decrease and we are unable to lower deposit pricing accordingly. However, if short-term interest rates continue to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historically entered into certain hedging transactions including interest rate swaps, which are designed to lessen elements of our interest rate exposure. If interest rates do not change in the manner anticipated, such transactions may not be effective and our results of operations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flat or inverted yield curve may reduce our net interest margin and adversely affect our loan and investment portfolios.</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yield curve is a reflection of interest rates applicable to short and long-term debt. The yield curve is steep when short-term rates are much lower than long-term rates; it is flat when short-term rates and long-term rates are nearly the same; and it is inverted when short-term rates exceed long-term rates. Historically, the yield curve is usually upward sloping (higher rates for longer terms). However, the yield curve can be relatively flat or inverted (downward sloping), which has happened several times in the past few years. A flat or inverted yield curve, which tends to decrease net interest margin, would adversely impact our lending businesses and investment portfolio. In 2022, the Federal Reserve increased rates in response to inflation and, at times, the yield curve was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inverted. We cannot predict how long those conditions will exist. See </w:t>
      </w:r>
      <w:r>
        <w:rPr>
          <w:rFonts w:ascii="Times New Roman" w:cs="Times New Roman" w:eastAsia="Times New Roman" w:hAnsi="Times New Roman"/>
          <w:sz w:val="18"/>
          <w:szCs w:val="18"/>
          <w:i w:val="1"/>
          <w:iCs w:val="1"/>
          <w:color w:val="auto"/>
        </w:rPr>
        <w:t>Risks Associated with Monetary Events</w:t>
      </w:r>
      <w:r>
        <w:rPr>
          <w:rFonts w:ascii="Times New Roman" w:cs="Times New Roman" w:eastAsia="Times New Roman" w:hAnsi="Times New Roman"/>
          <w:sz w:val="18"/>
          <w:szCs w:val="18"/>
          <w:color w:val="auto"/>
        </w:rPr>
        <w:t xml:space="preserve"> within this section of the Report for additional information.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Discontinuance of, and transition away from, LIBOR (and any other reference rates) may adversely affect our reputation, business, financial condition and results of operations.</w:t>
      </w:r>
    </w:p>
    <w:p>
      <w:pPr>
        <w:spacing w:after="0" w:line="18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ICE Benchmark Administration, the administrator of LIBOR, ceased publication of one-week and two-month LIBOR on a representative basis on December 31, 2021. The remaining USD settings (i.e., overnight, one-month, three-month, six-month and 12-month) will cease or become non-representative immediately after June 30, 2023. On December 16, 2022, the Federal Reserve adopted a final rule that implements the Adjustable Interest Rate (LIBOR) Act by identifying benchmark rates based on SOFR that will replace LIBOR in certain financial contracts that have no, or inadequate, fallback provisions (“Final Rule”).</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no longer originate loans that reference Affected Benchmarks. New floating rate loans reference ARRs, such as SOFR. Affected Benchmarks, however, remain the reference rate in a significant number of our outstanding debt securities, loans, derivatives and long-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1" w:name="page32"/>
    <w:bookmarkEnd w:id="31"/>
    <w:p>
      <w:pPr>
        <w:jc w:val="both"/>
        <w:spacing w:after="0" w:line="243" w:lineRule="auto"/>
        <w:rPr>
          <w:sz w:val="20"/>
          <w:szCs w:val="20"/>
          <w:color w:val="auto"/>
        </w:rPr>
      </w:pPr>
      <w:r>
        <w:rPr>
          <w:rFonts w:ascii="Times New Roman" w:cs="Times New Roman" w:eastAsia="Times New Roman" w:hAnsi="Times New Roman"/>
          <w:sz w:val="18"/>
          <w:szCs w:val="18"/>
          <w:color w:val="auto"/>
        </w:rPr>
        <w:t>term debt, and in certain other assets and liabilities. Discontinuance of, and transition away from, such reference rates present various uncertainties and operational, legal, reputational, compliance, financial and other risks and challenges.</w:t>
      </w:r>
    </w:p>
    <w:p>
      <w:pPr>
        <w:spacing w:after="0" w:line="20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For example, certain products and contracts not covered by the Final Rule may contain language requiring us to undertake certain actions to determine ARRs to replace existing benchmarks or to exercise discretion in selection of such rates. We may face litigation, disputes or other actions from clients, counterparties, customers, investors or others based on various claims that we incorrectly interpreted or enforced such contract provisions or failed to appropriately communicate or effectuate such transition.</w:t>
      </w:r>
    </w:p>
    <w:p>
      <w:pPr>
        <w:spacing w:after="0" w:line="20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It is possible that the characteristics of ARRs may not be sufficiently similar to, or produce the economic equivalent of, the benchmark rates that they are intended to replace. For example, SOFR is a riskless rate. Historically, in periods of economic or financial industry stress, riskless rates that are analogous to SOFR have been relatively stable. In contrast, LIBOR, which is designed to reflect the credit risk of banks, has widened relative to riskless rates, reflecting increased uncertainty regarding the creditworthiness of banks. SOFR, because it is riskless, tends to be a lower rate than LIBOR. To address these differences between LIBOR and SOFR, industry-recommended LIBOR fallback provisions and the Final Rule include a concept of an adjustment spread that is applied when a LIBOR-based contract falls back to SOFR and that is calculated based on a five-year median look-back of the historical spot difference between the applicable LIBOR tenor and the applicable SOFR tenor. However, because any such adjustment spread is and will be based on a historical median, such adjustment spreads have not, and are likely in the future to not, reflect the spot difference between LIBOR and SOFR at certain points in time and there may be a value transfer between the contracting parties over the life of the instrument because the all-in rate applied to a contract, even taking into account the spread adjustment, might have behaved differently over the life of the instrument in the absence of LIBOR cessation.</w:t>
      </w:r>
    </w:p>
    <w:p>
      <w:pPr>
        <w:spacing w:after="0" w:line="1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Impacts from a change in reference rate would likely include changes to the yield on, and value of, loans or securities held by us, amounts paid on securities we have issued, and amounts received and paid on derivative instruments we have entered into. Any theoretical benefit to us could result in counterparty dissatisfaction, which, in turn could lead to litigation, potentially as class actions, or other adverse consequences, including dissatisfied customers or impaired relationships with financial institution counterparties resulting in loss of business.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sum, the transition away from Affected Benchmarks to an alternative reference rate is complex and the failure to adequately manage the transition could have a range of material adverse effects, including the potential to:</w:t>
      </w:r>
    </w:p>
    <w:p>
      <w:pPr>
        <w:spacing w:after="0" w:line="217" w:lineRule="exact"/>
        <w:rPr>
          <w:sz w:val="20"/>
          <w:szCs w:val="20"/>
          <w:color w:val="auto"/>
        </w:rPr>
      </w:pPr>
    </w:p>
    <w:p>
      <w:pPr>
        <w:ind w:left="640" w:hanging="316"/>
        <w:spacing w:after="0" w:line="230" w:lineRule="auto"/>
        <w:tabs>
          <w:tab w:leader="none" w:pos="63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adversely affect the pricing, liquidity, value of, return on, and trading for a broad array of financial products, including any Affected Benchmark-linked securities, loans and derivatives that are included in our financial assets and liabilities;</w:t>
      </w:r>
    </w:p>
    <w:p>
      <w:pPr>
        <w:spacing w:after="0" w:line="7"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prompt inquiries or other actions from regulators in respect of our preparation for, execution of, or replacement of Affected Benchmarks with ARRs;</w:t>
      </w:r>
    </w:p>
    <w:p>
      <w:pPr>
        <w:spacing w:after="0" w:line="11" w:lineRule="exact"/>
        <w:rPr>
          <w:rFonts w:ascii="Times New Roman" w:cs="Times New Roman" w:eastAsia="Times New Roman" w:hAnsi="Times New Roman"/>
          <w:sz w:val="20"/>
          <w:szCs w:val="20"/>
          <w:color w:val="auto"/>
        </w:rPr>
      </w:pPr>
    </w:p>
    <w:p>
      <w:pPr>
        <w:jc w:val="both"/>
        <w:ind w:left="640" w:hanging="316"/>
        <w:spacing w:after="0" w:line="225" w:lineRule="auto"/>
        <w:tabs>
          <w:tab w:leader="none" w:pos="63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result in disputes, litigation or other actions with clients, counterparties and investors in various scenarios, such as regarding our interpretation, implementation and/or enforcement of (i) provisions in Affected Benchmark-linked contracts such as fallback language or other related provisions (including, without limitation, in the case of fallbacks to ARRs, any economic, legal, operational or other impact resulting from the fundamental differences between the Affected Benchmarks and the various ARRs) or (ii) the Final Rule;</w:t>
      </w:r>
    </w:p>
    <w:p>
      <w:pPr>
        <w:spacing w:after="0" w:line="10" w:lineRule="exact"/>
        <w:rPr>
          <w:rFonts w:ascii="Times New Roman" w:cs="Times New Roman" w:eastAsia="Times New Roman" w:hAnsi="Times New Roman"/>
          <w:sz w:val="21"/>
          <w:szCs w:val="21"/>
          <w:color w:val="auto"/>
        </w:rPr>
      </w:pPr>
    </w:p>
    <w:p>
      <w:pPr>
        <w:jc w:val="both"/>
        <w:ind w:left="640" w:hanging="316"/>
        <w:spacing w:after="0" w:line="225" w:lineRule="auto"/>
        <w:tabs>
          <w:tab w:leader="none" w:pos="63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require additional transition to or development of appropriate systems and analytics to effectively transition our risk management processes from Affected Benchmarks to those based on one or more ARRs in a timely manner, including by quantifying value and risk for various ARRs, which may prove challenging given the limited history of the proposed ARRs;</w:t>
      </w:r>
    </w:p>
    <w:p>
      <w:pPr>
        <w:spacing w:after="0" w:line="1"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the “Recent Developments” section in Part II, Item 7.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ACCOUNTING AND TAX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The preparation of our consolidated financial statements in conformity with U.S. GAAP requires management to make significant assumptions, estimates and judgments that affect the financial statements.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Management must make significant assumptions and estimates and exercise significant judgment in selecting and applying accounting and reporting policies. In some cases, management must select a policy from two or more alternatives, any of which may be reasonable under the circumstances, which may result in reporting materially different results than would have been reported under a different alternative. The estimate that is consistently one of our most critical is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level of the allowance for credit losses. However, other estimates can be highly significant at discrete times or during periods of varying length, for example the valuation (or impairment) of our deferred tax assets. Estimates are made at specific points in time. As actual events unfold, estimates are adjusted accordingly. Due to the inherent nature of these estimates, it is possible that, at some time in the future, we may significantly increase the allowance for credit losses and/or sustain credit losses that are significantly higher than the provided allowance, or we may recognize a significant provision for impairment of assets, or we may make some other adjustment that will differ materially from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estimates that we make today. Moreover, in some cases, especially concerning litigation and other contingency matters where critical information is inadequate, often we are unable to make estimates until fairly late in a lengthy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addition, changes in accounting standards or interpretations could negatively impact our reported earnings and financial condition.</w:t>
      </w: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accounting standard setters, including the FASB, the SEC and other regulatory agencies, periodically change the financial accounting and reporting standards that govern the preparation of our consolidated financial statements. For additional information, refer to Note 2 to our consolidated financial statements contained in this Report. These changes can be difficult to predict and can materially impact how we record and report our financial condition and results of operations. In some cases, we could be required to apply a new or revised standard retroactively, which would result in the recasting of our prior period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changes in tax laws, regulations and interpretations or challenges to our income tax provision.</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internal controls and procedures may fail or be circumvented.</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Maintaining and adapting our internal controls over financial reporting, disclosure controls and procedures and effective corporate governance policies and procedures (“controls and procedures”) is expensive and requires significant management attention. Moreover, as we continue to grow, our controls and procedures may become more complex and require additional resources to ensure they remain effective amid dynamic regulatory and other guidance. Failure to implement effective controls and procedures or circumvention of our controls and procedures could harm our business, results of operations and financial condition or cause us to fail to meet our public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GEOGRAPHIC AND CLIMATE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of operating in various jurisdictions.</w:t>
      </w:r>
    </w:p>
    <w:p>
      <w:pPr>
        <w:spacing w:after="0" w:line="2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success is also influenced heavily by population growth, income levels, loans and deposits and on stability in real estate values in our markets. To a significant degree our banking business is exposed to economic, regulatory, natural disaster, and other risks that primarily impact the southeastern U.S. states where we do most of our traditional banking business. If that region of the U.S. did not grow or was to experience adversity not shared by other parts of the country, for example the risk of hurricanes in Florida and the Carolina coasts, we would likely experience adversity to a degree not shared by those competitors which have a broader or different regional footprint.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the majority of which is secured by real estate,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Natural disasters and weather-related events exacerbated by climate change could have a negative impact on our results of operations and financial condition.</w:t>
      </w:r>
    </w:p>
    <w:p>
      <w:pPr>
        <w:spacing w:after="0" w:line="18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operate in markets in which natural disasters, including tornadoes, severe storms, fires, floods, hurricanes and earthquakes have occurred. Such natural disasters could significantly affect the local population and economies, the activities of many of our customers and clients, and our business, and could pose physical risks to our properties. Although our banking offices are geographically dispersed throughout portions of the southeastern United States and we maintain insurance coverage for such events, a significant natural disaster in or near one or more of our markets could have a material adverse effect on our financial condition, results of operations or liquidity.</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markets in which we operate also are exposed to the adverse impacts of climate change, as well as uncertainties related to the transition to a low-carbon economy. Climate change presents both immediate and long-term risks to us and our customers and clients, with the risks expected to increase over time.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18"/>
          <w:szCs w:val="18"/>
          <w:color w:val="auto"/>
        </w:rPr>
        <w:t>Climate risks can arise from both physical risks (those risks related to the physical effects of climate change) and transition risks (risks related to regulatory, compliance, technological, stakeholder and legal changes from a transition to a low-carbon economy). The physical and transition risks can manifest themselves differently across our risk categories in the short, medium and long terms.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physical risk from climate change could result from increased frequency and/or severity of adverse weather events. For example, adverse weather events could damage or destroy our properties or our counterparties’ properties and other assets and disrupt operations, making it more difficult for counterparties to repay their obligations, whether due to reduced profitability, asset devaluations or otherwise. These events could also increase the volatility in financial markets and increase our counterparty exposures and other financial risks, which may result in lower revenues and higher cost of credit.</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Transition risks may arise from changes in regulations or market preferences toward a low-carbon economy, which in turn could have negative impacts on asset values, results of operations or our reputation or that of our customers and clients. For example, our corporate credit exposures include industries that may experience reduced demand for carbon-intensive products due to the transition to a low-carbon economy. Moreover, banking regulators and others are increasingly focusing on the issue of climate risk at financial institutions, both directly and with respect to their clients. As an example, although not currently applicable to us, on December 16, 2021, the OCC requested feedback on draft principles designed to support the identification and management of climate-related financial risks at institutions with more than $100 billion in total consolidated assets.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Even as regulators, such as the SEC, begin to propose or mandate additional disclosure of climate-related information by companies across sectors, there may continue to be a lack of information for more robust climate-related risk analyses. Third party exposures to climate-related risks and other data generally are limited in availability and variable in quality. Modeling capabilities to analyze climate-related risks and interconnections are improving but remain incomplete. Legislative or regulatory uncertainties and changes regarding climate-related risk management and disclosures are likely to result in higher regulatory, compliance, credit, reputational and other risks and costs (for additional information, see </w:t>
      </w:r>
      <w:r>
        <w:rPr>
          <w:rFonts w:ascii="Times New Roman" w:cs="Times New Roman" w:eastAsia="Times New Roman" w:hAnsi="Times New Roman"/>
          <w:sz w:val="18"/>
          <w:szCs w:val="18"/>
          <w:i w:val="1"/>
          <w:iCs w:val="1"/>
          <w:color w:val="auto"/>
        </w:rPr>
        <w:t>Regulatory, Legislative and Legal Risks</w:t>
      </w:r>
      <w:r>
        <w:rPr>
          <w:rFonts w:ascii="Times New Roman" w:cs="Times New Roman" w:eastAsia="Times New Roman" w:hAnsi="Times New Roman"/>
          <w:sz w:val="18"/>
          <w:szCs w:val="18"/>
          <w:color w:val="auto"/>
        </w:rPr>
        <w:t xml:space="preserve"> above). In addition, we could face increased regulatory, reputational and legal scrutiny as a result of climate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STOCK HOLDING AND GOVERNANCE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b w:val="1"/>
          <w:bCs w:val="1"/>
          <w:color w:val="auto"/>
        </w:rPr>
        <w:t>The inability of our subsidiaries to declare and pay dividends or other distributions to the Holding Company could adversely affect its liquidity and ability to declare and pay dividends.</w:t>
      </w:r>
    </w:p>
    <w:p>
      <w:pPr>
        <w:spacing w:after="0" w:line="1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While our Board, since 2013, has approved the payment of a quarterly cash dividend on our common stock, there can be no assurance whether or when we may pay dividends in the future. Future dividends, if any, will be declared and paid at the Board’s discretion and will depend on a number of factors including, among others, asset quality, earnings performance, liquidity and capital requirements. Our principal source of funds used to pay cash dividends on our common and preferred stock is dividends that we receive from the Bank. As a South Carolina state-chartered bank, the Bank is subject to limitations on the amount of dividends that it is permitted to pay, as described under “Supervision and Regulation - Payment of Dividends” in Part I, Item 1 of this Report. The federal banking agencies have also issued policy statements which provide that bank holding companies and insured banks should generally only pay dividends out of current earnings. The Federal Reserve may also prevent the payment of a dividend by the Bank if it determines that the payment would be an unsafe and unsound banking practice. The Holding Company and the Bank must also maintain the CET1 capital conservation buffer of 2.5% to avoid becoming subject to restrictions on capital distributions, including dividends. If the Bank is not permitted to pay cash dividends to the Holding Company, it is unlikely that we would be able to continue to pay dividends on our common stock or to pay interest on our indebtedness.</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Holders of our indebtedness and of depositary shares related to our Series I preferred stock have rights that are senior to those of our common shareholders.</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At December 31, 2022, we had outstanding senior debentures, subordinated debentures, trust preferred securities and accompanying subordinated debentures and preferred stock totaling $421 million. Payments of the principal and interest on the senior debentures, subordinated debentures and the subordinated debentures accompanying the trust preferred securities and dividends on the preferred stock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and preferred shares before any dividends can be paid on our common stock and, in the event of bankruptcy, dissolution or liquidation, the holders of the debt and preferred shares must be satisfied before any distributions can be made on our common stock. We have the right to defer distributions on the subordinated debentures related to the trust preferred securities (and the related guarantee of payments on the trust preferred securities) for up to five years, during which time no dividends may be paid on our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4" w:name="page35"/>
    <w:bookmarkEnd w:id="34"/>
    <w:p>
      <w:pPr>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senior or subordinated indebtedness or preferred stock that would have to be repaid before our shareholders would be entitled to receive any of our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can be volatile.</w:t>
      </w:r>
    </w:p>
    <w:p>
      <w:pPr>
        <w:spacing w:after="0" w:line="2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Stock price volatility may make it more difficult for you to resell your common stock when you want and at prices you find attractive. Our stock price can fluctuate significantly in response to a variety of factors, some of which are unrelated to our financial performance, including, among other things:</w:t>
      </w:r>
    </w:p>
    <w:p>
      <w:pPr>
        <w:spacing w:after="0" w:line="3"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actual or anticipated variations in quarterly results of operations;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recommendations by securities analysts;</w:t>
      </w:r>
    </w:p>
    <w:p>
      <w:pPr>
        <w:spacing w:after="0" w:line="10" w:lineRule="exact"/>
        <w:rPr>
          <w:rFonts w:ascii="Times New Roman" w:cs="Times New Roman" w:eastAsia="Times New Roman" w:hAnsi="Times New Roman"/>
          <w:sz w:val="21"/>
          <w:szCs w:val="21"/>
          <w:color w:val="auto"/>
        </w:rPr>
      </w:pPr>
    </w:p>
    <w:p>
      <w:pPr>
        <w:ind w:left="640" w:hanging="316"/>
        <w:spacing w:after="0" w:line="213"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news reports relating to trends, concerns and other issues in the financial services industry;</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perceptions in the marketplace regarding us and/or our competitors;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 technology used, or services offered, by competitors;</w:t>
      </w:r>
    </w:p>
    <w:p>
      <w:pPr>
        <w:spacing w:after="0" w:line="10" w:lineRule="exact"/>
        <w:rPr>
          <w:rFonts w:ascii="Times New Roman" w:cs="Times New Roman" w:eastAsia="Times New Roman" w:hAnsi="Times New Roman"/>
          <w:sz w:val="21"/>
          <w:szCs w:val="21"/>
          <w:color w:val="auto"/>
        </w:rPr>
      </w:pPr>
    </w:p>
    <w:p>
      <w:pPr>
        <w:ind w:left="640" w:hanging="316"/>
        <w:spacing w:after="0" w:line="238"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significant acquisitions or business combinations, strategic partnerships, joint ventures or capital commitments by or involving us or our competitors;</w:t>
      </w:r>
    </w:p>
    <w:p>
      <w:pPr>
        <w:spacing w:after="0" w:line="10" w:lineRule="exact"/>
        <w:rPr>
          <w:rFonts w:ascii="Times New Roman" w:cs="Times New Roman" w:eastAsia="Times New Roman" w:hAnsi="Times New Roman"/>
          <w:sz w:val="20"/>
          <w:szCs w:val="20"/>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integrate acquisitions or realize anticipated benefits from acquisitions;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changes in government regulations; or</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geopolitical conditions such as acts or threats of terrorism, military conflicts, the effects (or perceived effects) of pandemics and trade relations.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our operating results.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United’s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7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United’s amended and restated articles of incorporation, as amended (our “articles”), and bylaws, as amended (our “bylaws”), contain various provisions that could have an anti-takeover effect and may delay, discourage or prevent an attempted acquisition or change of control of United. These provisions include:</w:t>
      </w:r>
    </w:p>
    <w:p>
      <w:pPr>
        <w:spacing w:after="0" w:line="207" w:lineRule="exact"/>
        <w:rPr>
          <w:sz w:val="20"/>
          <w:szCs w:val="20"/>
          <w:color w:val="auto"/>
        </w:rPr>
      </w:pPr>
    </w:p>
    <w:p>
      <w:pPr>
        <w:ind w:left="640" w:hanging="316"/>
        <w:spacing w:after="0" w:line="230" w:lineRule="auto"/>
        <w:tabs>
          <w:tab w:leader="none" w:pos="63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allowing the Board to consider the interests of our employees, customers, suppliers and creditors when considering an acquisition proposal;</w:t>
      </w:r>
    </w:p>
    <w:p>
      <w:pPr>
        <w:spacing w:after="0" w:line="7" w:lineRule="exact"/>
        <w:rPr>
          <w:rFonts w:ascii="Times New Roman" w:cs="Times New Roman" w:eastAsia="Times New Roman" w:hAnsi="Times New Roman"/>
          <w:sz w:val="21"/>
          <w:szCs w:val="21"/>
          <w:color w:val="auto"/>
        </w:rPr>
      </w:pPr>
    </w:p>
    <w:p>
      <w:pPr>
        <w:ind w:left="640" w:hanging="316"/>
        <w:spacing w:after="0" w:line="230" w:lineRule="auto"/>
        <w:tabs>
          <w:tab w:leader="none" w:pos="63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that all amendments to the articles and bylaws must be approved by a majority of the outstanding shares of our capital stock entitled to vote;</w:t>
      </w:r>
    </w:p>
    <w:p>
      <w:pPr>
        <w:spacing w:after="0" w:line="7" w:lineRule="exact"/>
        <w:rPr>
          <w:rFonts w:ascii="Times New Roman" w:cs="Times New Roman" w:eastAsia="Times New Roman" w:hAnsi="Times New Roman"/>
          <w:sz w:val="21"/>
          <w:szCs w:val="21"/>
          <w:color w:val="auto"/>
        </w:rPr>
      </w:pPr>
    </w:p>
    <w:p>
      <w:pPr>
        <w:jc w:val="both"/>
        <w:ind w:left="640" w:hanging="316"/>
        <w:spacing w:after="0" w:line="230" w:lineRule="auto"/>
        <w:tabs>
          <w:tab w:leader="none" w:pos="63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requiring that any business combination involving United be approved by 75% of the outstanding shares of United’s common stock excluding shares held by stockholders who are deemed to have an interest in the transaction unless the business combination is approved by 75% of United’s directors;</w:t>
      </w:r>
    </w:p>
    <w:p>
      <w:pPr>
        <w:spacing w:after="0" w:line="7" w:lineRule="exact"/>
        <w:rPr>
          <w:rFonts w:ascii="Times New Roman" w:cs="Times New Roman" w:eastAsia="Times New Roman" w:hAnsi="Times New Roman"/>
          <w:sz w:val="21"/>
          <w:szCs w:val="21"/>
          <w:color w:val="auto"/>
        </w:rPr>
      </w:pPr>
    </w:p>
    <w:p>
      <w:pPr>
        <w:ind w:left="640" w:hanging="316"/>
        <w:spacing w:after="0" w:line="230" w:lineRule="auto"/>
        <w:tabs>
          <w:tab w:leader="none" w:pos="63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restricting removal of directors except for cause and upon the approval of two-thirds of the outstanding shares of our capital stock entitled to vote;</w:t>
      </w:r>
    </w:p>
    <w:p>
      <w:pPr>
        <w:spacing w:after="0" w:line="7" w:lineRule="exact"/>
        <w:rPr>
          <w:rFonts w:ascii="Times New Roman" w:cs="Times New Roman" w:eastAsia="Times New Roman" w:hAnsi="Times New Roman"/>
          <w:sz w:val="21"/>
          <w:szCs w:val="21"/>
          <w:color w:val="auto"/>
        </w:rPr>
      </w:pPr>
    </w:p>
    <w:p>
      <w:pPr>
        <w:ind w:left="640" w:hanging="316"/>
        <w:spacing w:after="0" w:line="230" w:lineRule="auto"/>
        <w:tabs>
          <w:tab w:leader="none" w:pos="63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that any special meeting of shareholders may be called only by the chairman, chief executive officer, president, chief financial officer, board of directors or the holders of 25% of the outstanding shares of United’s capital stock entitled to vote; and</w:t>
      </w:r>
    </w:p>
    <w:p>
      <w:pPr>
        <w:ind w:left="640" w:hanging="316"/>
        <w:spacing w:after="0" w:line="223" w:lineRule="auto"/>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provision establishing certain advance notice procedures for matters to be considered at an annual meeting of shareholders.</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Additionally, United’s articles authorize the Board to issue shares of preferred stock without shareholder approval and upon such terms as the Board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 In addition, certain provisions of Georgia law, including a provision which restricts certain business combinations between a Georgia corporation and certain affiliated shareholders, may delay, discourage or prevent an attempted acquisition or change in control of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Our stockholders may suffer dilution if we raise capital through public or private equity financings to fund our operations, to increase our capital, or to expand.</w:t>
      </w:r>
    </w:p>
    <w:p>
      <w:pPr>
        <w:spacing w:after="0" w:line="1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raise funds by issuing equity securities or instruments that are convertible into equity securities, the percentage ownership of our current common stockholders will be reduced, the new equity securities may have rights and preferences superior to those of our common or outstanding preferred stock, and additional issuances could be at a sales price which is dilutive to current stockholders. We may issue or be required to issue additional shares of common stock, or securities convertible into, exchangeable for or representing rights to acquire shares of common stock in order to maintain capital at desired or regulatory-required levels. We could also issue additional equity securities directly as consideration in acquisitions of other financial institutions or other investments that we may make that would be dilutive to stockholders in terms of voting power and share-of-ownership, and could be dilutive financially or economically.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6" w:name="page37"/>
    <w:bookmarkEnd w:id="36"/>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executive offices are located at 125 Highway 515 East, Blairsville, Georgia and 2 West Washington Street, Suite 700, Greenville, South Carolina. We own our executive office in Blairsville, Georgia and lease our executive office in Greenville, South Carolina. As of December 31, 2022, we provided services or performed operational functions at 228 locations. We own or lease no single physical property that we consider to be materially important to our financial condition or results from operations. Our retail branches, loan and mortgage production offices and wealth management offices remain important to our ability to deliver financial services to a large portion of our clients. For many years, branch usage by clients has slowly declined, and for many years we have slowly consolidated branch locations in response to changing utilization patterns. We expect that long-term trend to continue. We consider our properties to be suitable and adequate for operating our banking business. Notes 7 and 14 to our consolidated financial statements include additional information regarding investments in premises and equipment and leased properties.</w:t>
      </w:r>
    </w:p>
    <w:p>
      <w:pPr>
        <w:spacing w:after="0" w:line="1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ordinary course of operations, we are parties to various legal proceedings and periodic regulatory examinations and investigations. There are no material pending legal proceedings to which we or any of our properties are subject.</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840" w:right="160" w:hanging="1271"/>
        <w:spacing w:after="0" w:line="27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UNITED’S COMMON EQUITY, RELATED STOCKHOLDER MATTERS AND ISSUER PURCHASES OF EQUITY SECURITIES</w:t>
      </w:r>
    </w:p>
    <w:p>
      <w:pPr>
        <w:spacing w:after="0" w:line="18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United’s common stock trades on the Nasdaq Global Select Market under the symbol “UCBI”. At January 31, 2023, there were 8,993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United’s common stock.</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Our Board declared quarterly cash dividends totaling $0.86 and $0.78 per share on our common stock in 2022 and 2021, respectively.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intend to continue to pay comparable quarterly cash dividends on our common stock, subject to approval by our Board, although we may elect not to pay dividends or to change the amount of such dividends. The payment of dividends is a decision of our Board based upon then-existing circumstances, including our rate of growth, profitability, financial condition, existing and anticipated capital requirements, the amount of funds legally available for the payment of cash dividends, regulatory constraints and such other factors as the Board determines relevant.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 information regarding dividends is included in this Report in Note 22 to our consolidated financial statements in Part II Item 8 Financial Statements and Supplementary Data, under the heading of “Supervision and Regulation” in Part I Item 1. Business and under the heading “Capital Resources and Dividends” in Part II, Item 7. MD&amp;A.</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Share Repurchases</w:t>
      </w:r>
      <w:r>
        <w:rPr>
          <w:rFonts w:ascii="Times New Roman" w:cs="Times New Roman" w:eastAsia="Times New Roman" w:hAnsi="Times New Roman"/>
          <w:sz w:val="18"/>
          <w:szCs w:val="18"/>
          <w:color w:val="auto"/>
        </w:rPr>
        <w:t>. We made no common stock repurchases during the fourth quarter of 2022. In November 2022, our Board re-authorized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repurchase plan to allow the repurchase of up to $50 million of our common stock. The program is scheduled to expire on the earlier of the repurchase of our common stock having an aggregate purchase price of $50 million or December 31, 2023. Under the program, shares may be repurchased in open market transactions at prevailing market prices or in privately negotiated transactions, from time to time, or by other means in accordance with federal securities laws, and the program may be suspended or discontinued at any time without notice. The actual timing, number and value of shares repurchased under the program will be determined by management at its discretion and will depend on a number of factors, including the market price of our stock, general market and economic conditions, and applicable legal requirements. Repurchased shares will become treasury shares and may be utilized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18"/>
          <w:szCs w:val="18"/>
          <w:color w:val="auto"/>
        </w:rPr>
        <w:t>Set forth below is a line graph comparing the yearly percentage change in the cumulative total shareholder return on our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the cumulative total return on the Nasdaq Stock Market (U.S. Companies) Index and the Nasdaq Bank Stocks Index for the five-year period commencing December 31, 2017 and ending on December 31, 2022. </w:t>
      </w:r>
      <w:r>
        <w:rPr>
          <w:rFonts w:ascii="Times New Roman" w:cs="Times New Roman" w:eastAsia="Times New Roman" w:hAnsi="Times New Roman"/>
          <w:sz w:val="16"/>
          <w:szCs w:val="16"/>
          <w:b w:val="1"/>
          <w:bCs w:val="1"/>
          <w:i w:val="1"/>
          <w:iCs w:val="1"/>
          <w:color w:val="auto"/>
        </w:rPr>
        <w:t>The following performance graph does not constitute soliciting material and should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b w:val="1"/>
          <w:bCs w:val="1"/>
          <w:i w:val="1"/>
          <w:iCs w:val="1"/>
          <w:color w:val="auto"/>
        </w:rPr>
        <w:t>deemed filed or incorporated by reference into any other Company filing under the Securities Act of 1933 or the Securities Exchange Act of 1934, except to the extent that we specifically incorporate the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5715</wp:posOffset>
            </wp:positionV>
            <wp:extent cx="5452110" cy="4038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2110" cy="403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Cumulative Total Return*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44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Community Banks, Inc.</w:t>
            </w: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Stock Market (U.S.) Index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Bank Index</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bl>
    <w:p>
      <w:pPr>
        <w:spacing w:after="0" w:line="286" w:lineRule="exact"/>
        <w:rPr>
          <w:sz w:val="20"/>
          <w:szCs w:val="20"/>
          <w:color w:val="auto"/>
        </w:rPr>
      </w:pPr>
    </w:p>
    <w:p>
      <w:pPr>
        <w:ind w:left="160" w:hanging="154"/>
        <w:spacing w:after="0" w:line="274" w:lineRule="auto"/>
        <w:tabs>
          <w:tab w:leader="none" w:pos="3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on December 31, 2017 in our common stock and above noted indexes. Total return includes reinvestment of dividends at the closing stock price of the common stock on the dividend payment date and the closing values of stock and indexes as of December 31 of each year.</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and accompanying notes. The discussion of the components of our results of operations focuses on financial trends and events occurring between 2021 and 2022.</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related to financial trends between 2021 and 2020 please see the information under the caption “Management’s Discussion and Analysis of Financial Condition and Results of Operations” in our Annual Report on Form 10-K for the fiscal year ended December 31, 2021, filed with the SEC on February 25, 2022, which information under that caption is incorporated herein by this reference. Historical results of operations are not necessarily predictive of future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core business operations. Operating performance measures include “noninterest expenses – operating,” “net income – operating,” “diluted net income per common share – operating,” “return on common equity – operating,” “return on tangible common equity – operating,” “return on assets – operating” and “efficiency ratio – operating.” Management has developed internal processes and procedures to accurately capture and account for merger-related and other charges and those charges are reviewed with the audit committee of our Board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which as of December 31, 2022, was comprised of a 192 branch network located throughout Georgia, South Carolina, North Carolina, Tennessee and Florida. Our equipment finance and SBA/USDA lending businesses operate throughout the United States. We have grown organically as well as through strategic acquisitions. At December 31, 2022, we had consolidated total assets of $24.0 billion and 2,843 full-time equivalent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past two years, we have continued to expand through acquisitions as follows:</w:t>
      </w:r>
    </w:p>
    <w:p>
      <w:pPr>
        <w:spacing w:after="0" w:line="92" w:lineRule="exact"/>
        <w:rPr>
          <w:sz w:val="20"/>
          <w:szCs w:val="20"/>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2022, we acquired Reliant, a bank which operated a 25-branch network primarily located in Middle Tennessee. In this acquisition, we acquired $2.96 billion of assets and assumed $2.66 billion of liabilities.</w:t>
      </w:r>
    </w:p>
    <w:p>
      <w:pPr>
        <w:spacing w:after="0" w:line="57" w:lineRule="exact"/>
        <w:rPr>
          <w:rFonts w:ascii="Times New Roman" w:cs="Times New Roman" w:eastAsia="Times New Roman" w:hAnsi="Times New Roman"/>
          <w:sz w:val="18"/>
          <w:szCs w:val="18"/>
          <w:b w:val="1"/>
          <w:bCs w:val="1"/>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2021, we acquired Aquesta, a bank which operated a network of branches primarily located in the Charlotte, North Carolina metropolitan area. We acquired total assets of $756 million, including $498 million in loans, and we assumed $658 million in deposits as of the acquisition date.</w:t>
      </w:r>
    </w:p>
    <w:p>
      <w:pPr>
        <w:spacing w:after="0" w:line="71" w:lineRule="exact"/>
        <w:rPr>
          <w:rFonts w:ascii="Times New Roman" w:cs="Times New Roman" w:eastAsia="Times New Roman" w:hAnsi="Times New Roman"/>
          <w:sz w:val="18"/>
          <w:szCs w:val="18"/>
          <w:b w:val="1"/>
          <w:bCs w:val="1"/>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which expanded our Wealth Management division.</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Subsequent to year-end, on January 3, 2023, we completed the acquisition of Progress, a bank headquartered in Huntsville, Alabama that operates 13 offices in Alabama and the Florida Panhandle. As of December 31, 2022, Progress reported total assets of $1.76 billion, total loans of $1.48 billion and total deposits of $1.34 billion.</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Also subsequent to year-end, on February 13, 2023, we announced an agreement to acquire First Miami, a bank headquartered in South Miami, Florida. First Miami operates 3 offices in the Miami metropolitan area and, as of December 31, 2022, had total assets of $1.0 billion, total loans of $594 million, and total deposits of $867 million. In addition to traditional banking products, First Miami</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40" w:name="page41"/>
    <w:bookmarkEnd w:id="40"/>
    <w:p>
      <w:pPr>
        <w:jc w:val="both"/>
        <w:spacing w:after="0" w:line="274" w:lineRule="auto"/>
        <w:rPr>
          <w:sz w:val="20"/>
          <w:szCs w:val="20"/>
          <w:color w:val="auto"/>
        </w:rPr>
      </w:pPr>
      <w:r>
        <w:rPr>
          <w:rFonts w:ascii="Times New Roman" w:cs="Times New Roman" w:eastAsia="Times New Roman" w:hAnsi="Times New Roman"/>
          <w:sz w:val="18"/>
          <w:szCs w:val="18"/>
          <w:color w:val="auto"/>
        </w:rPr>
        <w:t>offers private banking, trust and wealth management services with approximately $312 million in assets under administration. The merger, which is subject to regulatory approval, the approval of First Miami shareholders, and other customary conditions, is expected to close in the third quarter of 2023.</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acquired entities’ results are included in our consolidated results beginning on the respective acquisition dates. We continue to evaluate potential transactions as opportunities arise.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LIBOR and Other Benchmark Rates</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to facilitate an orderly transition from Affected Benchmarks to ARRs, we maintain an enterprise-wide program to identify, assess and monitor risks associated with the expected discontinuation or non-representativeness of Affected Benchmarks. This program includes active involvement of senior management and regular reports through our risk management structure. Our activities are focused on operational implementation of the transition to ARRs, modification of financial contracts, internal and external communications, technology and operational system modifications and program strategy and governance. A significant majority of our derivative contracts and non-derivative contracts contain fallback provisions, fall within the scope of the Final Rule, or otherwise have an expected path that should allow for transition upon cessation of the Affected Benchmarks. Proactive efforts to transition Affected Benchmark-related arrangements in advance of cessation continue where applicable.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more information on the expected replacement of LIBOR and other benchmark rates, see Part I, Item 1A. Risk Factors – Interest Rate and Yield Curve Risks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reported net income of $277 million and net income - operating (non-GAAP) of $293 million in 2022. Net income - operating excludes merger related and other charges, which consists mostly of acquisition and branch closure costs. The following provides highlights of our financial results for 2022:</w:t>
      </w:r>
    </w:p>
    <w:p>
      <w:pPr>
        <w:spacing w:after="0" w:line="25" w:lineRule="exact"/>
        <w:rPr>
          <w:sz w:val="20"/>
          <w:szCs w:val="20"/>
          <w:color w:val="auto"/>
        </w:rPr>
      </w:pPr>
    </w:p>
    <w:p>
      <w:pPr>
        <w:jc w:val="both"/>
        <w:ind w:left="640" w:hanging="316"/>
        <w:spacing w:after="0" w:line="259"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recorded a provision for credit losses of $63.9 million compared to a release of provision expense of $37.6 million for 2021. Provision expense for 2022 included $18.3 million related to the establishment of the ACL for the acquired Reliant non-PCD loans and unfunded commitments. The negative provision in 2021 was mostly driven by a more favorable economic forecast as the effects of the COVID-19 pandemic subsided.</w:t>
      </w:r>
    </w:p>
    <w:p>
      <w:pPr>
        <w:spacing w:after="0" w:line="18"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2"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interest revenue increased $203 million, which reflects, in addition to organic loan growth, the impact of rising interest rates and the acquisitions of Reliant and Aquesta. During 2022, our net interest margin increased 31 basis points to 3.38% as the Federal Reserve increased the target federal funds rate by 425 basis points over the course of 2022, which allowed our loan yields to increase while we were able to slowly raise deposit rates and remain competitive. The widening net interest margin and the resulting increase in net interest revenue more than offset the $101 million increase in the provision for credit losses noted above.</w:t>
      </w:r>
    </w:p>
    <w:p>
      <w:pPr>
        <w:spacing w:after="0" w:line="26"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9"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Noninterest income for 2022 was down $20.1 million, or 13%, compared to 2021, which substantially resulted from lower mortgage fees which were down $25.9 million from 2021 reflecting the natural slowing of the mortgage origination business as a result of higher mortgage rates. The slowing of the mortgage origination business is reflected in the dollar amount of loans closed, which was $1.53 billion in 2022 compared with $2.43 billion in 2021. Our mortgage servicing business generally performs inversely to our origination business and provides a natural, albeit imperfect, hedge due to slowing prepayment of mortgages as rates rise. This resulted in less reduction in our mortgage servicing rights asset and a positive market value adjustment, which combined added $9.92 million to mortgage fees, offsetting some of the decline in the origination business. Securities losses of $3.87 million realized in 2022 also contributed to the decrease in noninterest income. Most other noninterest income sources were up from 2021 reflecting the acquisitions of FinTrust, Aquesta and Reliant as well as general business growth. See Tables 4 through 6 of MD&amp;A for further detail on noninterest income.</w:t>
      </w:r>
    </w:p>
    <w:p>
      <w:pPr>
        <w:spacing w:after="0" w:line="28"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2"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expenses increased $73.5 million, or 19%, compared to 2021, largely driven by the addition of FinTrust, Aquesta and Reliant operating expenses. Most notably, salaries and employee benefits increased $34.8 million, primarily due to growth in our employee base from acquisitions, partially offset by higher deferred loan origination costs from high loan production. Merger-related and other charges were up $5.41 million compared to 2021, which mostly reflects Reliant merger costs, including systems conversion. See Table 7 of MD&amp;A for further detail on noninterest expense.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GAAP and conform to general practices within the banking industry. Application of these principles requires management to make estimates, assumptions or judgments that affect the amounts reported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1" w:name="page42"/>
    <w:bookmarkEnd w:id="41"/>
    <w:p>
      <w:pPr>
        <w:jc w:val="both"/>
        <w:spacing w:after="0" w:line="274" w:lineRule="auto"/>
        <w:rPr>
          <w:sz w:val="20"/>
          <w:szCs w:val="20"/>
          <w:color w:val="auto"/>
        </w:rPr>
      </w:pPr>
      <w:r>
        <w:rPr>
          <w:rFonts w:ascii="Times New Roman" w:cs="Times New Roman" w:eastAsia="Times New Roman" w:hAnsi="Times New Roman"/>
          <w:sz w:val="18"/>
          <w:szCs w:val="18"/>
          <w:color w:val="auto"/>
        </w:rPr>
        <w:t>the financial statements and the accompanying notes. These estimates are based on information available as of the date of the financial statements; accordingly, as this information changes, the financial statements could reflect different estimates or judgments.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Estimates, assumptions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policies inherently have a greater reliance on the use of estimates, assumptions or judgments and as such, have a greater possibility of producing results that could be materially different than originally reported. We have identified the determination of our ACL and fair value measurements to be the accounting areas that require the most subjective or complex judgments, estimates and assumptions, and where changes in those judgments, estimates and assumptions (based on new or additional information, changes in the economic climate and/or market interest rates, etc.) could have a significant effect on our financial statements. Therefore, we consider these policies, discussed below, to be critical accounting estimates and discuss them directly with the Audit Committee of our Board.</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most significant accounting policies are presented in Note 1 to the accompanying consolidated financial statements. These policies, along with the disclosures presented in the other notes to the consolidated financial statements and in this MD&amp;A, provide information on how significant assets and liabilities are valued in the financial statements and how those values are determined.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ACL represents management’s current estimate of credit losses for the remaining estimated life of financial instruments, with particular applicability on our balance sheet to loans and unfunded loan commitments. Estimating the amount of the ACL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many factors affecting the ACL;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are worse than management estimates, additional provision for credit losses could be required that could adversely affect our earnings or financial position in future periods.</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information on the loan portfolio and ACL can be found in the sections of MD&amp;A titled “Asset Quality and Risk Elements” and “Nonperforming Assets.” Note 1 to the consolidated financial statements includes additional information on accounting policies related to the ACL.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2022, the percentage of our total assets measured at fair value on a recurring basis was 16%. See Note 15 “Fair Value Measurements” in the consolidated financial statements herein for additional disclosures regarding the fair value of our assets and liabilities, including a description of the fair value hierarchy.</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for AFS and HTM securities are generally based upon quoted market prices or observable market prices for similar instruments. Management utilizes a third-party pricing service to assist with determining the fair value of our securities portfolio. The pricing service uses observable inputs when available including benchmark yields, reported trades, broker-dealer quotes, issuer spreads, benchmark securities, bids and offers. These values take into account recent market activity as well as other market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2" w:name="page43"/>
    <w:bookmarkEnd w:id="42"/>
    <w:p>
      <w:pPr>
        <w:jc w:val="both"/>
        <w:spacing w:after="0" w:line="274" w:lineRule="auto"/>
        <w:rPr>
          <w:sz w:val="20"/>
          <w:szCs w:val="20"/>
          <w:color w:val="auto"/>
        </w:rPr>
      </w:pPr>
      <w:r>
        <w:rPr>
          <w:rFonts w:ascii="Times New Roman" w:cs="Times New Roman" w:eastAsia="Times New Roman" w:hAnsi="Times New Roman"/>
          <w:sz w:val="18"/>
          <w:szCs w:val="18"/>
          <w:color w:val="auto"/>
        </w:rPr>
        <w:t>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have elected the fair value option for the majority of our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as such is categorized as level 2.</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derivatives primarily to manage our interest rate risk or to help our customers manage their interest rate risk. The fair values of derivative financial instruments are determined based on quoted market prices, dealer quotes and internal pricing models that are primarily sensitive to market observable data. However, we do evaluate the level of these observable inputs and there are some instances where we have determined that the inputs are not directly observable.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we disclose them as a level 3 item.</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2022, we had level 3 assets, those valued using unobservable inputs, of $55.5 million. The total level 3 assets consisted of $36.6 million in residential mortgage servicing rights, $11.5 million in derivative assets, $5.19 million in servicing rights for SBA/USDA loans and $2.21 million of AFS debt securities. We also had level 3 derivative liabilities totaling $12.8 million.</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we may record assets at fair value on a nonrecurring basis, usually as a result of the write-downs of individual assets due to impairment. In particular, nonaccrual loans may be carried at the fair value of collateral if repayment is expected solely from the collateral. Although management believes its processes for determining the fair value of collateral-dependent loans are appropriate, the processes require management judgment and assumptions and the value of such assets at the time they are revalued or divested may be significantly different from management’s determination of fair value.</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business combinations, we measure and record assets acquired and liabilities assumed at fair value at the date of acquisition, including identifiable intangible assets. Note 1 to the consolidated financial statements includes additional information on accounting policies and estimates related to acquisition activities.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Selected Financial Information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SUMMARY</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813,155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578,794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557,996</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60,798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56,237</w:t>
            </w:r>
          </w:p>
        </w:tc>
      </w:tr>
      <w:tr>
        <w:trPr>
          <w:trHeight w:val="20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interest revenue</w:t>
            </w:r>
          </w:p>
        </w:tc>
        <w:tc>
          <w:tcPr>
            <w:tcW w:w="30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752,357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549,034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501,759</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(37,550)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80,434</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137,707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157,818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156,109</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826,151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744,402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577,434</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470,149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396,639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367,989</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356,002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347,763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209,445</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78,530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77,962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45,356</w:t>
            </w:r>
          </w:p>
        </w:tc>
      </w:tr>
      <w:tr>
        <w:trPr>
          <w:trHeight w:val="207"/>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277,472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269,801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164,089</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7,018</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of merger-related and other charges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(1,340)</w:t>
            </w:r>
          </w:p>
        </w:tc>
      </w:tr>
      <w:tr>
        <w:trPr>
          <w:trHeight w:val="205"/>
        </w:trPr>
        <w:tc>
          <w:tcPr>
            <w:tcW w:w="6980" w:type="dxa"/>
            <w:vAlign w:val="bottom"/>
          </w:tcPr>
          <w:p>
            <w:pPr>
              <w:ind w:left="22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Net income - operating </w:t>
            </w:r>
            <w:r>
              <w:rPr>
                <w:rFonts w:ascii="Times New Roman" w:cs="Times New Roman" w:eastAsia="Times New Roman" w:hAnsi="Times New Roman"/>
                <w:sz w:val="20"/>
                <w:szCs w:val="20"/>
                <w:b w:val="1"/>
                <w:bCs w:val="1"/>
                <w:color w:val="auto"/>
                <w:vertAlign w:val="superscript"/>
              </w:rPr>
              <w:t>(1)*</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292,601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280,597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169,767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MEASURES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Per common share: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net income - GAAP</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1.91</w:t>
            </w:r>
          </w:p>
        </w:tc>
      </w:tr>
      <w:tr>
        <w:trPr>
          <w:trHeight w:val="214"/>
        </w:trPr>
        <w:tc>
          <w:tcPr>
            <w:tcW w:w="698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Diluted net income - operating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cash dividends declared</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0.72</w:t>
            </w:r>
          </w:p>
        </w:tc>
      </w:tr>
      <w:tr>
        <w:trPr>
          <w:trHeight w:val="214"/>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Book value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21.90</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Tangible book value </w:t>
            </w:r>
            <w:r>
              <w:rPr>
                <w:rFonts w:ascii="Times New Roman" w:cs="Times New Roman" w:eastAsia="Times New Roman" w:hAnsi="Times New Roman"/>
                <w:sz w:val="20"/>
                <w:szCs w:val="20"/>
                <w:color w:val="auto"/>
                <w:vertAlign w:val="superscript"/>
              </w:rPr>
              <w:t>(3)*</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17.56</w:t>
            </w:r>
          </w:p>
        </w:tc>
      </w:tr>
      <w:tr>
        <w:trPr>
          <w:trHeight w:val="212"/>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Key Performance Ratios: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common equity - GAAP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9.25 %</w:t>
            </w:r>
          </w:p>
        </w:tc>
      </w:tr>
      <w:tr>
        <w:trPr>
          <w:trHeight w:val="212"/>
        </w:trPr>
        <w:tc>
          <w:tcPr>
            <w:tcW w:w="698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common equity - operating </w:t>
            </w:r>
            <w:r>
              <w:rPr>
                <w:rFonts w:ascii="Times New Roman" w:cs="Times New Roman" w:eastAsia="Times New Roman" w:hAnsi="Times New Roman"/>
                <w:sz w:val="20"/>
                <w:szCs w:val="20"/>
                <w:color w:val="auto"/>
                <w:vertAlign w:val="superscript"/>
              </w:rPr>
              <w:t>(1)(2)*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9.58</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tangible common equity - operating </w:t>
            </w:r>
            <w:r>
              <w:rPr>
                <w:rFonts w:ascii="Times New Roman" w:cs="Times New Roman" w:eastAsia="Times New Roman" w:hAnsi="Times New Roman"/>
                <w:sz w:val="20"/>
                <w:szCs w:val="20"/>
                <w:color w:val="auto"/>
                <w:vertAlign w:val="superscript"/>
              </w:rPr>
              <w:t>(1)(2)(3)*</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12.24</w:t>
            </w:r>
          </w:p>
        </w:tc>
      </w:tr>
      <w:tr>
        <w:trPr>
          <w:trHeight w:val="212"/>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on assets - GAAP</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6980" w:type="dxa"/>
            <w:vAlign w:val="bottom"/>
          </w:tcPr>
          <w:p>
            <w:pPr>
              <w:ind w:left="220"/>
              <w:spacing w:after="0" w:line="212" w:lineRule="exact"/>
              <w:rPr>
                <w:sz w:val="20"/>
                <w:szCs w:val="20"/>
                <w:color w:val="auto"/>
              </w:rPr>
            </w:pPr>
            <w:r>
              <w:rPr>
                <w:rFonts w:ascii="Times New Roman" w:cs="Times New Roman" w:eastAsia="Times New Roman" w:hAnsi="Times New Roman"/>
                <w:sz w:val="16"/>
                <w:szCs w:val="16"/>
                <w:color w:val="auto"/>
              </w:rPr>
              <w:t xml:space="preserve">Return on assets - operating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interest margin (FTE)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3.55</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Efficiency ratio - GAAP</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55.71</w:t>
            </w:r>
          </w:p>
        </w:tc>
      </w:tr>
      <w:tr>
        <w:trPr>
          <w:trHeight w:val="214"/>
        </w:trPr>
        <w:tc>
          <w:tcPr>
            <w:tcW w:w="698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Efficiency ratio - operating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54.64</w:t>
            </w:r>
          </w:p>
        </w:tc>
      </w:tr>
      <w:tr>
        <w:trPr>
          <w:trHeight w:val="210"/>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to total assets</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11.29</w:t>
            </w:r>
          </w:p>
        </w:tc>
      </w:tr>
      <w:tr>
        <w:trPr>
          <w:trHeight w:val="214"/>
        </w:trPr>
        <w:tc>
          <w:tcPr>
            <w:tcW w:w="698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Tangible common equity to tangible assets </w:t>
            </w:r>
            <w:r>
              <w:rPr>
                <w:rFonts w:ascii="Times New Roman" w:cs="Times New Roman" w:eastAsia="Times New Roman" w:hAnsi="Times New Roman"/>
                <w:sz w:val="20"/>
                <w:szCs w:val="20"/>
                <w:color w:val="auto"/>
                <w:vertAlign w:val="superscript"/>
              </w:rPr>
              <w:t>(3)*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8.81</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NPAs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62,246</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159,357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102,532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137,010</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charge-offs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18,316</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loans to loans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charge-offs to average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0.17</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NPAs to total assets</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0.35</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AT PERIOD END </w:t>
            </w:r>
            <w:r>
              <w:rPr>
                <w:rFonts w:ascii="Times New Roman" w:cs="Times New Roman" w:eastAsia="Times New Roman" w:hAnsi="Times New Roman"/>
                <w:sz w:val="16"/>
                <w:szCs w:val="16"/>
                <w:b w:val="1"/>
                <w:bCs w:val="1"/>
                <w:i w:val="1"/>
                <w:iCs w:val="1"/>
                <w:color w:val="auto"/>
              </w:rPr>
              <w:t>($ in millions)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11,760</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11,371</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3,645</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20,947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17,794</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15,232</w:t>
            </w: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2,008</w:t>
            </w:r>
          </w:p>
        </w:tc>
      </w:tr>
      <w:tr>
        <w:trPr>
          <w:trHeight w:val="21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Common shares outstanding </w:t>
            </w:r>
            <w:r>
              <w:rPr>
                <w:rFonts w:ascii="Times New Roman" w:cs="Times New Roman" w:eastAsia="Times New Roman" w:hAnsi="Times New Roman"/>
                <w:sz w:val="16"/>
                <w:szCs w:val="16"/>
                <w:i w:val="1"/>
                <w:iCs w:val="1"/>
                <w:color w:val="auto"/>
              </w:rPr>
              <w:t>(thousands)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86,675</w:t>
            </w:r>
          </w:p>
        </w:tc>
      </w:tr>
    </w:tbl>
    <w:p>
      <w:pPr>
        <w:spacing w:after="0" w:line="306" w:lineRule="exact"/>
        <w:rPr>
          <w:sz w:val="20"/>
          <w:szCs w:val="20"/>
          <w:color w:val="auto"/>
        </w:rPr>
      </w:pPr>
    </w:p>
    <w:p>
      <w:pPr>
        <w:ind w:firstLine="6"/>
        <w:spacing w:after="0" w:line="241" w:lineRule="auto"/>
        <w:tabs>
          <w:tab w:leader="none" w:pos="143"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Excludes merger-related and other charges.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Net income less preferred stock dividends, divided by average realized common equity, which excludes AOCI. </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3"/>
          <w:szCs w:val="13"/>
          <w:color w:val="auto"/>
        </w:rPr>
        <w:t xml:space="preserve"> Excludes effect of acquisition related intangibles and associated amortization.</w:t>
      </w:r>
    </w:p>
    <w:p>
      <w:pPr>
        <w:spacing w:after="0" w:line="41" w:lineRule="exact"/>
        <w:rPr>
          <w:sz w:val="20"/>
          <w:szCs w:val="20"/>
          <w:color w:val="auto"/>
        </w:rPr>
      </w:pPr>
    </w:p>
    <w:p>
      <w:pPr>
        <w:ind w:firstLine="6"/>
        <w:spacing w:after="0" w:line="290" w:lineRule="auto"/>
        <w:tabs>
          <w:tab w:leader="none" w:pos="11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measure. See reconciliation of non-GAAP measures to related GAAP financial measures on the following page. For more information, see “GAAP Reconciliation and Explanation” in the MD&amp;A section of this Report.</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(Continued) - Non-GAAP Performance Measures Reconciliation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 reconciliation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expenses (GAAP)</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470,149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396,639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367,989</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(19,375)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(13,970)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(7,018)</w:t>
            </w:r>
          </w:p>
        </w:tc>
      </w:tr>
      <w:tr>
        <w:trPr>
          <w:trHeight w:val="179"/>
        </w:trPr>
        <w:tc>
          <w:tcPr>
            <w:tcW w:w="7300" w:type="dxa"/>
            <w:vAlign w:val="bottom"/>
          </w:tcPr>
          <w:p>
            <w:pPr>
              <w:ind w:left="220"/>
              <w:spacing w:after="0" w:line="179" w:lineRule="exact"/>
              <w:rPr>
                <w:sz w:val="20"/>
                <w:szCs w:val="20"/>
                <w:color w:val="auto"/>
              </w:rPr>
            </w:pPr>
            <w:r>
              <w:rPr>
                <w:rFonts w:ascii="Times New Roman" w:cs="Times New Roman" w:eastAsia="Times New Roman" w:hAnsi="Times New Roman"/>
                <w:sz w:val="16"/>
                <w:szCs w:val="16"/>
                <w:color w:val="auto"/>
              </w:rPr>
              <w:t>Noninterest expenses - operating</w:t>
            </w: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450,774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382,669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360,971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9"/>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(GAAP)</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277,472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269,801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164,089</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7,018</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of merger-related and other charges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(1,340)</w:t>
            </w:r>
          </w:p>
        </w:tc>
      </w:tr>
      <w:tr>
        <w:trPr>
          <w:trHeight w:val="179"/>
        </w:trPr>
        <w:tc>
          <w:tcPr>
            <w:tcW w:w="7300" w:type="dxa"/>
            <w:vAlign w:val="bottom"/>
          </w:tcPr>
          <w:p>
            <w:pPr>
              <w:ind w:left="220"/>
              <w:spacing w:after="0" w:line="179" w:lineRule="exact"/>
              <w:rPr>
                <w:sz w:val="20"/>
                <w:szCs w:val="20"/>
                <w:color w:val="auto"/>
              </w:rPr>
            </w:pPr>
            <w:r>
              <w:rPr>
                <w:rFonts w:ascii="Times New Roman" w:cs="Times New Roman" w:eastAsia="Times New Roman" w:hAnsi="Times New Roman"/>
                <w:sz w:val="16"/>
                <w:szCs w:val="16"/>
                <w:color w:val="auto"/>
              </w:rPr>
              <w:t>Net income - operating</w:t>
            </w: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292,601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280,597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169,767</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common share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 (GAAP)</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1.91</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0.07</w:t>
            </w:r>
          </w:p>
        </w:tc>
      </w:tr>
      <w:tr>
        <w:trPr>
          <w:trHeight w:val="206"/>
        </w:trPr>
        <w:tc>
          <w:tcPr>
            <w:tcW w:w="7300" w:type="dxa"/>
            <w:vAlign w:val="bottom"/>
            <w:tcBorders>
              <w:bottom w:val="single" w:sz="8" w:color="CCEEFF"/>
            </w:tcBorders>
            <w:shd w:val="clear" w:color="auto" w:fill="CCEEFF"/>
          </w:tcPr>
          <w:p>
            <w:pPr>
              <w:ind w:left="220"/>
              <w:spacing w:after="0" w:line="181" w:lineRule="exact"/>
              <w:rPr>
                <w:sz w:val="20"/>
                <w:szCs w:val="20"/>
                <w:color w:val="auto"/>
              </w:rPr>
            </w:pPr>
            <w:r>
              <w:rPr>
                <w:rFonts w:ascii="Times New Roman" w:cs="Times New Roman" w:eastAsia="Times New Roman" w:hAnsi="Times New Roman"/>
                <w:sz w:val="16"/>
                <w:szCs w:val="16"/>
                <w:color w:val="auto"/>
              </w:rPr>
              <w:t>Diluted income per common share - operating</w:t>
            </w:r>
          </w:p>
        </w:tc>
        <w:tc>
          <w:tcPr>
            <w:tcW w:w="280" w:type="dxa"/>
            <w:vAlign w:val="bottom"/>
            <w:tcBorders>
              <w:bottom w:val="single" w:sz="8" w:color="auto"/>
            </w:tcBorders>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1.98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Book value per common share reconciliation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common share (GAAP)</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21.90</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(4.34)</w:t>
            </w:r>
          </w:p>
        </w:tc>
      </w:tr>
      <w:tr>
        <w:trPr>
          <w:trHeight w:val="179"/>
        </w:trPr>
        <w:tc>
          <w:tcPr>
            <w:tcW w:w="7300" w:type="dxa"/>
            <w:vAlign w:val="bottom"/>
          </w:tcPr>
          <w:p>
            <w:pPr>
              <w:ind w:left="220"/>
              <w:spacing w:after="0" w:line="179" w:lineRule="exact"/>
              <w:rPr>
                <w:sz w:val="20"/>
                <w:szCs w:val="20"/>
                <w:color w:val="auto"/>
              </w:rPr>
            </w:pPr>
            <w:r>
              <w:rPr>
                <w:rFonts w:ascii="Times New Roman" w:cs="Times New Roman" w:eastAsia="Times New Roman" w:hAnsi="Times New Roman"/>
                <w:sz w:val="16"/>
                <w:szCs w:val="16"/>
                <w:color w:val="auto"/>
              </w:rPr>
              <w:t>Tangible book value per common share</w:t>
            </w: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18.42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17.56</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tangible common equity reconciliation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common equity (GAAP)</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9.25 %</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0.33</w:t>
            </w:r>
          </w:p>
        </w:tc>
      </w:tr>
      <w:tr>
        <w:trPr>
          <w:trHeight w:val="20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common equity - operating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9.58</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2.66</w:t>
            </w:r>
          </w:p>
        </w:tc>
      </w:tr>
      <w:tr>
        <w:trPr>
          <w:trHeight w:val="206"/>
        </w:trPr>
        <w:tc>
          <w:tcPr>
            <w:tcW w:w="7300" w:type="dxa"/>
            <w:vAlign w:val="bottom"/>
            <w:tcBorders>
              <w:bottom w:val="single" w:sz="8" w:color="CCEEFF"/>
            </w:tcBorders>
            <w:shd w:val="clear" w:color="auto" w:fill="CCEEFF"/>
          </w:tcPr>
          <w:p>
            <w:pPr>
              <w:ind w:left="220"/>
              <w:spacing w:after="0" w:line="181" w:lineRule="exact"/>
              <w:rPr>
                <w:sz w:val="20"/>
                <w:szCs w:val="20"/>
                <w:color w:val="auto"/>
              </w:rPr>
            </w:pPr>
            <w:r>
              <w:rPr>
                <w:rFonts w:ascii="Times New Roman" w:cs="Times New Roman" w:eastAsia="Times New Roman" w:hAnsi="Times New Roman"/>
                <w:sz w:val="16"/>
                <w:szCs w:val="16"/>
                <w:color w:val="auto"/>
              </w:rPr>
              <w:t>Return on tangible common equity - operating</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14.04 %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17.33 %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12.24 %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1">
            <w:col w:w="11240"/>
          </w:cols>
          <w:pgMar w:left="320" w:top="914" w:right="339" w:bottom="1440" w:gutter="0" w:footer="0" w:header="0"/>
        </w:sectPr>
      </w:pPr>
    </w:p>
    <w:p>
      <w:pPr>
        <w:ind w:left="20"/>
        <w:spacing w:after="0"/>
        <w:rPr>
          <w:sz w:val="20"/>
          <w:szCs w:val="20"/>
          <w:color w:val="auto"/>
        </w:rPr>
      </w:pPr>
      <w:r>
        <w:rPr>
          <w:rFonts w:ascii="Times New Roman" w:cs="Times New Roman" w:eastAsia="Times New Roman" w:hAnsi="Times New Roman"/>
          <w:sz w:val="15"/>
          <w:szCs w:val="15"/>
          <w:b w:val="1"/>
          <w:bCs w:val="1"/>
          <w:color w:val="auto"/>
        </w:rPr>
        <w:t>Return on assets reconciliation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Return on assets (GAAP)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Return on assets - operating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12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1.04 %</w:t>
            </w:r>
          </w:p>
        </w:tc>
      </w:tr>
      <w:tr>
        <w:trPr>
          <w:trHeight w:val="215"/>
        </w:trPr>
        <w:tc>
          <w:tcPr>
            <w:tcW w:w="1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0.03</w:t>
            </w:r>
          </w:p>
        </w:tc>
      </w:tr>
      <w:tr>
        <w:trPr>
          <w:trHeight w:val="206"/>
        </w:trPr>
        <w:tc>
          <w:tcPr>
            <w:tcW w:w="1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1.07 %</w:t>
            </w: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-579755</wp:posOffset>
            </wp:positionV>
            <wp:extent cx="7134860" cy="134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-310515</wp:posOffset>
            </wp:positionV>
            <wp:extent cx="7134860" cy="13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-16510</wp:posOffset>
            </wp:positionV>
            <wp:extent cx="713486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580" w:space="720"/>
            <w:col w:w="3940"/>
          </w:cols>
          <w:pgMar w:left="320" w:top="9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Efficiency ratio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Efficiency ratio (GAAP)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Efficiency ratio - operating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52.31 %</w:t>
            </w:r>
          </w:p>
        </w:tc>
        <w:tc>
          <w:tcPr>
            <w:tcW w:w="100" w:type="dxa"/>
            <w:vAlign w:val="bottom"/>
          </w:tcPr>
          <w:p>
            <w:pPr>
              <w:spacing w:after="0"/>
              <w:rPr>
                <w:sz w:val="18"/>
                <w:szCs w:val="18"/>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55.80 %</w:t>
            </w:r>
          </w:p>
        </w:tc>
        <w:tc>
          <w:tcPr>
            <w:tcW w:w="10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55.71 %</w:t>
            </w:r>
          </w:p>
        </w:tc>
      </w:tr>
      <w:tr>
        <w:trPr>
          <w:trHeight w:val="215"/>
        </w:trPr>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(1.07)</w:t>
            </w:r>
          </w:p>
        </w:tc>
      </w:tr>
      <w:tr>
        <w:trPr>
          <w:trHeight w:val="206"/>
        </w:trPr>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50.16 %</w:t>
            </w: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53.83 %</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54.64 %</w:t>
            </w: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-445135</wp:posOffset>
            </wp:positionV>
            <wp:extent cx="7134860" cy="134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-175895</wp:posOffset>
            </wp:positionV>
            <wp:extent cx="7134860" cy="160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580" w:space="720"/>
            <w:col w:w="3940"/>
          </w:cols>
          <w:pgMar w:left="320" w:top="91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to tangible assets reconciliation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to assets (GAAP)</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11.29 %</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goodwill and other intangibles</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(1.94)</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preferred equity</w:t>
            </w: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(0.54)</w:t>
            </w:r>
          </w:p>
        </w:tc>
      </w:tr>
      <w:tr>
        <w:trPr>
          <w:trHeight w:val="232"/>
        </w:trPr>
        <w:tc>
          <w:tcPr>
            <w:tcW w:w="7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Tangible common equity to tangible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7.88 %</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8.09 %</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revenue. Management seeks to optimize this revenue while balancing interest rate, credit, and liquidity risks. The banking industry uses two key ratios to measure relative profitability of net interest revenue, which are the net interest spread and the net interest margin. The net interest spread measures the difference between the average yield on interest-earning assets and the average rate paid on interest-bearing liabilities. The net interest spread eliminates the effect of noninterest-earning assets as well as noninterest-bearing deposits and other noninterest-bearing funding sources and gives a direct perspective on the effect of market interest rate movements. The net interest margin is an indication of the profitability of a company’s balance sheet and is defined as net interest revenue as a percentage of total average interest-earning assets, which includes the positive effect of funding a portion of interest-earning assets with noninterest-bearing deposits and shareholders’ equity.</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interest revenue for 2022 was $752 million, compared to $549 million for 2021. The net interest spread was 3.18% and 2.96% for 2022 and 2021, respectively, while the net interest margin was 3.38% and 3.07%, respectively. The following tables indicate the relationship between interest revenue and expense and the average amounts of assets and liabilities, which provide further insight into net interest spread and net interest margin for the periods indicated. The following discussion provides additional detail on the average balances and net interest revenue for the years ended December 31, 2022 and 2021.</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 2022, we reported a $235 million, or 40%, increase in FTE interest revenue compared to 2021. The main driver of the increase was the impact of rising interest rates on our asset sensitive balance sheet resulting from the Federal Reserve’s 425 basis point increase in the target federal funds rate. We were able to control the increase in interest rates on deposits while benefiting from increases in interest rates in our interest-earning assets, leading our net interest margin to expand by 31 basis points. Growth in average loans for the year ended December 31, 2022 of $3.09 billion, or 27%, compared to 2021 also contributed to the increase in interest revenue. The acquisitions of Reliant and Aquesta contributed $2.25 billion and $320 million, respectively, to the increase in average loans. PPP loan forgiveness, which resulted in a $368 million decrease in average loans for 2022 compared to 2021, partially offset net loan growth. Loan interest revenue included PPP-related interest income and accelerated recognition of deferred fees upon loan forgiveness and purchased loan accretion, which decreased $40.3 million and $10.3 million, respectively, in 2022 compared to 2021. These decreases in loan interest revenue were more than offset by the effect of rising interest rates and increased volume.</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Controlling the increase in interest expense while maintaining liquidity was a key aspect of our 2022 margin expansion. In 2020 and 2021, we experienced significant deposit growth, which allowed us to grow our investment portfolio with the surplus liquidity. Much of this deposit growth appeared to be related to the pandemic, which we believed would eventually leave the bank as conditions returned to normal. As interest rates began to rise, our interest earning assets began to reprice faster than our cost of funds leading to the widening of our net interest margin. However, later in the year, we saw deposit balances begin to leave the bank as customers could achieve better returns in other investments. To address deposit balance attrition, we raised deposit pricing, which contributed to an increase in deposit interest expense of $27.3 million in 2022 compared to 2021, and we relied more heavily on wholesale funding sources to meet our short-term funding needs. These factors caused our cost of funds to increase and slowed the margin expansion. The average balance of interest-bearing deposits increased $2.35 billion for the year ended December 31, 2022 compared to 2021, mostly as a result of the acquisitions of Reliant and Aquesta.</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noted above, we began using wholesale funding sources to meet our short-term liquidity needs. The daily average balance of FHLB advances and short-term borrowings for 2022 were $34.0 million and $13.0 million, respectively. Our use of wholesale funding increased toward the end of 2022, with the year-end balances of FHLB advances and short-term borrowings rising to $550 million and $159 million, respectively. This shift in funding mix toward more expensive wholesale sources contributed to the 19 basis point increase in the average rate on interest-bearing liabilities from 2021 to 2022.</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6" w:name="page47"/>
    <w:bookmarkEnd w:id="46"/>
    <w:p>
      <w:pPr>
        <w:ind w:left="10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Margin Analysis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(in thousands, FTE)</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w w:val="99"/>
              </w:rPr>
              <w:t>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220"/>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45"/>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220"/>
              <w:spacing w:after="0" w:line="144" w:lineRule="exact"/>
              <w:rPr>
                <w:sz w:val="20"/>
                <w:szCs w:val="20"/>
                <w:color w:val="auto"/>
              </w:rPr>
            </w:pPr>
            <w:r>
              <w:rPr>
                <w:rFonts w:ascii="Times New Roman" w:cs="Times New Roman" w:eastAsia="Times New Roman" w:hAnsi="Times New Roman"/>
                <w:sz w:val="15"/>
                <w:szCs w:val="15"/>
                <w:b w:val="1"/>
                <w:bCs w:val="1"/>
                <w:color w:val="auto"/>
              </w:rPr>
              <w:t>Avg.</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Rate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0" w:type="dxa"/>
            <w:vAlign w:val="bottom"/>
          </w:tcPr>
          <w:p>
            <w:pPr>
              <w:spacing w:after="0"/>
              <w:rPr>
                <w:sz w:val="1"/>
                <w:szCs w:val="1"/>
                <w:color w:val="auto"/>
              </w:rPr>
            </w:pPr>
          </w:p>
        </w:tc>
      </w:tr>
      <w:tr>
        <w:trPr>
          <w:trHeight w:val="197"/>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Interest-earning assets: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5"/>
                <w:szCs w:val="15"/>
                <w:color w:val="auto"/>
                <w:w w:val="99"/>
              </w:rPr>
              <w:t xml:space="preserve">Loans, net of unearned income (FTE) </w:t>
            </w:r>
            <w:r>
              <w:rPr>
                <w:rFonts w:ascii="Times New Roman" w:cs="Times New Roman" w:eastAsia="Times New Roman" w:hAnsi="Times New Roman"/>
                <w:sz w:val="19"/>
                <w:szCs w:val="19"/>
                <w:color w:val="auto"/>
                <w:w w:val="99"/>
                <w:vertAlign w:val="superscript"/>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14,571,746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673,491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8"/>
              </w:rPr>
              <w:t>4.62 %</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11,485,876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504,015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4.39 %</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10,466,653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492,223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8"/>
              </w:rPr>
              <w:t>4.70 %</w:t>
            </w:r>
          </w:p>
        </w:tc>
        <w:tc>
          <w:tcPr>
            <w:tcW w:w="0" w:type="dxa"/>
            <w:vAlign w:val="bottom"/>
          </w:tcPr>
          <w:p>
            <w:pPr>
              <w:spacing w:after="0"/>
              <w:rPr>
                <w:sz w:val="1"/>
                <w:szCs w:val="1"/>
                <w:color w:val="auto"/>
              </w:rPr>
            </w:pPr>
          </w:p>
        </w:tc>
      </w:tr>
      <w:tr>
        <w:trPr>
          <w:trHeight w:val="199"/>
        </w:trPr>
        <w:tc>
          <w:tcPr>
            <w:tcW w:w="2740" w:type="dxa"/>
            <w:vAlign w:val="bottom"/>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Taxable securities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6,284,603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121,501</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4,446,712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61,994</w:t>
            </w:r>
          </w:p>
        </w:tc>
        <w:tc>
          <w:tcPr>
            <w:tcW w:w="100" w:type="dxa"/>
            <w:vAlign w:val="bottom"/>
          </w:tcPr>
          <w:p>
            <w:pPr>
              <w:spacing w:after="0"/>
              <w:rPr>
                <w:sz w:val="17"/>
                <w:szCs w:val="17"/>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55,031</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Tax-exempt securities (FTE) </w:t>
            </w:r>
            <w:r>
              <w:rPr>
                <w:rFonts w:ascii="Times New Roman" w:cs="Times New Roman" w:eastAsia="Times New Roman" w:hAnsi="Times New Roman"/>
                <w:sz w:val="19"/>
                <w:szCs w:val="19"/>
                <w:color w:val="auto"/>
                <w:vertAlign w:val="superscript"/>
              </w:rPr>
              <w:t>(1)(3)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496,327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2.79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382,915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12,059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3.15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219,668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4.31</w:t>
            </w:r>
          </w:p>
        </w:tc>
        <w:tc>
          <w:tcPr>
            <w:tcW w:w="0" w:type="dxa"/>
            <w:vAlign w:val="bottom"/>
          </w:tcPr>
          <w:p>
            <w:pPr>
              <w:spacing w:after="0"/>
              <w:rPr>
                <w:sz w:val="1"/>
                <w:szCs w:val="1"/>
                <w:color w:val="auto"/>
              </w:rPr>
            </w:pPr>
          </w:p>
        </w:tc>
      </w:tr>
      <w:tr>
        <w:trPr>
          <w:trHeight w:val="146"/>
        </w:trPr>
        <w:tc>
          <w:tcPr>
            <w:tcW w:w="2740" w:type="dxa"/>
            <w:vAlign w:val="bottom"/>
          </w:tcPr>
          <w:p>
            <w:pPr>
              <w:ind w:left="140"/>
              <w:spacing w:after="0" w:line="146" w:lineRule="exact"/>
              <w:rPr>
                <w:sz w:val="20"/>
                <w:szCs w:val="20"/>
                <w:color w:val="auto"/>
              </w:rPr>
            </w:pPr>
            <w:r>
              <w:rPr>
                <w:rFonts w:ascii="Times New Roman" w:cs="Times New Roman" w:eastAsia="Times New Roman" w:hAnsi="Times New Roman"/>
                <w:sz w:val="15"/>
                <w:szCs w:val="15"/>
                <w:color w:val="auto"/>
              </w:rPr>
              <w:t>Federal funds sold and other interest-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earning assets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1,065,057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9,104</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0.85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1,680,151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4,784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105"/>
              <w:spacing w:after="0"/>
              <w:rPr>
                <w:sz w:val="20"/>
                <w:szCs w:val="20"/>
                <w:color w:val="auto"/>
              </w:rPr>
            </w:pPr>
            <w:r>
              <w:rPr>
                <w:rFonts w:ascii="Times New Roman" w:cs="Times New Roman" w:eastAsia="Times New Roman" w:hAnsi="Times New Roman"/>
                <w:sz w:val="15"/>
                <w:szCs w:val="15"/>
                <w:color w:val="auto"/>
              </w:rPr>
              <w:t>0.28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1,007,059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0.47</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interest-earning assets (FTE)</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22,417,733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817,961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3.65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17,995,654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582,852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14,226,130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561,465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3.95</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Noninterest-earning assets: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due from banks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139,728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136,702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Premises and equipment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288,044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230,276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5"/>
                <w:szCs w:val="15"/>
                <w:color w:val="auto"/>
              </w:rPr>
              <w:t xml:space="preserve">Other assets </w:t>
            </w:r>
            <w:r>
              <w:rPr>
                <w:rFonts w:ascii="Times New Roman" w:cs="Times New Roman" w:eastAsia="Times New Roman" w:hAnsi="Times New Roman"/>
                <w:sz w:val="19"/>
                <w:szCs w:val="19"/>
                <w:color w:val="auto"/>
                <w:vertAlign w:val="superscript"/>
              </w:rPr>
              <w:t>(3)</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1,275,263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1,013,956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993,584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24,050,748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19,258,028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15,467,355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Interest-bearing liabilities: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Interest-bearing deposits: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NOW and 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4,486,263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0.39</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3,610,601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5,468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0.15</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2,759,383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0.28</w:t>
            </w:r>
          </w:p>
        </w:tc>
        <w:tc>
          <w:tcPr>
            <w:tcW w:w="0" w:type="dxa"/>
            <w:vAlign w:val="bottom"/>
          </w:tcPr>
          <w:p>
            <w:pPr>
              <w:spacing w:after="0"/>
              <w:rPr>
                <w:sz w:val="1"/>
                <w:szCs w:val="1"/>
                <w:color w:val="auto"/>
              </w:rPr>
            </w:pPr>
          </w:p>
        </w:tc>
      </w:tr>
      <w:tr>
        <w:trPr>
          <w:trHeight w:val="196"/>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Money market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4,900,667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18,274</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0.37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3,972,358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5,380</w:t>
            </w:r>
          </w:p>
        </w:tc>
        <w:tc>
          <w:tcPr>
            <w:tcW w:w="100" w:type="dxa"/>
            <w:vAlign w:val="bottom"/>
          </w:tcPr>
          <w:p>
            <w:pPr>
              <w:spacing w:after="0"/>
              <w:rPr>
                <w:sz w:val="17"/>
                <w:szCs w:val="17"/>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0.14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3,023,928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13,165</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0.44</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Savings deposits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1,482,599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1,095,071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821,344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0.02</w:t>
            </w:r>
          </w:p>
        </w:tc>
        <w:tc>
          <w:tcPr>
            <w:tcW w:w="0" w:type="dxa"/>
            <w:vAlign w:val="bottom"/>
          </w:tcPr>
          <w:p>
            <w:pPr>
              <w:spacing w:after="0"/>
              <w:rPr>
                <w:sz w:val="1"/>
                <w:szCs w:val="1"/>
                <w:color w:val="auto"/>
              </w:rPr>
            </w:pPr>
          </w:p>
        </w:tc>
      </w:tr>
      <w:tr>
        <w:trPr>
          <w:trHeight w:val="196"/>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1,693,307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5,152</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0.30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1,529,072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3,663</w:t>
            </w:r>
          </w:p>
        </w:tc>
        <w:tc>
          <w:tcPr>
            <w:tcW w:w="100" w:type="dxa"/>
            <w:vAlign w:val="bottom"/>
          </w:tcPr>
          <w:p>
            <w:pPr>
              <w:spacing w:after="0"/>
              <w:rPr>
                <w:sz w:val="17"/>
                <w:szCs w:val="17"/>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1,832,319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20,146</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Brokered deposits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67,230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97,788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0.57</w:t>
            </w: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interest-bearing deposits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12,624,472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42,099</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0.33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10,274,332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14,845</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ind w:right="105"/>
              <w:spacing w:after="0"/>
              <w:rPr>
                <w:sz w:val="20"/>
                <w:szCs w:val="20"/>
                <w:color w:val="auto"/>
              </w:rPr>
            </w:pPr>
            <w:r>
              <w:rPr>
                <w:rFonts w:ascii="Times New Roman" w:cs="Times New Roman" w:eastAsia="Times New Roman" w:hAnsi="Times New Roman"/>
                <w:sz w:val="15"/>
                <w:szCs w:val="15"/>
                <w:color w:val="auto"/>
              </w:rPr>
              <w:t>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8,534,762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41,772</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0.49</w:t>
            </w:r>
          </w:p>
        </w:tc>
        <w:tc>
          <w:tcPr>
            <w:tcW w:w="0" w:type="dxa"/>
            <w:vAlign w:val="bottom"/>
          </w:tcPr>
          <w:p>
            <w:pPr>
              <w:spacing w:after="0"/>
              <w:rPr>
                <w:sz w:val="1"/>
                <w:szCs w:val="1"/>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Federal funds purchased and other</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borrowings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FHLB advances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1,424</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323,102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5.19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276,492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14,912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5.39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274,069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5.27</w:t>
            </w: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borrowed funds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370,133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18,699</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5.05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277,731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14,915</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ind w:right="105"/>
              <w:spacing w:after="0"/>
              <w:rPr>
                <w:sz w:val="20"/>
                <w:szCs w:val="20"/>
                <w:color w:val="auto"/>
              </w:rPr>
            </w:pPr>
            <w:r>
              <w:rPr>
                <w:rFonts w:ascii="Times New Roman" w:cs="Times New Roman" w:eastAsia="Times New Roman" w:hAnsi="Times New Roman"/>
                <w:sz w:val="15"/>
                <w:szCs w:val="15"/>
                <w:color w:val="auto"/>
              </w:rPr>
              <w:t>5.37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276,038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14,465</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interest-bearing liabilities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12,994,605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60,798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10,552,063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29,760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8,810,800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56,237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0.64</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Noninterest-bearing liabilities: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7,967,321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6,276,094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4,600,152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377,221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322,566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235,120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21,339,147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17,150,723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13,646,072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2,711,601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2,107,305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1,821,283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24,050,748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19,258,028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15,467,355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Net interest revenue (FTE)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757,163</w:t>
            </w: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CCEEFF"/>
              <w:bottom w:val="single" w:sz="8" w:color="CCEEFF"/>
            </w:tcBorders>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553,092</w:t>
            </w: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505,228</w:t>
            </w: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tcBorders>
              <w:bottom w:val="single" w:sz="8" w:color="CCEEFF"/>
            </w:tcBorders>
            <w:shd w:val="clear" w:color="auto" w:fill="CCEEFF"/>
          </w:tcPr>
          <w:p>
            <w:pPr>
              <w:ind w:left="140"/>
              <w:spacing w:after="0" w:line="165" w:lineRule="exact"/>
              <w:rPr>
                <w:sz w:val="20"/>
                <w:szCs w:val="20"/>
                <w:color w:val="auto"/>
              </w:rPr>
            </w:pPr>
            <w:r>
              <w:rPr>
                <w:rFonts w:ascii="Times New Roman" w:cs="Times New Roman" w:eastAsia="Times New Roman" w:hAnsi="Times New Roman"/>
                <w:sz w:val="15"/>
                <w:szCs w:val="15"/>
                <w:color w:val="auto"/>
              </w:rPr>
              <w:t>Net interest-rate spread (FTE)</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280"/>
              <w:spacing w:after="0" w:line="165" w:lineRule="exact"/>
              <w:rPr>
                <w:sz w:val="20"/>
                <w:szCs w:val="20"/>
                <w:color w:val="auto"/>
              </w:rPr>
            </w:pPr>
            <w:r>
              <w:rPr>
                <w:rFonts w:ascii="Times New Roman" w:cs="Times New Roman" w:eastAsia="Times New Roman" w:hAnsi="Times New Roman"/>
                <w:sz w:val="15"/>
                <w:szCs w:val="15"/>
                <w:color w:val="auto"/>
                <w:w w:val="98"/>
              </w:rPr>
              <w:t>3.18 %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2.96 %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280"/>
              <w:spacing w:after="0" w:line="165" w:lineRule="exact"/>
              <w:rPr>
                <w:sz w:val="20"/>
                <w:szCs w:val="20"/>
                <w:color w:val="auto"/>
              </w:rPr>
            </w:pPr>
            <w:r>
              <w:rPr>
                <w:rFonts w:ascii="Times New Roman" w:cs="Times New Roman" w:eastAsia="Times New Roman" w:hAnsi="Times New Roman"/>
                <w:sz w:val="15"/>
                <w:szCs w:val="15"/>
                <w:color w:val="auto"/>
                <w:w w:val="98"/>
              </w:rPr>
              <w:t>3.31 %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 xml:space="preserve">Net interest margin (FTE) </w:t>
            </w:r>
            <w:r>
              <w:rPr>
                <w:rFonts w:ascii="Times New Roman" w:cs="Times New Roman" w:eastAsia="Times New Roman" w:hAnsi="Times New Roman"/>
                <w:sz w:val="19"/>
                <w:szCs w:val="19"/>
                <w:color w:val="auto"/>
                <w:vertAlign w:val="superscript"/>
              </w:rPr>
              <w:t>(4)</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color w:val="auto"/>
                <w:w w:val="98"/>
              </w:rPr>
              <w:t>3.38 %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color w:val="auto"/>
                <w:w w:val="98"/>
              </w:rPr>
              <w:t>3.55 %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60" w:hanging="260"/>
        <w:spacing w:after="0" w:line="226" w:lineRule="auto"/>
        <w:tabs>
          <w:tab w:leader="none" w:pos="254"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Interest revenue on tax-exempt securities and loans has been increased to reflect comparable interest on taxable securities and loans. The rate used for each year was 26% reflecting the statutory federal rate and the federal tax adjusted state tax rate.</w:t>
      </w:r>
    </w:p>
    <w:p>
      <w:pPr>
        <w:ind w:left="260" w:hanging="260"/>
        <w:spacing w:after="0" w:line="187" w:lineRule="auto"/>
        <w:tabs>
          <w:tab w:leader="none" w:pos="2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the average balance of loans outstanding are loans where the accrual of interest has been discontinued.</w:t>
      </w:r>
    </w:p>
    <w:p>
      <w:pPr>
        <w:ind w:left="260" w:hanging="260"/>
        <w:spacing w:after="0" w:line="213" w:lineRule="auto"/>
        <w:tabs>
          <w:tab w:leader="none" w:pos="254"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Unrealized gains and losses, including those related to the transfer from AFS to HTM, have been reclassified to other assets. Pretax unrealized losses of $277 million in 2022 and pretax unrealized gains of $28.7 million and $67.3 million in 2021 and 2020, respectively, are included in other assets for purposes of this presentation.</w:t>
      </w:r>
    </w:p>
    <w:p>
      <w:pPr>
        <w:ind w:left="260" w:hanging="260"/>
        <w:spacing w:after="0" w:line="185" w:lineRule="auto"/>
        <w:tabs>
          <w:tab w:leader="none" w:pos="2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Net interest margin is taxable equivalent net interest revenue divided by average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914" w:right="339" w:bottom="1440" w:gutter="0" w:footer="0" w:header="0"/>
        </w:sectPr>
      </w:pPr>
    </w:p>
    <w:bookmarkStart w:id="47" w:name="page48"/>
    <w:bookmarkEnd w:id="47"/>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resulting from changes in the average outstanding balances (volume) of interest-earning assets and interest-bearing liabilities and the rates we earned and paid on such assets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 Change in Interest Revenue and Interest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FTE)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2022 Compared to 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2021 Compared to 2020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5"/>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480" w:type="dxa"/>
            <w:vAlign w:val="bottom"/>
            <w:gridSpan w:val="7"/>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Increase (decrease) due to changes</w:t>
            </w:r>
          </w:p>
        </w:tc>
        <w:tc>
          <w:tcPr>
            <w:tcW w:w="220" w:type="dxa"/>
            <w:vAlign w:val="bottom"/>
          </w:tcPr>
          <w:p>
            <w:pPr>
              <w:spacing w:after="0"/>
              <w:rPr>
                <w:sz w:val="13"/>
                <w:szCs w:val="13"/>
                <w:color w:val="auto"/>
              </w:rPr>
            </w:pPr>
          </w:p>
        </w:tc>
        <w:tc>
          <w:tcPr>
            <w:tcW w:w="9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changes in</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in</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40" w:type="dxa"/>
            <w:vAlign w:val="bottom"/>
          </w:tcPr>
          <w:p>
            <w:pPr>
              <w:spacing w:after="0"/>
              <w:rPr>
                <w:sz w:val="17"/>
                <w:szCs w:val="17"/>
                <w:color w:val="auto"/>
              </w:rPr>
            </w:pP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7"/>
                <w:szCs w:val="17"/>
                <w:color w:val="auto"/>
              </w:rPr>
            </w:pPr>
          </w:p>
        </w:tc>
        <w:tc>
          <w:tcPr>
            <w:tcW w:w="90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6"/>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141,433</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169,476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46,031</w:t>
            </w:r>
          </w:p>
        </w:tc>
        <w:tc>
          <w:tcPr>
            <w:tcW w:w="38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11,792</w:t>
            </w: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6,963</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2,601</w:t>
            </w: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235,109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85,536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21,387</w:t>
            </w: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w:t>
            </w: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27,254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(26,927)</w:t>
            </w:r>
          </w:p>
        </w:tc>
        <w:tc>
          <w:tcPr>
            <w:tcW w:w="0" w:type="dxa"/>
            <w:vAlign w:val="bottom"/>
          </w:tcPr>
          <w:p>
            <w:pPr>
              <w:spacing w:after="0"/>
              <w:rPr>
                <w:sz w:val="1"/>
                <w:szCs w:val="1"/>
                <w:color w:val="auto"/>
              </w:rPr>
            </w:pPr>
          </w:p>
        </w:tc>
      </w:tr>
      <w:tr>
        <w:trPr>
          <w:trHeight w:val="141"/>
        </w:trPr>
        <w:tc>
          <w:tcPr>
            <w:tcW w:w="38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Federal funds purchased and other short-term</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(26,477)</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Increase in net interest revenue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165,682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204,071</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83,175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47,864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variance attributable jointly to volume and rate changes is allocated to the volume and rate variance in proportion to the relationship of the absolute dollar amount of the change in each.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 We recorded a provision for credit losses of $63.9 million in 2022, compared to a release of provision expense of $37.6 million in 2021. The amount of provision recorded in each period was the amount required such that the total ACL reflected the appropriate balance as determined by management reflecting expected life of loan losses.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provision expense recorded during 2022 was primarily a result of a more negative economic forecast as of December 31, 2022 compared to that of the prior year, combined with higher net charge-offs recognized during the period. The 2022 provision expense included the initial provision for credit losses on Reliant’s non-PCD loans and unfunded commitments of $15.2 million and $3.12 million, respectively.</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negative provision expense for 2021 was primarily a result of an improved economic forecast combined with low net charge-offs recognized during the period. The negative provision was partially offset by provision expense for the initial ACL recognized on Aquesta’s non-PCD loans and unfunded commitments of $2.98 million and $287,000, respectively, during the fourth quarter of 2021.</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and “Critical Accounting Estimates” sections of this Report, as well as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24"/>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Income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2022-2021</w:t>
            </w:r>
          </w:p>
        </w:tc>
      </w:tr>
      <w:tr>
        <w:trPr>
          <w:trHeight w:val="194"/>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 and fees:</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ATM and debit card interchange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13,299</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8,302</w:t>
            </w:r>
          </w:p>
        </w:tc>
        <w:tc>
          <w:tcPr>
            <w:tcW w:w="154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32,401</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76,087</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(44)</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9,240</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from sales of other loans,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5,420</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8,028</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(losses) gains,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derivatives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6,392</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 gains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5,080</w:t>
            </w:r>
          </w:p>
        </w:tc>
        <w:tc>
          <w:tcPr>
            <w:tcW w:w="15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86</w:t>
            </w:r>
          </w:p>
        </w:tc>
      </w:tr>
      <w:tr>
        <w:trPr>
          <w:trHeight w:val="21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2,138</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9,840</w:t>
            </w:r>
          </w:p>
        </w:tc>
        <w:tc>
          <w:tcPr>
            <w:tcW w:w="154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24,185</w:t>
            </w:r>
          </w:p>
        </w:tc>
        <w:tc>
          <w:tcPr>
            <w:tcW w:w="1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157,818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156,109</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2022, total service charges and fees increased compared to 2021 primarily due to the addition of Reliant and Aquesta customers for the full year of 2022 in addition to increases in organic transaction volume. Growth in overdraft fees was partially moderated by the impact of updates to our consumer overdraft policy implemented in the fourth quarter of 2021. The policy updates included the addition of a fee forgiveness feature, an increase to the overdraft threshold and a lower daily fee item limit.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mortgage originations, gains on the sale of mortgages in the secondary market, mortgage derivative hedging gains and losses and fair value adjustments to our mortgage loans held for sale and our mortgage servicing asset. The change in mortgage income is strongly tied to the interest rate environment and industry conditions. We recognize the majority of income on mortgages when customers enter into mortgage rate lock commitments, making our mortgage rate lock volume a significant driver of mortgage gains in any given period.</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decrease in mortgage loan gains and related fees was primarily a result of tapering mortgage refinance and mortgage rate lock demand compared to 2021, as reflected in the following table. In addition, we held more of our mortgage production in portfolio in comparison to 2021, which contributed to the decrease in volume of loans sold. During 2022, we recorded $6.35 million in positive fair value adjustments, including decay, to the mortgage servicing rights asset, which partially offset the decrease in mortgage loan gains. In comparison, we recorded a negative fair value adjustment, including decay, to the mortgage servicing rights asset of $3.57 million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b w:val="1"/>
          <w:bCs w:val="1"/>
          <w:color w:val="auto"/>
        </w:rPr>
        <w:t>Table 5 - Selected Mortgage Metrics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4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6"/>
        </w:trPr>
        <w:tc>
          <w:tcPr>
            <w:tcW w:w="510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Mortgage rate locks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2,174,664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3,120,137</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(30)%</w:t>
            </w:r>
          </w:p>
        </w:tc>
        <w:tc>
          <w:tcPr>
            <w:tcW w:w="2300" w:type="dxa"/>
            <w:vAlign w:val="bottom"/>
            <w:tcBorders>
              <w:top w:val="single" w:sz="8" w:color="CCEEFF"/>
            </w:tcBorders>
            <w:shd w:val="clear" w:color="auto" w:fill="CCEEFF"/>
          </w:tcPr>
          <w:p>
            <w:pPr>
              <w:spacing w:after="0"/>
              <w:rPr>
                <w:sz w:val="17"/>
                <w:szCs w:val="17"/>
                <w:color w:val="auto"/>
              </w:rPr>
            </w:pPr>
          </w:p>
        </w:tc>
      </w:tr>
      <w:tr>
        <w:trPr>
          <w:trHeight w:val="210"/>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 of mortgage rate locks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8,956</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(38)</w:t>
            </w:r>
          </w:p>
        </w:tc>
        <w:tc>
          <w:tcPr>
            <w:tcW w:w="2300" w:type="dxa"/>
            <w:vAlign w:val="bottom"/>
          </w:tcPr>
          <w:p>
            <w:pPr>
              <w:spacing w:after="0"/>
              <w:rPr>
                <w:sz w:val="18"/>
                <w:szCs w:val="18"/>
                <w:color w:val="auto"/>
              </w:rPr>
            </w:pPr>
          </w:p>
        </w:tc>
      </w:tr>
      <w:tr>
        <w:trPr>
          <w:trHeight w:val="214"/>
        </w:trPr>
        <w:tc>
          <w:tcPr>
            <w:tcW w:w="5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0"/>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Mortgage loans sold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528,231</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1,347,105</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(61)</w:t>
            </w:r>
          </w:p>
        </w:tc>
        <w:tc>
          <w:tcPr>
            <w:tcW w:w="2300" w:type="dxa"/>
            <w:vAlign w:val="bottom"/>
          </w:tcPr>
          <w:p>
            <w:pPr>
              <w:spacing w:after="0"/>
              <w:rPr>
                <w:sz w:val="18"/>
                <w:szCs w:val="18"/>
                <w:color w:val="auto"/>
              </w:rPr>
            </w:pPr>
          </w:p>
        </w:tc>
      </w:tr>
      <w:tr>
        <w:trPr>
          <w:trHeight w:val="214"/>
        </w:trPr>
        <w:tc>
          <w:tcPr>
            <w:tcW w:w="510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 of mortgage loans sold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(62)</w:t>
            </w:r>
          </w:p>
        </w:tc>
        <w:tc>
          <w:tcPr>
            <w:tcW w:w="2300" w:type="dxa"/>
            <w:vAlign w:val="bottom"/>
            <w:shd w:val="clear" w:color="auto" w:fill="CCEEFF"/>
          </w:tcPr>
          <w:p>
            <w:pPr>
              <w:spacing w:after="0"/>
              <w:rPr>
                <w:sz w:val="18"/>
                <w:szCs w:val="18"/>
                <w:color w:val="auto"/>
              </w:rPr>
            </w:pPr>
          </w:p>
        </w:tc>
      </w:tr>
      <w:tr>
        <w:trPr>
          <w:trHeight w:val="212"/>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510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0"/>
        </w:trPr>
        <w:tc>
          <w:tcPr>
            <w:tcW w:w="510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1,193,713</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1,386,046</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(14)</w:t>
            </w:r>
          </w:p>
        </w:tc>
        <w:tc>
          <w:tcPr>
            <w:tcW w:w="2300" w:type="dxa"/>
            <w:vAlign w:val="bottom"/>
          </w:tcPr>
          <w:p>
            <w:pPr>
              <w:spacing w:after="0"/>
              <w:rPr>
                <w:sz w:val="18"/>
                <w:szCs w:val="18"/>
                <w:color w:val="auto"/>
              </w:rPr>
            </w:pPr>
          </w:p>
        </w:tc>
      </w:tr>
      <w:tr>
        <w:trPr>
          <w:trHeight w:val="212"/>
        </w:trPr>
        <w:tc>
          <w:tcPr>
            <w:tcW w:w="51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Refinances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336,649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1,039,192</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(68)</w:t>
            </w:r>
          </w:p>
        </w:tc>
        <w:tc>
          <w:tcPr>
            <w:tcW w:w="2300" w:type="dxa"/>
            <w:vAlign w:val="bottom"/>
            <w:shd w:val="clear" w:color="auto" w:fill="CCEEFF"/>
          </w:tcPr>
          <w:p>
            <w:pPr>
              <w:spacing w:after="0"/>
              <w:rPr>
                <w:sz w:val="18"/>
                <w:szCs w:val="18"/>
                <w:color w:val="auto"/>
              </w:rPr>
            </w:pPr>
          </w:p>
        </w:tc>
      </w:tr>
      <w:tr>
        <w:trPr>
          <w:trHeight w:val="207"/>
        </w:trPr>
        <w:tc>
          <w:tcPr>
            <w:tcW w:w="510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1,530,362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2,425,238</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(37)</w:t>
            </w:r>
          </w:p>
        </w:tc>
        <w:tc>
          <w:tcPr>
            <w:tcW w:w="2300" w:type="dxa"/>
            <w:vAlign w:val="bottom"/>
          </w:tcPr>
          <w:p>
            <w:pPr>
              <w:spacing w:after="0"/>
              <w:rPr>
                <w:sz w:val="18"/>
                <w:szCs w:val="18"/>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r>
      <w:tr>
        <w:trPr>
          <w:trHeight w:val="178"/>
        </w:trPr>
        <w:tc>
          <w:tcPr>
            <w:tcW w:w="5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08"/>
        </w:trPr>
        <w:tc>
          <w:tcPr>
            <w:tcW w:w="51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7,169</w:t>
            </w: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(45)</w:t>
            </w:r>
          </w:p>
        </w:tc>
        <w:tc>
          <w:tcPr>
            <w:tcW w:w="2300" w:type="dxa"/>
            <w:vAlign w:val="bottom"/>
          </w:tcPr>
          <w:p>
            <w:pPr>
              <w:spacing w:after="0"/>
              <w:rPr>
                <w:sz w:val="18"/>
                <w:szCs w:val="18"/>
                <w:color w:val="auto"/>
              </w:rPr>
            </w:pPr>
          </w:p>
        </w:tc>
      </w:tr>
    </w:tbl>
    <w:p>
      <w:pPr>
        <w:spacing w:after="0" w:line="3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based on market conditions. During 2022, we sold a higher volume of SBA and equipment financing receivables, although the gain on sale spread was lower than the prior year. The following table presents loans sold and corresponding gains recognized on SBA/USDA loans and other loans sold for the periods indicated.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6 - Other Loan Sales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204"/>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80" w:type="dxa"/>
            <w:vAlign w:val="bottom"/>
          </w:tcPr>
          <w:p>
            <w:pPr>
              <w:spacing w:after="0"/>
              <w:rPr>
                <w:sz w:val="17"/>
                <w:szCs w:val="17"/>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8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Gain</w:t>
            </w:r>
          </w:p>
        </w:tc>
        <w:tc>
          <w:tcPr>
            <w:tcW w:w="1380" w:type="dxa"/>
            <w:vAlign w:val="bottom"/>
          </w:tcPr>
          <w:p>
            <w:pPr>
              <w:spacing w:after="0"/>
              <w:rPr>
                <w:sz w:val="17"/>
                <w:szCs w:val="17"/>
                <w:color w:val="auto"/>
              </w:rPr>
            </w:pPr>
          </w:p>
        </w:tc>
      </w:tr>
      <w:tr>
        <w:trPr>
          <w:trHeight w:val="206"/>
        </w:trPr>
        <w:tc>
          <w:tcPr>
            <w:tcW w:w="4520" w:type="dxa"/>
            <w:vAlign w:val="bottom"/>
            <w:tcBorders>
              <w:top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w:t>
            </w:r>
          </w:p>
        </w:tc>
        <w:tc>
          <w:tcPr>
            <w:tcW w:w="1380" w:type="dxa"/>
            <w:vAlign w:val="bottom"/>
            <w:tcBorders>
              <w:top w:val="single" w:sz="8" w:color="CCEEFF"/>
            </w:tcBorders>
            <w:shd w:val="clear" w:color="auto" w:fill="CCEEFF"/>
          </w:tcPr>
          <w:p>
            <w:pPr>
              <w:spacing w:after="0"/>
              <w:rPr>
                <w:sz w:val="17"/>
                <w:szCs w:val="17"/>
                <w:color w:val="auto"/>
              </w:rPr>
            </w:pPr>
          </w:p>
        </w:tc>
      </w:tr>
      <w:tr>
        <w:trPr>
          <w:trHeight w:val="210"/>
        </w:trPr>
        <w:tc>
          <w:tcPr>
            <w:tcW w:w="452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380" w:type="dxa"/>
            <w:vAlign w:val="bottom"/>
            <w:tcBorders>
              <w:bottom w:val="single" w:sz="8" w:color="CCEEFF"/>
            </w:tcBorders>
          </w:tcPr>
          <w:p>
            <w:pPr>
              <w:spacing w:after="0"/>
              <w:rPr>
                <w:sz w:val="18"/>
                <w:szCs w:val="18"/>
                <w:color w:val="auto"/>
              </w:rPr>
            </w:pPr>
          </w:p>
        </w:tc>
      </w:tr>
      <w:tr>
        <w:trPr>
          <w:trHeight w:val="232"/>
        </w:trPr>
        <w:tc>
          <w:tcPr>
            <w:tcW w:w="452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1380" w:type="dxa"/>
            <w:vAlign w:val="bottom"/>
            <w:tcBorders>
              <w:bottom w:val="single" w:sz="8" w:color="CCEEFF"/>
            </w:tcBorders>
            <w:shd w:val="clear" w:color="auto" w:fill="CCEEFF"/>
          </w:tcPr>
          <w:p>
            <w:pPr>
              <w:spacing w:after="0"/>
              <w:rPr>
                <w:sz w:val="19"/>
                <w:szCs w:val="19"/>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increase in wealth management fees for 2022 compared to 2021 was largely due to the inclusion of FinTrust for the full year of 2022 compared with only six months of 2021. As of December 31, 2022, we had assets under management and assets under advisement totaling $4.30 billion, compared to $4.69 billion as of December 31,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noninterest income for 2022 compared to 2021 was primarily driven by the following factors:</w:t>
      </w:r>
    </w:p>
    <w:p>
      <w:pPr>
        <w:spacing w:after="0" w:line="124" w:lineRule="exact"/>
        <w:rPr>
          <w:sz w:val="20"/>
          <w:szCs w:val="20"/>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 performance in 2022 yielded net lower positive fair value adjustments when compared to 2021. Unrealized losses in our deferred compensation plan assets in 2022 compared to unrealized gains in 2021 were the main driver of the decrease, partially offset by increased unrealized gains on equity securities and limited partnership investments.</w:t>
      </w:r>
    </w:p>
    <w:p>
      <w:pPr>
        <w:spacing w:after="0" w:line="8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and loan servicing fees for 2022 increased compared to 2021, mostly due to volume-driven fee income from our equipment finance business, partially offset by negative fair value adjustments to our SBA/USDA servicing asset.</w:t>
      </w:r>
    </w:p>
    <w:p>
      <w:pPr>
        <w:spacing w:after="0" w:line="8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in 2022 compared to 2021 reflects income earned on BOLI policies acquired with Reliant as well as death benefits recognized.</w:t>
      </w:r>
    </w:p>
    <w:p>
      <w:pPr>
        <w:spacing w:after="0" w:line="70"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derivative income for 2022 decreased compared to 2021 due to rising interest rates negatively impacting the demand for customer derivative products. This was partially offset by improvements in the CVA on customer derivatives. The CVA improved due to rising interest rates, which lowered our overall credit exposure on customer derivative positions, and credit upgrades to underlying loans associated with the positions.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24"/>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7 - Noninterest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2022-2021</w:t>
            </w:r>
          </w:p>
        </w:tc>
      </w:tr>
      <w:tr>
        <w:trPr>
          <w:trHeight w:val="20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241,443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224,060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14 %</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25,791</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27,149</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18,032</w:t>
            </w:r>
          </w:p>
        </w:tc>
        <w:tc>
          <w:tcPr>
            <w:tcW w:w="15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10,993</w:t>
            </w:r>
          </w:p>
        </w:tc>
        <w:tc>
          <w:tcPr>
            <w:tcW w:w="1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7,513</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6,779</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15,203</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5,982</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4,168</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69</w:t>
            </w: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15,301</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excluding merger-related and other charges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450,774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360,971</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7,018</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470,149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367,989</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Noninterest expenses for 2022 totaled $470 million, up 19% from 2021. The addition of Reliant, FinTrust and Aquesta’s operating expenses for the full year of 2022 contributed to the increase, particularly in salaries and benefits and occupancy costs.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Salaries and employee benefits for 2022 increased $34.8 million compared to 2021. In addition to the growth in our employee base from acquisitions, the increase was also attributable to merit increases awarded during the second quarter of 2022 and a mid-year inflation-related salary adjustment for certain employees. These increases were partially offset by higher deferred loan origination costs resulting from increased loan production and lower deferred compensation plan expense driven by an unrealized loss on the investments in the plan. Full time equivalent headcount totaled 2,843 at December 31, 2022, up from 2,553 at December 31, 2021.</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Occupancy costs increased 27% in 2022 compared to 2021, primarily due to acquisitions. We operated 192 branches at December 31, 2022, compared to 171 branches at December 31, 2021. Communications and equipment expense increased primarily due to incremental software contract costs. The increase in outside services - electronic banking reflects higher volume-based ATM network and internet banking costs.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Advertising and public relations expense increased compared to 2021 as a result of charitable contributions made to the United Community Bank Foundation, new marketing campaigns, promotions and sponsorships. In 2022, we made a $650,000 contribution to the United Community Bank Foundation. FDIC assessments and other regulatory charges increased compared to 2021 as a result of the increase in our average total assets and an increase in our assessment rate. We expect FDIC assessment expense to continue to increase in 2023 as result of the FDIC’s announced assessment rate increase of 2 basis points. Amortization of intangibles increased with the additional customer deposit and customer relationship intangibles recorded as a result of the acquisitions since mid-2021.</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increase in other expense in 2022 was primarily due to an increase in travel and meals expense, as well as increases in fraud losses. Merger-related and other charges for 2022 were primarily related to the acquisition of Reliant, including its system conversion during the second quarter of 2022. Merger-related and other charges for 2021 primarily consisted of merger costs related to the acquisitions of FinTrust and Aquesta.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Total assets at December 31, 2022 were $24.0 billion, an increase of $3.06 billion, or 15%, from December 31, 2021. Total liabilities at December 31, 2022 were $21.3 billion, an increase of $2.58 billion, or 14% from December 31, 2021. Shareholders’ equity totaled $2.70 billion and $2.22 billion at December 31, 2022 and 2021, respectively. The following discussion of the major components of our balance sheet highlights significant activity resulting in the change in our financial condition between December 31, 2021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At December 31, 2022, total loans were $15.3 billion compared to $11.8 billion at December 31, 2021, an increase of 30%. The net increase in loans was primarily attributable to organic growth and loans acquired in the Reliant transaction of $2.32 billion. The following presents the composition of our loan portfolio as of the dates indicated.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 Portfolio Composition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2540</wp:posOffset>
            </wp:positionV>
            <wp:extent cx="5452110" cy="2945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294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maturity distribution of our loan portfolio, including the interest rate sensitivity for loans maturing after one year.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73% of all loans were secured by real estate at year-end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Maturity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Rate Structure for</w:t>
            </w: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ind w:left="180"/>
              <w:spacing w:after="0" w:line="159" w:lineRule="exact"/>
              <w:rPr>
                <w:sz w:val="20"/>
                <w:szCs w:val="20"/>
                <w:color w:val="auto"/>
              </w:rPr>
            </w:pPr>
            <w:r>
              <w:rPr>
                <w:rFonts w:ascii="Times New Roman" w:cs="Times New Roman" w:eastAsia="Times New Roman" w:hAnsi="Times New Roman"/>
                <w:sz w:val="16"/>
                <w:szCs w:val="16"/>
                <w:b w:val="1"/>
                <w:bCs w:val="1"/>
                <w:color w:val="auto"/>
              </w:rPr>
              <w:t>Loans Maturing Over</w:t>
            </w: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220" w:type="dxa"/>
            <w:vAlign w:val="bottom"/>
          </w:tcPr>
          <w:p>
            <w:pPr>
              <w:spacing w:after="0"/>
              <w:rPr>
                <w:sz w:val="13"/>
                <w:szCs w:val="13"/>
                <w:color w:val="auto"/>
              </w:rPr>
            </w:pPr>
          </w:p>
        </w:tc>
        <w:tc>
          <w:tcPr>
            <w:tcW w:w="840" w:type="dxa"/>
            <w:vAlign w:val="bottom"/>
          </w:tcPr>
          <w:p>
            <w:pPr>
              <w:jc w:val="right"/>
              <w:ind w:right="321"/>
              <w:spacing w:after="0" w:line="154" w:lineRule="exact"/>
              <w:rPr>
                <w:sz w:val="20"/>
                <w:szCs w:val="20"/>
                <w:color w:val="auto"/>
              </w:rPr>
            </w:pPr>
            <w:r>
              <w:rPr>
                <w:rFonts w:ascii="Times New Roman" w:cs="Times New Roman" w:eastAsia="Times New Roman" w:hAnsi="Times New Roman"/>
                <w:sz w:val="16"/>
                <w:szCs w:val="16"/>
                <w:b w:val="1"/>
                <w:bCs w:val="1"/>
                <w:color w:val="auto"/>
              </w:rPr>
              <w:t>2 - 5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1"/>
              <w:spacing w:after="0" w:line="154" w:lineRule="exact"/>
              <w:rPr>
                <w:sz w:val="20"/>
                <w:szCs w:val="20"/>
                <w:color w:val="auto"/>
              </w:rPr>
            </w:pPr>
            <w:r>
              <w:rPr>
                <w:rFonts w:ascii="Times New Roman" w:cs="Times New Roman" w:eastAsia="Times New Roman" w:hAnsi="Times New Roman"/>
                <w:sz w:val="16"/>
                <w:szCs w:val="16"/>
                <w:b w:val="1"/>
                <w:bCs w:val="1"/>
                <w:color w:val="auto"/>
                <w:w w:val="96"/>
              </w:rPr>
              <w:t>6 - 15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After 15</w:t>
            </w:r>
          </w:p>
        </w:tc>
        <w:tc>
          <w:tcPr>
            <w:tcW w:w="2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3"/>
                <w:szCs w:val="13"/>
                <w:color w:val="auto"/>
              </w:rPr>
            </w:pPr>
          </w:p>
        </w:tc>
        <w:tc>
          <w:tcPr>
            <w:tcW w:w="940" w:type="dxa"/>
            <w:vAlign w:val="bottom"/>
            <w:gridSpan w:val="2"/>
          </w:tcPr>
          <w:p>
            <w:pPr>
              <w:ind w:left="120"/>
              <w:spacing w:after="0" w:line="154" w:lineRule="exact"/>
              <w:rPr>
                <w:sz w:val="20"/>
                <w:szCs w:val="20"/>
                <w:color w:val="auto"/>
              </w:rPr>
            </w:pPr>
            <w:r>
              <w:rPr>
                <w:rFonts w:ascii="Times New Roman" w:cs="Times New Roman" w:eastAsia="Times New Roman" w:hAnsi="Times New Roman"/>
                <w:sz w:val="16"/>
                <w:szCs w:val="16"/>
                <w:b w:val="1"/>
                <w:bCs w:val="1"/>
                <w:color w:val="auto"/>
              </w:rPr>
              <w:t>Fixed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Floating Rate</w:t>
            </w: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or Less</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996,796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1,405,669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171,088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1,896,491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677,062</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1,741,211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1,172,295</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1,072,736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1,000,314</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736,889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787,849</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1,321,198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1,697,147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5,594,911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3,385,369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543,286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11,220,713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5,886,046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3,637,520</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2,112,223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1,415,617</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674,802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831,873</w:t>
            </w: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38,484</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102,160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0" w:type="dxa"/>
            <w:vAlign w:val="bottom"/>
          </w:tcPr>
          <w:p>
            <w:pPr>
              <w:spacing w:after="0"/>
              <w:rPr>
                <w:sz w:val="1"/>
                <w:szCs w:val="1"/>
                <w:color w:val="auto"/>
              </w:rPr>
            </w:pPr>
          </w:p>
        </w:tc>
      </w:tr>
      <w:tr>
        <w:trPr>
          <w:trHeight w:val="207"/>
        </w:trPr>
        <w:tc>
          <w:tcPr>
            <w:tcW w:w="3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2,202,694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5,771,125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3,755,396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3,605,412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7,205,421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5,926,512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type w:val="continuous"/>
        </w:sectPr>
      </w:pPr>
    </w:p>
    <w:bookmarkStart w:id="52" w:name="page53"/>
    <w:bookmarkEnd w:id="52"/>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2022, our 25 largest credit relationships consisted of loans and loan commitments ranging from $35.5 million to $60.0 million, with an aggregate total credit exposure of $1.1 billion, including $324 million in unfunded commitments and $774 million in balances outstanding, excluding participations sold.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approved portfolio concentration limits, establishing credit policies and procedures and enforcing the consistent application of these policies and procedures.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ACL reflects management’s assessment of the life of loan expected credit losses in the loan portfolio and unfunded loan commitments. This assessment involves uncertainty and judgment and is subject to change in future periods. The amount of any changes could be significant if the assessment of loan quality or collateral values changes substantially with respect to one or more loan relationships or portfolios or if there is a significant change in the reasonable and supportable forecast used to model our expected credit losses. The allocation of the ACL is based on reasonable and supportable forecasts, historical data, subjective judgment and estimates and therefore, may not be predictive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Estimates section for additional information on the ACL.</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ACL, which includes a portion related to unfunded commitments, totaled $181 million at December 31, 2022 compared with $114 million at December 31, 2021. At December 31, 2022, the ACL for loans was $159 million, or 1.04% of total loans, compared with $103 million, or 0.87%, of loans at December 31, 2021.</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the ACL since December 31, 2021 reflects loan growth and a less favorable economic forecast as of December 31, 2022 compared to that of December 31, 2021. In addition, the acquisition of Reliant added $31.1 million to the ACL as of the acquisition date. Of this amount, $12.7 million was reclassified from the amortized cost basis of PCD loans with no impact to earnings, $15.2 million was recorded as provision for credit losses on acquired non-PCD loan balances and $3.12 million was recorded as provision for unfunded commitments on the acquired balance of unfunded commitments.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ACL for each of the past three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Allocation of ACL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each category</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each category</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ACL</w:t>
            </w:r>
          </w:p>
        </w:tc>
        <w:tc>
          <w:tcPr>
            <w:tcW w:w="110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each category</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 total loans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 total loans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 total loans</w:t>
            </w:r>
          </w:p>
        </w:tc>
        <w:tc>
          <w:tcPr>
            <w:tcW w:w="0" w:type="dxa"/>
            <w:vAlign w:val="bottom"/>
          </w:tcPr>
          <w:p>
            <w:pPr>
              <w:spacing w:after="0"/>
              <w:rPr>
                <w:sz w:val="1"/>
                <w:szCs w:val="1"/>
                <w:color w:val="auto"/>
              </w:rPr>
            </w:pPr>
          </w:p>
        </w:tc>
      </w:tr>
      <w:tr>
        <w:trPr>
          <w:trHeight w:val="20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19,834</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14,282</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20,673</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32,082</w:t>
            </w: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24,156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41,737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23,504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16,592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22,019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20,120</w:t>
            </w: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9,956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10,952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23,395</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16,820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118,935</w:t>
            </w:r>
          </w:p>
        </w:tc>
        <w:tc>
          <w:tcPr>
            <w:tcW w:w="1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81,276</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112,201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20,809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12,390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15,341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8,707</w:t>
            </w: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8,417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8,098</w:t>
            </w: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0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159,357</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102,532</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137,010</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6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6"/>
                <w:szCs w:val="16"/>
                <w:color w:val="auto"/>
              </w:rPr>
              <w:t>ACL - unfunded commitments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rPr>
              <w:t>21,163</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10,992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10,558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180,520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113,524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147,568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loans as a percentage of total loans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to average loans for each of the past three years.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 Net Charge-offs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Net Charge-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Net Charge-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Net Charge-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Net Charge-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Net Charge-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Net Charge-</w:t>
            </w:r>
          </w:p>
        </w:tc>
        <w:tc>
          <w:tcPr>
            <w:tcW w:w="0" w:type="dxa"/>
            <w:vAlign w:val="bottom"/>
          </w:tcPr>
          <w:p>
            <w:pPr>
              <w:spacing w:after="0"/>
              <w:rPr>
                <w:sz w:val="1"/>
                <w:szCs w:val="1"/>
                <w:color w:val="auto"/>
              </w:rPr>
            </w:pPr>
          </w:p>
        </w:tc>
      </w:tr>
      <w:tr>
        <w:trPr>
          <w:trHeight w:val="154"/>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Offs to</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Average Loans</w:t>
            </w:r>
          </w:p>
        </w:tc>
        <w:tc>
          <w:tcPr>
            <w:tcW w:w="100" w:type="dxa"/>
            <w:vAlign w:val="bottom"/>
          </w:tcPr>
          <w:p>
            <w:pPr>
              <w:spacing w:after="0"/>
              <w:rPr>
                <w:sz w:val="12"/>
                <w:szCs w:val="12"/>
                <w:color w:val="auto"/>
              </w:rPr>
            </w:pPr>
          </w:p>
        </w:tc>
        <w:tc>
          <w:tcPr>
            <w:tcW w:w="90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4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5"/>
                <w:szCs w:val="15"/>
                <w:b w:val="1"/>
                <w:bCs w:val="1"/>
                <w:color w:val="auto"/>
              </w:rPr>
              <w:t>Offs</w:t>
            </w: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00" w:type="dxa"/>
            <w:vAlign w:val="bottom"/>
          </w:tcPr>
          <w:p>
            <w:pPr>
              <w:spacing w:after="0"/>
              <w:rPr>
                <w:sz w:val="17"/>
                <w:szCs w:val="17"/>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Loans</w:t>
            </w:r>
          </w:p>
        </w:tc>
        <w:tc>
          <w:tcPr>
            <w:tcW w:w="11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Loans</w:t>
            </w:r>
          </w:p>
        </w:tc>
        <w:tc>
          <w:tcPr>
            <w:tcW w:w="100" w:type="dxa"/>
            <w:vAlign w:val="bottom"/>
          </w:tcPr>
          <w:p>
            <w:pPr>
              <w:spacing w:after="0"/>
              <w:rPr>
                <w:sz w:val="17"/>
                <w:szCs w:val="17"/>
                <w:color w:val="auto"/>
              </w:rPr>
            </w:pPr>
          </w:p>
        </w:tc>
        <w:tc>
          <w:tcPr>
            <w:tcW w:w="92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Loans</w:t>
            </w:r>
          </w:p>
        </w:tc>
        <w:tc>
          <w:tcPr>
            <w:tcW w:w="0" w:type="dxa"/>
            <w:vAlign w:val="bottom"/>
          </w:tcPr>
          <w:p>
            <w:pPr>
              <w:spacing w:after="0"/>
              <w:rPr>
                <w:sz w:val="1"/>
                <w:szCs w:val="1"/>
                <w:color w:val="auto"/>
              </w:rPr>
            </w:pPr>
          </w:p>
        </w:tc>
      </w:tr>
      <w:tr>
        <w:trPr>
          <w:trHeight w:val="135"/>
        </w:trPr>
        <w:tc>
          <w:tcPr>
            <w:tcW w:w="152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Owner occupied</w:t>
            </w: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commercial real estate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2,662,600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2,159,153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1,867,935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(2,495)</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w w:val="98"/>
              </w:rPr>
              <w:t>(0.13)%</w:t>
            </w:r>
          </w:p>
        </w:tc>
        <w:tc>
          <w:tcPr>
            <w:tcW w:w="0" w:type="dxa"/>
            <w:vAlign w:val="bottom"/>
          </w:tcPr>
          <w:p>
            <w:pPr>
              <w:spacing w:after="0"/>
              <w:rPr>
                <w:sz w:val="1"/>
                <w:szCs w:val="1"/>
                <w:color w:val="auto"/>
              </w:rPr>
            </w:pPr>
          </w:p>
        </w:tc>
      </w:tr>
      <w:tr>
        <w:trPr>
          <w:trHeight w:val="155"/>
        </w:trPr>
        <w:tc>
          <w:tcPr>
            <w:tcW w:w="1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Income producing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 real estate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3,283,107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color w:val="auto"/>
              </w:rPr>
              <w:t>(0.01)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2,571,923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2,283,157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4,884</w:t>
            </w:r>
          </w:p>
        </w:tc>
        <w:tc>
          <w:tcPr>
            <w:tcW w:w="10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59"/>
        </w:trPr>
        <w:tc>
          <w:tcPr>
            <w:tcW w:w="16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Commercial &amp;</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industrial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2,271,279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6,460</w:t>
            </w:r>
          </w:p>
        </w:tc>
        <w:tc>
          <w:tcPr>
            <w:tcW w:w="1000" w:type="dxa"/>
            <w:vAlign w:val="bottom"/>
            <w:gridSpan w:val="2"/>
            <w:shd w:val="clear" w:color="auto" w:fill="CCEEFF"/>
          </w:tcPr>
          <w:p>
            <w:pPr>
              <w:jc w:val="center"/>
              <w:ind w:left="305"/>
              <w:spacing w:after="0"/>
              <w:rPr>
                <w:sz w:val="20"/>
                <w:szCs w:val="20"/>
                <w:color w:val="auto"/>
              </w:rPr>
            </w:pPr>
            <w:r>
              <w:rPr>
                <w:rFonts w:ascii="Times New Roman" w:cs="Times New Roman" w:eastAsia="Times New Roman" w:hAnsi="Times New Roman"/>
                <w:sz w:val="15"/>
                <w:szCs w:val="15"/>
                <w:color w:val="auto"/>
                <w:w w:val="98"/>
              </w:rPr>
              <w:t>0.28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2,242,764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(2,499)</w:t>
            </w:r>
          </w:p>
        </w:tc>
        <w:tc>
          <w:tcPr>
            <w:tcW w:w="10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2,297,522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9,336</w:t>
            </w:r>
          </w:p>
        </w:tc>
        <w:tc>
          <w:tcPr>
            <w:tcW w:w="10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0.41</w:t>
            </w:r>
          </w:p>
        </w:tc>
        <w:tc>
          <w:tcPr>
            <w:tcW w:w="0" w:type="dxa"/>
            <w:vAlign w:val="bottom"/>
          </w:tcPr>
          <w:p>
            <w:pPr>
              <w:spacing w:after="0"/>
              <w:rPr>
                <w:sz w:val="1"/>
                <w:szCs w:val="1"/>
                <w:color w:val="auto"/>
              </w:rPr>
            </w:pPr>
          </w:p>
        </w:tc>
      </w:tr>
      <w:tr>
        <w:trPr>
          <w:trHeight w:val="155"/>
        </w:trPr>
        <w:tc>
          <w:tcPr>
            <w:tcW w:w="1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Commercial</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1,502,093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00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color w:val="auto"/>
              </w:rPr>
              <w:t>(0.04)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958,791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967,030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Equipment financing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1,217,993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3,953</w:t>
            </w:r>
          </w:p>
        </w:tc>
        <w:tc>
          <w:tcPr>
            <w:tcW w:w="1000" w:type="dxa"/>
            <w:vAlign w:val="bottom"/>
            <w:gridSpan w:val="2"/>
            <w:shd w:val="clear" w:color="auto" w:fill="CCEEFF"/>
          </w:tcPr>
          <w:p>
            <w:pPr>
              <w:jc w:val="center"/>
              <w:ind w:left="305"/>
              <w:spacing w:after="0"/>
              <w:rPr>
                <w:sz w:val="20"/>
                <w:szCs w:val="20"/>
                <w:color w:val="auto"/>
              </w:rPr>
            </w:pPr>
            <w:r>
              <w:rPr>
                <w:rFonts w:ascii="Times New Roman" w:cs="Times New Roman" w:eastAsia="Times New Roman" w:hAnsi="Times New Roman"/>
                <w:sz w:val="15"/>
                <w:szCs w:val="15"/>
                <w:color w:val="auto"/>
                <w:w w:val="98"/>
              </w:rPr>
              <w:t>0.32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3,105</w:t>
            </w:r>
          </w:p>
        </w:tc>
        <w:tc>
          <w:tcPr>
            <w:tcW w:w="10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794,042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6,760</w:t>
            </w:r>
          </w:p>
        </w:tc>
        <w:tc>
          <w:tcPr>
            <w:tcW w:w="10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0.85</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Residential mortgage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2,007,843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color w:val="auto"/>
              </w:rPr>
              <w:t>(0.01)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1,462,421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1,197,511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HELOC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802,674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000" w:type="dxa"/>
            <w:vAlign w:val="bottom"/>
            <w:gridSpan w:val="2"/>
            <w:shd w:val="clear" w:color="auto" w:fill="CCEEFF"/>
          </w:tcPr>
          <w:p>
            <w:pPr>
              <w:jc w:val="center"/>
              <w:ind w:left="265"/>
              <w:spacing w:after="0"/>
              <w:rPr>
                <w:sz w:val="20"/>
                <w:szCs w:val="20"/>
                <w:color w:val="auto"/>
              </w:rPr>
            </w:pPr>
            <w:r>
              <w:rPr>
                <w:rFonts w:ascii="Times New Roman" w:cs="Times New Roman" w:eastAsia="Times New Roman" w:hAnsi="Times New Roman"/>
                <w:sz w:val="15"/>
                <w:szCs w:val="15"/>
                <w:color w:val="auto"/>
              </w:rPr>
              <w:t>(0.08)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0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Residential 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394,413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00" w:type="dxa"/>
            <w:vAlign w:val="bottom"/>
            <w:gridSpan w:val="2"/>
          </w:tcPr>
          <w:p>
            <w:pPr>
              <w:jc w:val="center"/>
              <w:ind w:left="265"/>
              <w:spacing w:after="0"/>
              <w:rPr>
                <w:sz w:val="20"/>
                <w:szCs w:val="20"/>
                <w:color w:val="auto"/>
              </w:rPr>
            </w:pPr>
            <w:r>
              <w:rPr>
                <w:rFonts w:ascii="Times New Roman" w:cs="Times New Roman" w:eastAsia="Times New Roman" w:hAnsi="Times New Roman"/>
                <w:sz w:val="15"/>
                <w:szCs w:val="15"/>
                <w:color w:val="auto"/>
              </w:rPr>
              <w:t>(0.06)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(0.05)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243,133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01"/>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Manufactured housing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285,556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0" w:type="dxa"/>
            <w:vAlign w:val="bottom"/>
            <w:gridSpan w:val="2"/>
            <w:shd w:val="clear" w:color="auto" w:fill="CCEEFF"/>
          </w:tcPr>
          <w:p>
            <w:pPr>
              <w:jc w:val="center"/>
              <w:ind w:left="305"/>
              <w:spacing w:after="0"/>
              <w:rPr>
                <w:sz w:val="20"/>
                <w:szCs w:val="20"/>
                <w:color w:val="auto"/>
              </w:rPr>
            </w:pPr>
            <w:r>
              <w:rPr>
                <w:rFonts w:ascii="Times New Roman" w:cs="Times New Roman" w:eastAsia="Times New Roman" w:hAnsi="Times New Roman"/>
                <w:sz w:val="15"/>
                <w:szCs w:val="15"/>
                <w:color w:val="auto"/>
                <w:w w:val="98"/>
              </w:rPr>
              <w:t>0.27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2,260</w:t>
            </w:r>
          </w:p>
        </w:tc>
        <w:tc>
          <w:tcPr>
            <w:tcW w:w="1000" w:type="dxa"/>
            <w:vAlign w:val="bottom"/>
            <w:gridSpan w:val="2"/>
          </w:tcPr>
          <w:p>
            <w:pPr>
              <w:jc w:val="center"/>
              <w:ind w:left="305"/>
              <w:spacing w:after="0"/>
              <w:rPr>
                <w:sz w:val="20"/>
                <w:szCs w:val="20"/>
                <w:color w:val="auto"/>
              </w:rPr>
            </w:pPr>
            <w:r>
              <w:rPr>
                <w:rFonts w:ascii="Times New Roman" w:cs="Times New Roman" w:eastAsia="Times New Roman" w:hAnsi="Times New Roman"/>
                <w:sz w:val="15"/>
                <w:szCs w:val="15"/>
                <w:color w:val="auto"/>
                <w:w w:val="98"/>
              </w:rPr>
              <w:t>1.57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10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0.61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135,548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0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219"/>
        </w:trPr>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14,571,746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9,654</w:t>
            </w:r>
          </w:p>
        </w:tc>
        <w:tc>
          <w:tcPr>
            <w:tcW w:w="1000" w:type="dxa"/>
            <w:vAlign w:val="bottom"/>
            <w:tcBorders>
              <w:top w:val="single" w:sz="8" w:color="CCEEFF"/>
              <w:bottom w:val="single" w:sz="8" w:color="CCEEFF"/>
            </w:tcBorders>
            <w:gridSpan w:val="2"/>
            <w:shd w:val="clear" w:color="auto" w:fill="CCEEFF"/>
          </w:tcPr>
          <w:p>
            <w:pPr>
              <w:jc w:val="center"/>
              <w:ind w:left="305"/>
              <w:spacing w:after="0"/>
              <w:rPr>
                <w:sz w:val="20"/>
                <w:szCs w:val="20"/>
                <w:color w:val="auto"/>
              </w:rPr>
            </w:pPr>
            <w:r>
              <w:rPr>
                <w:rFonts w:ascii="Times New Roman" w:cs="Times New Roman" w:eastAsia="Times New Roman" w:hAnsi="Times New Roman"/>
                <w:sz w:val="15"/>
                <w:szCs w:val="15"/>
                <w:color w:val="auto"/>
                <w:w w:val="98"/>
              </w:rPr>
              <w:t>0.07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11,485,876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10,466,653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18,316</w:t>
            </w:r>
          </w:p>
        </w:tc>
        <w:tc>
          <w:tcPr>
            <w:tcW w:w="1040" w:type="dxa"/>
            <w:vAlign w:val="bottom"/>
            <w:tcBorders>
              <w:top w:val="single" w:sz="8" w:color="CCEEFF"/>
              <w:bottom w:val="single" w:sz="8" w:color="CCEEFF"/>
            </w:tcBorders>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NPAs, which consist of nonaccrual loans and OREO and repossessed assets, for the periods indicated.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NPAs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80" w:type="dxa"/>
            <w:vAlign w:val="bottom"/>
            <w:tcBorders>
              <w:bottom w:val="single" w:sz="8" w:color="CCEEFF"/>
            </w:tcBorders>
          </w:tcPr>
          <w:p>
            <w:pPr>
              <w:spacing w:after="0"/>
              <w:rPr>
                <w:sz w:val="18"/>
                <w:szCs w:val="18"/>
                <w:color w:val="auto"/>
              </w:rPr>
            </w:pPr>
          </w:p>
        </w:tc>
      </w:tr>
      <w:tr>
        <w:trPr>
          <w:trHeight w:val="208"/>
        </w:trPr>
        <w:tc>
          <w:tcPr>
            <w:tcW w:w="54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Nonaccrual loans held for investment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61,599</w:t>
            </w:r>
          </w:p>
        </w:tc>
        <w:tc>
          <w:tcPr>
            <w:tcW w:w="1580" w:type="dxa"/>
            <w:vAlign w:val="bottom"/>
            <w:shd w:val="clear" w:color="auto" w:fill="CCEEFF"/>
          </w:tcPr>
          <w:p>
            <w:pPr>
              <w:spacing w:after="0"/>
              <w:rPr>
                <w:sz w:val="18"/>
                <w:szCs w:val="18"/>
                <w:color w:val="auto"/>
              </w:rPr>
            </w:pPr>
          </w:p>
        </w:tc>
      </w:tr>
      <w:tr>
        <w:trPr>
          <w:trHeight w:val="210"/>
        </w:trPr>
        <w:tc>
          <w:tcPr>
            <w:tcW w:w="54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647</w:t>
            </w:r>
          </w:p>
        </w:tc>
        <w:tc>
          <w:tcPr>
            <w:tcW w:w="1580" w:type="dxa"/>
            <w:vAlign w:val="bottom"/>
            <w:tcBorders>
              <w:bottom w:val="single" w:sz="8" w:color="CCEEFF"/>
            </w:tcBorders>
          </w:tcPr>
          <w:p>
            <w:pPr>
              <w:spacing w:after="0"/>
              <w:rPr>
                <w:sz w:val="18"/>
                <w:szCs w:val="18"/>
                <w:color w:val="auto"/>
              </w:rPr>
            </w:pPr>
          </w:p>
        </w:tc>
      </w:tr>
      <w:tr>
        <w:trPr>
          <w:trHeight w:val="232"/>
        </w:trPr>
        <w:tc>
          <w:tcPr>
            <w:tcW w:w="542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NPAs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32,855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62,246</w:t>
            </w: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158"/>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12"/>
        </w:trPr>
        <w:tc>
          <w:tcPr>
            <w:tcW w:w="54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Nonaccrual loans to total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0.54 %</w:t>
            </w:r>
          </w:p>
        </w:tc>
        <w:tc>
          <w:tcPr>
            <w:tcW w:w="1580" w:type="dxa"/>
            <w:vAlign w:val="bottom"/>
            <w:shd w:val="clear" w:color="auto" w:fill="CCEEFF"/>
          </w:tcPr>
          <w:p>
            <w:pPr>
              <w:spacing w:after="0"/>
              <w:rPr>
                <w:sz w:val="18"/>
                <w:szCs w:val="18"/>
                <w:color w:val="auto"/>
              </w:rPr>
            </w:pPr>
          </w:p>
        </w:tc>
      </w:tr>
      <w:tr>
        <w:trPr>
          <w:trHeight w:val="210"/>
        </w:trPr>
        <w:tc>
          <w:tcPr>
            <w:tcW w:w="54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NPAs to total assets</w:t>
            </w: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0.35</w:t>
            </w:r>
          </w:p>
        </w:tc>
        <w:tc>
          <w:tcPr>
            <w:tcW w:w="1580" w:type="dxa"/>
            <w:vAlign w:val="bottom"/>
          </w:tcPr>
          <w:p>
            <w:pPr>
              <w:spacing w:after="0"/>
              <w:rPr>
                <w:sz w:val="18"/>
                <w:szCs w:val="18"/>
                <w:color w:val="auto"/>
              </w:rPr>
            </w:pPr>
          </w:p>
        </w:tc>
      </w:tr>
      <w:tr>
        <w:trPr>
          <w:trHeight w:val="214"/>
        </w:trPr>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08"/>
        </w:trPr>
        <w:tc>
          <w:tcPr>
            <w:tcW w:w="54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2.22</w:t>
            </w:r>
          </w:p>
        </w:tc>
        <w:tc>
          <w:tcPr>
            <w:tcW w:w="1580" w:type="dxa"/>
            <w:vAlign w:val="bottom"/>
          </w:tcPr>
          <w:p>
            <w:pPr>
              <w:spacing w:after="0"/>
              <w:rPr>
                <w:sz w:val="18"/>
                <w:szCs w:val="18"/>
                <w:color w:val="auto"/>
              </w:rPr>
            </w:pPr>
          </w:p>
        </w:tc>
      </w:tr>
    </w:tbl>
    <w:p>
      <w:pPr>
        <w:spacing w:after="0" w:line="3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increase in NPAs since December 31, 2021 was primarily due to the addition of the manufactured housing portfolio from Reliant, an overall increase in equipment financing nonaccrual loans and the migration of two large commercial and industrial relationships to nonaccrual status.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2022 and 2021, we had $41.2 million and $52.4 million, respectively, in loans with terms that have been modified in a TDR. Included therein were $14.5 million and $11.5 million, respectively, of TDRs that were nonaccrual loans. The remaining TDRs with aggregate balances of $26.7 million and $40.9 million, respectively, were performing according to their modified terms and were therefore not considered to be NPAs.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composition of our investment securities portfolio reflects our investment strategy of maintaining an appropriate level of liquidity while providing a relatively stable source of revenue. The investment securities portfolio also provides a balance to interest rate risk in other categories of the balance sheet, while providing a vehicle for the investment of available funds, furnishing liquidity, and supplying securities to pledge as required collateral for certain deposits and borrowings. During the first half of 2022, we continued to deploy liquidity generated through strong deposit growth by purchasing additional investment securities. However, in the second half of 2022, we slowed our securities purchases as we began to experience some deposit attrition, which absorbed much of our surplus liquidity. During 2022, United transferred AFS debt securities to HTM with a fair value on the transfer date of $1.29 billion, which included unrealized losses recorded in AOCI totaling $87.4 million.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 The table below presents a summary of our investment securities balances as of the dates indicated.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 Investment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Carrying Value</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1040" w:type="dxa"/>
            <w:vAlign w:val="bottom"/>
          </w:tcPr>
          <w:p>
            <w:pPr>
              <w:jc w:val="right"/>
              <w:ind w:right="121"/>
              <w:spacing w:after="0" w:line="144" w:lineRule="exact"/>
              <w:rPr>
                <w:sz w:val="20"/>
                <w:szCs w:val="20"/>
                <w:color w:val="auto"/>
              </w:rPr>
            </w:pPr>
            <w:r>
              <w:rPr>
                <w:rFonts w:ascii="Times New Roman" w:cs="Times New Roman" w:eastAsia="Times New Roman" w:hAnsi="Times New Roman"/>
                <w:sz w:val="16"/>
                <w:szCs w:val="16"/>
                <w:b w:val="1"/>
                <w:bCs w:val="1"/>
                <w:color w:val="auto"/>
              </w:rPr>
              <w:t>2022 - 2021</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4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3,614,333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5"/>
              </w:rPr>
              <w:t>58 %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4,496,824</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(882,491)</w:t>
            </w:r>
          </w:p>
        </w:tc>
        <w:tc>
          <w:tcPr>
            <w:tcW w:w="1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1,457,550</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6,227,981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5,652,922</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575,059</w:t>
            </w: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180"/>
              <w:spacing w:after="0" w:line="159" w:lineRule="exact"/>
              <w:rPr>
                <w:sz w:val="20"/>
                <w:szCs w:val="20"/>
                <w:color w:val="auto"/>
              </w:rPr>
            </w:pPr>
            <w:r>
              <w:rPr>
                <w:rFonts w:ascii="Times New Roman" w:cs="Times New Roman" w:eastAsia="Times New Roman" w:hAnsi="Times New Roman"/>
                <w:sz w:val="16"/>
                <w:szCs w:val="16"/>
                <w:color w:val="auto"/>
              </w:rPr>
              <w:t>Investment securities as a % of</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Table 14 - Investment Securities Portfolio Composition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2540</wp:posOffset>
            </wp:positionV>
            <wp:extent cx="5048250" cy="2945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48250" cy="294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Mortgage-backed securities, which include both U.S. government sponsored agency and non-agency securities, make up the largest portion of our investment securities portfolio. As we have grown our portfolio, we have continued to purchase mortgage-backed securities in order to obtain a favorable yield with low risk. These securities rely on the underlying pools of mortgage loans to provide a cash flow of principal and interest. The actual maturities of these securities will differ from the contractual maturities because the loans underlying the securities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may occur.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shown in the chart above, 77% of our investment securities portfolio is comprised of U.S. government or government sponsored agency securities. In addition, as of December 31, 2022, our state and political subdivision securities were all rated A or better. As a reflection of the high credit quality of the portfolio, at December 31, 2022 and 2021, no ACL for HTM or AFS debt securities was recorded. See Note 5 to the consolidated financial statements for further discussion of the investment portfolio and related fair value and maturity information. Unrealized losses on fixed income securities at December 31, 2022 primarily reflected the effect of changes in interest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fair value of the assets acquired and liabilities assumed, including separately identifiable intangible assets. Management evaluates goodwill for impairment annually, or more frequently if a triggering event indicates there may be impairment. Upon the occurrence of a triggering event, a qualitative assessment is performed to determine whether it is more likely than not that the fair value of the entity is less than its carrying amount. When it is more likely than not that impairment has occurred, management is required to perform a quantitative analysis and, if necessary, adjust the carrying amount of goodwill by recording a goodwill impairment loss. No such triggering events occurred during 2022 and our annual assessment provided no indication that a goodwill impairment was required.</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In connection with the acquisition of Reliant, we recorded goodwill and a core deposit intangible of $299 million and $14.5 million,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Customer deposits are the primary source of funding for our earning assets. Our high level of service, as evidenced by our strong customer satisfaction scores, has been instrumental in attracting and retaining customer deposit accounts. The increase in deposits since December 31, 2021 was primarily driven by the deposits assumed in the Reliant transaction, which had a balance of $2.50 billion as of the acquisition date. More recently, we have experienced some deposit balance attrition, mostly in noninterest-bearing demand accounts, as rising interest rates have given customers more attractive returns for excess liquidity outside of standard deposit products. As of December 31, 2022 and 2021, we had $8.31 billion and $7.97 billion, respectively, in uninsured deposits. The following table sets forth the deposit composition for the periods indicated.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Deposits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Customer Deposit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Customer Deposit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Composition</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Composition</w:t>
            </w:r>
          </w:p>
        </w:tc>
        <w:tc>
          <w:tcPr>
            <w:tcW w:w="0" w:type="dxa"/>
            <w:vAlign w:val="bottom"/>
          </w:tcPr>
          <w:p>
            <w:pPr>
              <w:spacing w:after="0"/>
              <w:rPr>
                <w:sz w:val="1"/>
                <w:szCs w:val="1"/>
                <w:color w:val="auto"/>
              </w:rPr>
            </w:pPr>
          </w:p>
        </w:tc>
      </w:tr>
      <w:tr>
        <w:trPr>
          <w:trHeight w:val="206"/>
        </w:trPr>
        <w:tc>
          <w:tcPr>
            <w:tcW w:w="396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7,643,081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4,350,878</w:t>
            </w:r>
          </w:p>
        </w:tc>
        <w:tc>
          <w:tcPr>
            <w:tcW w:w="17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4,252,209</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5,967,017</w:t>
            </w:r>
          </w:p>
        </w:tc>
        <w:tc>
          <w:tcPr>
            <w:tcW w:w="17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5,399,133</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Time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1,781,482</w:t>
            </w:r>
          </w:p>
        </w:tc>
        <w:tc>
          <w:tcPr>
            <w:tcW w:w="17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1,442,498</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customer deposits</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19,742,458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18,050,821</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6"/>
                <w:szCs w:val="16"/>
                <w:color w:val="auto"/>
              </w:rPr>
              <w:t>Brokered deposits</w:t>
            </w: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134,049</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190,358</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9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scheduled maturities of time deposits greater than $250,000.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 Maturities of Time Deposits Greater than $250,000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6"/>
                <w:szCs w:val="16"/>
                <w:color w:val="auto"/>
              </w:rPr>
              <w:t>Three months or less</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73,349</w:t>
            </w:r>
          </w:p>
        </w:tc>
        <w:tc>
          <w:tcPr>
            <w:tcW w:w="2820" w:type="dxa"/>
            <w:vAlign w:val="bottom"/>
            <w:shd w:val="clear" w:color="auto" w:fill="CCEEFF"/>
          </w:tcPr>
          <w:p>
            <w:pPr>
              <w:spacing w:after="0"/>
              <w:rPr>
                <w:sz w:val="18"/>
                <w:szCs w:val="18"/>
                <w:color w:val="auto"/>
              </w:rPr>
            </w:pPr>
          </w:p>
        </w:tc>
      </w:tr>
      <w:tr>
        <w:trPr>
          <w:trHeight w:val="210"/>
        </w:trPr>
        <w:tc>
          <w:tcPr>
            <w:tcW w:w="696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Over three through six months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43,905</w:t>
            </w:r>
          </w:p>
        </w:tc>
        <w:tc>
          <w:tcPr>
            <w:tcW w:w="2820" w:type="dxa"/>
            <w:vAlign w:val="bottom"/>
          </w:tcPr>
          <w:p>
            <w:pPr>
              <w:spacing w:after="0"/>
              <w:rPr>
                <w:sz w:val="18"/>
                <w:szCs w:val="18"/>
                <w:color w:val="auto"/>
              </w:rPr>
            </w:pPr>
          </w:p>
        </w:tc>
      </w:tr>
      <w:tr>
        <w:trPr>
          <w:trHeight w:val="214"/>
        </w:trPr>
        <w:tc>
          <w:tcPr>
            <w:tcW w:w="696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6"/>
                <w:szCs w:val="16"/>
                <w:color w:val="auto"/>
              </w:rPr>
              <w:t>Over six months through twelve months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154,620</w:t>
            </w:r>
          </w:p>
        </w:tc>
        <w:tc>
          <w:tcPr>
            <w:tcW w:w="282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2960"/>
              <w:spacing w:after="0"/>
              <w:rPr>
                <w:sz w:val="20"/>
                <w:szCs w:val="20"/>
                <w:color w:val="auto"/>
              </w:rPr>
            </w:pPr>
            <w:r>
              <w:rPr>
                <w:rFonts w:ascii="Times New Roman" w:cs="Times New Roman" w:eastAsia="Times New Roman" w:hAnsi="Times New Roman"/>
                <w:sz w:val="16"/>
                <w:szCs w:val="16"/>
                <w:color w:val="auto"/>
              </w:rPr>
              <w:t>Over one year</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161,507</w:t>
            </w:r>
          </w:p>
        </w:tc>
        <w:tc>
          <w:tcPr>
            <w:tcW w:w="2820" w:type="dxa"/>
            <w:vAlign w:val="bottom"/>
            <w:tcBorders>
              <w:bottom w:val="single" w:sz="8" w:color="CCEEFF"/>
            </w:tcBorders>
          </w:tcPr>
          <w:p>
            <w:pPr>
              <w:spacing w:after="0"/>
              <w:rPr>
                <w:sz w:val="18"/>
                <w:szCs w:val="18"/>
                <w:color w:val="auto"/>
              </w:rPr>
            </w:pPr>
          </w:p>
        </w:tc>
      </w:tr>
      <w:tr>
        <w:trPr>
          <w:trHeight w:val="232"/>
        </w:trPr>
        <w:tc>
          <w:tcPr>
            <w:tcW w:w="6960" w:type="dxa"/>
            <w:vAlign w:val="bottom"/>
            <w:tcBorders>
              <w:bottom w:val="single" w:sz="8" w:color="CCEEFF"/>
            </w:tcBorders>
            <w:shd w:val="clear" w:color="auto" w:fill="CCEEFF"/>
          </w:tcPr>
          <w:p>
            <w:pPr>
              <w:ind w:left="304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433,381</w:t>
            </w:r>
          </w:p>
        </w:tc>
        <w:tc>
          <w:tcPr>
            <w:tcW w:w="282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18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which we are able to attract at any time by competing more aggressively on pricing. Liquidity is also available from wholesale funding sources consisting primarily of Federal funds purchased, securities sold under agreements to repurchase, FHLB advances and brokered deposits. These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18"/>
          <w:szCs w:val="18"/>
          <w:color w:val="auto"/>
        </w:rPr>
        <w:t>sources of liquidity are generally short-term in nature and are used as necessary to fund asset growth and meet other short-term liquidity needs. At December 31, 2022, we had sufficient qualifying collateral to support additional FHLB advances of $999 million and Federal Reserve discount window borrowing capacity of $2.46 billion. We also had unpledged investment securities of $3.70 billion at December 31, 2022 that could be used as collateral for additional borrowings.</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second half of 2022, we began to experience balance attrition in our deposit accounts as rising interest rates gave customers other alternatives for achieving higher returns on their cash deposits outside of the banking system. Our experience with deposit attrition was not unique to us but was part of a trend throughout the banking industry and was not unexpected as the entire banking industry had experienced abnormally high deposit growth over the past two years, partly resulting from the COVID-19 pandemic. As a result of the higher-than-normal deposit growth, there has been an expectation that some of the built-up balances would leave the banking system as conditions changed. Much of the surplus liquidity that built up in the two years leading up to mid-2022 was invested in our investment securities portfolio, which had grown significantly over that time period and created a large source of stored liquidity. In response to deposit balance attrition, we have suspended investment securities purchases and allowed cash flows from maturing securities to meet a portion of our funding needs. We also began using short-term borrowings to supplement our near-term funding requirements. Although it is difficult to predict the timing and extent of the deposit balance attrition, we have significant sources of liquidity through secured borrowings and other unsecured funding sources as noted above, and we have been adjusting our deposit pricing to remain competitive within our markets in an effort to slow the balance attrition.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In 2022 and 2021, the Bank paid dividends of $133 million and $217 million, respectively, to the Holding Company. Holding Company liquidity is managed to a minimum of 15-months of positive cash flow after considering all of its liquidity needs over this period.</w:t>
      </w:r>
    </w:p>
    <w:p>
      <w:pPr>
        <w:spacing w:after="0" w:line="213"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Significant uses and sources of cash during the year ended December 31, 2022 are summarized below. See the consolidated statement of cash flows in this Report for further detail.</w:t>
      </w:r>
    </w:p>
    <w:p>
      <w:pPr>
        <w:spacing w:after="0" w:line="57" w:lineRule="exact"/>
        <w:rPr>
          <w:sz w:val="20"/>
          <w:szCs w:val="20"/>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$607 million reflects net income of $277 million adjusted for non-cash transactions, gains on sales of securities and other loans and changes in other assets and liabilities. Significant non-cash transactions for the period included provision for credit losses of $63.9 million, depreciation, amortization and accretion of $46.7 million and deferred income tax expense of $10.9 million.</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$2.02 billion consisted primarily of $1.99 billion of purchases of AFS and HTM debt securities and a $1.23 billion net increase in loans, offset by $1.23 billion proceeds from securities sales, maturities and calls.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of $259 million consisted primarily of a net decrease in deposits of $867 million and $93.8 million in common and preferred stock dividends, partially offset by net proceeds from FHLB advances and other short-term borrowings of $709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December 31, 2022 was sufficient to meet our expected cash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8" w:name="page59"/>
    <w:bookmarkEnd w:id="58"/>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amortized cost of securities by contractual maturity of investment securities and weighted average yields on a FTE basis. The composition and maturity / repricing distribution of the securities portfolio is subject to change depending on rate sensitivity, capital and liquidity needs. Expected maturities may differ from contractual maturities because issuers and borrowers may have the right to call or prepay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17 - Contractual Maturity of AFS and HTM Debt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By Years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1 or Less</w:t>
            </w:r>
          </w:p>
        </w:tc>
        <w:tc>
          <w:tcPr>
            <w:tcW w:w="120" w:type="dxa"/>
            <w:vAlign w:val="bottom"/>
          </w:tcPr>
          <w:p>
            <w:pPr>
              <w:spacing w:after="0"/>
              <w:rPr>
                <w:sz w:val="17"/>
                <w:szCs w:val="17"/>
                <w:color w:val="auto"/>
              </w:rPr>
            </w:pPr>
          </w:p>
        </w:tc>
        <w:tc>
          <w:tcPr>
            <w:tcW w:w="1540" w:type="dxa"/>
            <w:vAlign w:val="bottom"/>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1 to 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6 to 10</w:t>
            </w:r>
          </w:p>
        </w:tc>
        <w:tc>
          <w:tcPr>
            <w:tcW w:w="140" w:type="dxa"/>
            <w:vAlign w:val="bottom"/>
          </w:tcPr>
          <w:p>
            <w:pPr>
              <w:spacing w:after="0"/>
              <w:rPr>
                <w:sz w:val="17"/>
                <w:szCs w:val="17"/>
                <w:color w:val="auto"/>
              </w:rPr>
            </w:pPr>
          </w:p>
        </w:tc>
        <w:tc>
          <w:tcPr>
            <w:tcW w:w="174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Over 10</w:t>
            </w:r>
          </w:p>
        </w:tc>
        <w:tc>
          <w:tcPr>
            <w:tcW w:w="120" w:type="dxa"/>
            <w:vAlign w:val="bottom"/>
          </w:tcPr>
          <w:p>
            <w:pPr>
              <w:spacing w:after="0"/>
              <w:rPr>
                <w:sz w:val="17"/>
                <w:szCs w:val="17"/>
                <w:color w:val="auto"/>
              </w:rPr>
            </w:pPr>
          </w:p>
        </w:tc>
        <w:tc>
          <w:tcPr>
            <w:tcW w:w="94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WA Yield</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WA Yield</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WA Yield</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WA Yield</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WA Yield</w:t>
            </w:r>
          </w:p>
        </w:tc>
        <w:tc>
          <w:tcPr>
            <w:tcW w:w="0" w:type="dxa"/>
            <w:vAlign w:val="bottom"/>
          </w:tcPr>
          <w:p>
            <w:pPr>
              <w:spacing w:after="0"/>
              <w:rPr>
                <w:sz w:val="1"/>
                <w:szCs w:val="1"/>
                <w:color w:val="auto"/>
              </w:rPr>
            </w:pPr>
          </w:p>
        </w:tc>
      </w:tr>
      <w:tr>
        <w:trPr>
          <w:trHeight w:val="193"/>
        </w:trPr>
        <w:tc>
          <w:tcPr>
            <w:tcW w:w="22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AFS</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49,983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99,049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14,940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163,972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U.S. Government agencies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174</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38,495</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76,287</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151,391</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266,347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GSEs</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0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45,271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163,617</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120,835</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329,723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6,605</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29,795</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1,573,042</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1,609,442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0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374,535</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374,535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Commercial MBS, Agency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29,988</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112,741</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250,609</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326,944</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720,282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0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14,963</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15,161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31,624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2,583</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151,352</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81,450</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796</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236,181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82,083</w:t>
            </w:r>
          </w:p>
        </w:tc>
        <w:tc>
          <w:tcPr>
            <w:tcW w:w="82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157,137</w:t>
            </w:r>
          </w:p>
        </w:tc>
        <w:tc>
          <w:tcPr>
            <w:tcW w:w="82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239,220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6"/>
        </w:trPr>
        <w:tc>
          <w:tcPr>
            <w:tcW w:w="2280" w:type="dxa"/>
            <w:vAlign w:val="bottom"/>
            <w:tcBorders>
              <w:bottom w:val="single" w:sz="8" w:color="CCEEFF"/>
            </w:tcBorders>
            <w:shd w:val="clear" w:color="auto" w:fill="CCEEFF"/>
          </w:tcPr>
          <w:p>
            <w:pPr>
              <w:ind w:left="220"/>
              <w:spacing w:after="0" w:line="181" w:lineRule="exact"/>
              <w:rPr>
                <w:sz w:val="20"/>
                <w:szCs w:val="20"/>
                <w:color w:val="auto"/>
              </w:rPr>
            </w:pPr>
            <w:r>
              <w:rPr>
                <w:rFonts w:ascii="Times New Roman" w:cs="Times New Roman" w:eastAsia="Times New Roman" w:hAnsi="Times New Roman"/>
                <w:sz w:val="16"/>
                <w:szCs w:val="16"/>
                <w:color w:val="auto"/>
              </w:rPr>
              <w:t>Total AFS securities</w:t>
            </w:r>
          </w:p>
        </w:tc>
        <w:tc>
          <w:tcPr>
            <w:tcW w:w="1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97,691</w:t>
            </w:r>
          </w:p>
        </w:tc>
        <w:tc>
          <w:tcPr>
            <w:tcW w:w="820" w:type="dxa"/>
            <w:vAlign w:val="bottom"/>
            <w:tcBorders>
              <w:bottom w:val="single" w:sz="8" w:color="CCEEFF"/>
            </w:tcBorders>
            <w:gridSpan w:val="2"/>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537,096</w:t>
            </w:r>
          </w:p>
        </w:tc>
        <w:tc>
          <w:tcPr>
            <w:tcW w:w="820" w:type="dxa"/>
            <w:vAlign w:val="bottom"/>
            <w:tcBorders>
              <w:bottom w:val="single" w:sz="8" w:color="CCEEFF"/>
            </w:tcBorders>
            <w:gridSpan w:val="2"/>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616,698</w:t>
            </w:r>
          </w:p>
        </w:tc>
        <w:tc>
          <w:tcPr>
            <w:tcW w:w="820" w:type="dxa"/>
            <w:vAlign w:val="bottom"/>
            <w:tcBorders>
              <w:bottom w:val="single" w:sz="8" w:color="CCEEFF"/>
            </w:tcBorders>
            <w:gridSpan w:val="2"/>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2,719,841</w:t>
            </w:r>
          </w:p>
        </w:tc>
        <w:tc>
          <w:tcPr>
            <w:tcW w:w="820" w:type="dxa"/>
            <w:vAlign w:val="bottom"/>
            <w:tcBorders>
              <w:bottom w:val="single" w:sz="8" w:color="CCEEFF"/>
            </w:tcBorders>
            <w:gridSpan w:val="2"/>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3,971,326</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220"/>
              <w:spacing w:after="0" w:line="181" w:lineRule="exact"/>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HTM</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U.S. Government agencies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73,246</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26,433</w:t>
            </w:r>
          </w:p>
        </w:tc>
        <w:tc>
          <w:tcPr>
            <w:tcW w:w="8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99,679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GSEs</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0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18,698</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26,024</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250,023</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295,945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2,237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16,338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1,469,443</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1,488,028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59"/>
        </w:trPr>
        <w:tc>
          <w:tcPr>
            <w:tcW w:w="22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Commercial MBS, Agency &amp;</w:t>
            </w: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45,433</w:t>
            </w:r>
          </w:p>
        </w:tc>
        <w:tc>
          <w:tcPr>
            <w:tcW w:w="82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168,058</w:t>
            </w:r>
          </w:p>
        </w:tc>
        <w:tc>
          <w:tcPr>
            <w:tcW w:w="82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481,671</w:t>
            </w:r>
          </w:p>
        </w:tc>
        <w:tc>
          <w:tcPr>
            <w:tcW w:w="82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695,162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15,000</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5"/>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HTM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1,210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66,368</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318,500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2,227,570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effective duration of the investment portfolio was 4.7 years, compared to 4.0 years at December 31,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provides an overview of United’s significant contractual obligations and other commitments.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and 2021, we had long-term debt outstanding of $325 million and $247 million, respectively, which included senior debentures, subordinated debentures, and trust preferred securities. The following tables provides long-term debt outstanding by maturity in five year increments. During 2022, as part of the Reliant acquisition, we assumed subordinated debt and trust preferred securities with an acquisition date fair value totaling $76.7 million Additional information regarding these debt instruments is provided in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Table 18 - Long-term Debt by Maturity Category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Next 5 years</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120" w:type="dxa"/>
            <w:vAlign w:val="bottom"/>
            <w:shd w:val="clear" w:color="auto" w:fill="CCEEFF"/>
          </w:tcPr>
          <w:p>
            <w:pPr>
              <w:spacing w:after="0"/>
              <w:rPr>
                <w:sz w:val="18"/>
                <w:szCs w:val="18"/>
                <w:color w:val="auto"/>
              </w:rPr>
            </w:pPr>
          </w:p>
        </w:tc>
      </w:tr>
      <w:tr>
        <w:trPr>
          <w:trHeight w:val="210"/>
        </w:trPr>
        <w:tc>
          <w:tcPr>
            <w:tcW w:w="656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6 - 10 years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263,093</w:t>
            </w:r>
          </w:p>
        </w:tc>
        <w:tc>
          <w:tcPr>
            <w:tcW w:w="3120" w:type="dxa"/>
            <w:vAlign w:val="bottom"/>
          </w:tcPr>
          <w:p>
            <w:pPr>
              <w:spacing w:after="0"/>
              <w:rPr>
                <w:sz w:val="18"/>
                <w:szCs w:val="18"/>
                <w:color w:val="auto"/>
              </w:rPr>
            </w:pPr>
          </w:p>
        </w:tc>
      </w:t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11 - 15 years</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31,239</w:t>
            </w:r>
          </w:p>
        </w:tc>
        <w:tc>
          <w:tcPr>
            <w:tcW w:w="3120" w:type="dxa"/>
            <w:vAlign w:val="bottom"/>
            <w:shd w:val="clear" w:color="auto" w:fill="CCEEFF"/>
          </w:tcPr>
          <w:p>
            <w:pPr>
              <w:spacing w:after="0"/>
              <w:rPr>
                <w:sz w:val="18"/>
                <w:szCs w:val="18"/>
                <w:color w:val="auto"/>
              </w:rPr>
            </w:pPr>
          </w:p>
        </w:tc>
      </w:tr>
      <w:tr>
        <w:trPr>
          <w:trHeight w:val="205"/>
        </w:trPr>
        <w:tc>
          <w:tcPr>
            <w:tcW w:w="6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329,332</w:t>
            </w:r>
          </w:p>
        </w:tc>
        <w:tc>
          <w:tcPr>
            <w:tcW w:w="3120" w:type="dxa"/>
            <w:vAlign w:val="bottom"/>
          </w:tcPr>
          <w:p>
            <w:pPr>
              <w:spacing w:after="0"/>
              <w:rPr>
                <w:sz w:val="17"/>
                <w:szCs w:val="17"/>
                <w:color w:val="auto"/>
              </w:rPr>
            </w:pPr>
          </w:p>
        </w:tc>
      </w:tr>
      <w:tr>
        <w:trPr>
          <w:trHeight w:val="212"/>
        </w:trPr>
        <w:tc>
          <w:tcPr>
            <w:tcW w:w="65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6"/>
                <w:szCs w:val="16"/>
                <w:color w:val="auto"/>
              </w:rPr>
              <w:t>Less discount</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3120" w:type="dxa"/>
            <w:vAlign w:val="bottom"/>
            <w:shd w:val="clear" w:color="auto" w:fill="CCEEFF"/>
          </w:tcPr>
          <w:p>
            <w:pPr>
              <w:spacing w:after="0"/>
              <w:rPr>
                <w:sz w:val="18"/>
                <w:szCs w:val="18"/>
                <w:color w:val="auto"/>
              </w:rPr>
            </w:pPr>
          </w:p>
        </w:tc>
      </w:tr>
      <w:tr>
        <w:trPr>
          <w:trHeight w:val="207"/>
        </w:trPr>
        <w:tc>
          <w:tcPr>
            <w:tcW w:w="656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Total long-term debt</w:t>
            </w: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31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operating lease agreements for many of our branch locations, ATMs, loan production offices and operation centers. For qualifying leases with a term exceeding one year we record a lease liability and ROU asset on our balance sheet. As of December 31, 2022, the lease liability and ROU asset totaled $41.7 million and $40.0 million, respectively, compared to $31.1 million and $29.4 million, respectively, at December 31, 2021. During 2022, we obtained $23.9 million in ROU assets in exchange for operating lease liabilities of approximately the same amount, $14.3 million of which were acquired in the Reliant transaction. Leases assumed were for retail branch locations and office spaces.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of December 31, 2022, the remaining terms of our leases ranged from a few months to 11 years. Certain of our leases contain options to renew the lease at the end of the current term. Unless we have determined we are reasonably likely to renew the lease, these options have been excluded from the calculation of our lease liability and ROU asset. Additional information regarding operating leases is provided in Note 14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2022, we purchased $42.7 million of fixed assets, which excludes fixed assets acquired in the Reliant acquisition. As of December 31, 2022 and 2021, we had $34.7 million and $10.1 million in construction in progress. Most notably, construction in progress includes costs related to the construction of the Bank’s new Greenville, South Carolina headquarters building, which is expected to be completed in 2024. As of December 31, 2022, we estimate the total cost of the headquarters project will be approximately $73 million, $40 million of which has yet to be incurred.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included commitments to extend credit and letters of credit, which totaled $4.73 billion at December 31, 2022.</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believe that we have adequate sources of liquidity to fund commitments that are drawn upon by borrowers.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hold investments in certain limited partnerships for tax credit and CRA purposes. As of December 31, 2022, for certain of these investments, we had committed to fund an additional $6.29 million related to future capital calls that has not been reflected in the consolidated balance sheet. As of December 31, 2022, we also had $17.4 million in commitments for future capital calls to fintech fund limited partnerships that have not been reflected in the consolidated balance sheet.</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not involved in off-balance sheet contractual relationships, other than those disclosed in this Report, that could result in liquidity needs or other commitments, or that could significantly affect earnings. See Note 23 to the consolidated financial statements for additional information on off-balance sheet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maintenance and management of capital levels is one of management’s significant priorities. Shareholders’ equity at December 31, 2022 was $2.70 billion, an increase of $478 million from December 31, 2021. The increase was primarily a result of net income of $277 million and the issuance of $596 million of common stock in connection with the Reliant acquisition. These increases were partially offset by dividends on common and preferred stock of $99.3 million and other comprehensive loss of $303 million mostly driven by unrealized holding losses on AFS debt securities resulting from rising interest rates.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risk-based capital guidelines of Basel III,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our total RWAs. RWAs for purposes of our capital ratios are calculated under these guidelines.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CET1 capital consists of common shareholders’ equity, excluding AOCI, intangible assets (goodwill, deposit-based intangibles and certain other intangibles, including certain servicing assets), net of associated deferred tax liabilities, and disallowed deferred tax assets. Tier 1 capital consists of CET1 plus non-cumulative perpetual preferred stock. Tier 2 capital includes the allowable portion of the ACL up to 1.25% of RWA as well as qualifying subordinated debt and trust preferred securities. Tier 1 capital plus Tier 2 capital is referred to as Total risk-based capital.</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outstanding junior subordinated debentures related to trust preferred securities totaling $34.3 million at December 31, 2022, of which $33.0 million (excluding common securities) qualified as Tier 2 capital. Further information on trust preferred securities is provided in Note 13 to the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minimum ratios required for capital adequacy purposes, as well as the thresholds for a categorization of “well-capitalized”.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19 -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United Community Banks, Inc.</w:t>
            </w:r>
          </w:p>
        </w:tc>
        <w:tc>
          <w:tcPr>
            <w:tcW w:w="2200" w:type="dxa"/>
            <w:vAlign w:val="bottom"/>
            <w:gridSpan w:val="3"/>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Well-</w:t>
            </w:r>
          </w:p>
        </w:tc>
        <w:tc>
          <w:tcPr>
            <w:tcW w:w="1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w w:val="98"/>
              </w:rPr>
              <w:t>Minimum Capital Plus</w:t>
            </w: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90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Capital Conservation</w:t>
            </w:r>
          </w:p>
        </w:tc>
        <w:tc>
          <w:tcPr>
            <w:tcW w:w="10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0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0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Risk-based ratios: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CET1 capital</w:t>
            </w:r>
          </w:p>
        </w:tc>
        <w:tc>
          <w:tcPr>
            <w:tcW w:w="1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Tier 1 capital</w:t>
            </w: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0"/>
        </w:trPr>
        <w:tc>
          <w:tcPr>
            <w:tcW w:w="2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capital</w:t>
            </w:r>
          </w:p>
        </w:tc>
        <w:tc>
          <w:tcPr>
            <w:tcW w:w="1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Leverage ratio</w:t>
            </w: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information related to capital ratios, as calculated under regulatory guidelines, is provided in Note 22 to the consolidated financial statements. As of December 31, 2022 and 2021, both United and the Bank were characterized as “well-capitalized”.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because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believes the effect of inflation on financial results depends on our ability to react to changes in interest rates and, by such reaction, reduce the inflationary effect on performance. We have an asset/liability management program to monitor and manage our interest rate sensitivity position.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2" w:name="page63"/>
    <w:bookmarkEnd w:id="6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20 - Interest Sensitivity</w:t>
      </w:r>
    </w:p>
    <w:p>
      <w:pPr>
        <w:spacing w:after="0" w:line="137"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 at</w:t>
      </w:r>
    </w:p>
    <w:p>
      <w:pPr>
        <w:jc w:val="center"/>
        <w:ind w:left="35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top w:val="single" w:sz="8" w:color="auto"/>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05"/>
        </w:trPr>
        <w:tc>
          <w:tcPr>
            <w:tcW w:w="514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20" w:type="dxa"/>
            <w:vAlign w:val="bottom"/>
          </w:tcPr>
          <w:p>
            <w:pPr>
              <w:spacing w:after="0"/>
              <w:rPr>
                <w:sz w:val="17"/>
                <w:szCs w:val="17"/>
                <w:color w:val="auto"/>
              </w:rPr>
            </w:pP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20" w:type="dxa"/>
            <w:vAlign w:val="bottom"/>
          </w:tcPr>
          <w:p>
            <w:pPr>
              <w:spacing w:after="0"/>
              <w:rPr>
                <w:sz w:val="17"/>
                <w:szCs w:val="17"/>
                <w:color w:val="auto"/>
              </w:rPr>
            </w:pPr>
          </w:p>
        </w:tc>
      </w:tr>
      <w:tr>
        <w:trPr>
          <w:trHeight w:val="220"/>
        </w:trPr>
        <w:tc>
          <w:tcPr>
            <w:tcW w:w="5140" w:type="dxa"/>
            <w:vAlign w:val="bottom"/>
            <w:tcBorders>
              <w:top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0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4.33 %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4.76 %</w:t>
            </w:r>
          </w:p>
        </w:tc>
        <w:tc>
          <w:tcPr>
            <w:tcW w:w="1520" w:type="dxa"/>
            <w:vAlign w:val="bottom"/>
            <w:tcBorders>
              <w:top w:val="single" w:sz="8" w:color="CCEEFF"/>
            </w:tcBorders>
            <w:shd w:val="clear" w:color="auto" w:fill="CCEEFF"/>
          </w:tcPr>
          <w:p>
            <w:pPr>
              <w:spacing w:after="0"/>
              <w:rPr>
                <w:sz w:val="19"/>
                <w:szCs w:val="19"/>
                <w:color w:val="auto"/>
              </w:rPr>
            </w:pPr>
          </w:p>
        </w:tc>
      </w:tr>
      <w:tr>
        <w:trPr>
          <w:trHeight w:val="225"/>
        </w:trPr>
        <w:tc>
          <w:tcPr>
            <w:tcW w:w="5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3.07</w:t>
            </w:r>
          </w:p>
        </w:tc>
        <w:tc>
          <w:tcPr>
            <w:tcW w:w="1520" w:type="dxa"/>
            <w:vAlign w:val="bottom"/>
          </w:tcPr>
          <w:p>
            <w:pPr>
              <w:spacing w:after="0"/>
              <w:rPr>
                <w:sz w:val="19"/>
                <w:szCs w:val="19"/>
                <w:color w:val="auto"/>
              </w:rPr>
            </w:pPr>
          </w:p>
        </w:tc>
      </w:tr>
      <w:tr>
        <w:trPr>
          <w:trHeight w:val="225"/>
        </w:trPr>
        <w:tc>
          <w:tcPr>
            <w:tcW w:w="51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100 basis point decrease</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(3.80)</w:t>
            </w:r>
          </w:p>
        </w:tc>
        <w:tc>
          <w:tcPr>
            <w:tcW w:w="1520" w:type="dxa"/>
            <w:vAlign w:val="bottom"/>
            <w:shd w:val="clear" w:color="auto" w:fill="CCEEFF"/>
          </w:tcPr>
          <w:p>
            <w:pPr>
              <w:spacing w:after="0"/>
              <w:rPr>
                <w:sz w:val="19"/>
                <w:szCs w:val="19"/>
                <w:color w:val="auto"/>
              </w:rPr>
            </w:pPr>
          </w:p>
        </w:tc>
      </w:tr>
      <w:tr>
        <w:trPr>
          <w:trHeight w:val="231"/>
        </w:trPr>
        <w:tc>
          <w:tcPr>
            <w:tcW w:w="5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200 basis point decrease</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20"/>
                <w:szCs w:val="20"/>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(4.51)</w:t>
            </w:r>
          </w:p>
        </w:tc>
        <w:tc>
          <w:tcPr>
            <w:tcW w:w="1520" w:type="dxa"/>
            <w:vAlign w:val="bottom"/>
          </w:tcPr>
          <w:p>
            <w:pPr>
              <w:spacing w:after="0"/>
              <w:rPr>
                <w:sz w:val="20"/>
                <w:szCs w:val="20"/>
                <w:color w:val="auto"/>
              </w:rPr>
            </w:pPr>
          </w:p>
        </w:tc>
      </w:tr>
    </w:tbl>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3" w:name="page64"/>
    <w:bookmarkEnd w:id="63"/>
    <w:p>
      <w:pPr>
        <w:jc w:val="both"/>
        <w:spacing w:after="0" w:line="259"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of the registrant and report of independent registered public accounting firm are included herein on the pages that follow.</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593725</wp:posOffset>
            </wp:positionV>
            <wp:extent cx="2153920" cy="639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2153920" cy="63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5"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35" w:lineRule="exact"/>
        <w:rPr>
          <w:rFonts w:ascii="Times New Roman" w:cs="Times New Roman" w:eastAsia="Times New Roman" w:hAnsi="Times New Roman"/>
          <w:sz w:val="17"/>
          <w:szCs w:val="17"/>
          <w:color w:val="auto"/>
        </w:rPr>
      </w:pPr>
    </w:p>
    <w:p>
      <w:pPr>
        <w:jc w:val="both"/>
        <w:ind w:left="320" w:hanging="314"/>
        <w:spacing w:after="0" w:line="245"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2" w:lineRule="exact"/>
        <w:rPr>
          <w:rFonts w:ascii="Times New Roman" w:cs="Times New Roman" w:eastAsia="Times New Roman" w:hAnsi="Times New Roman"/>
          <w:sz w:val="18"/>
          <w:szCs w:val="18"/>
          <w:color w:val="auto"/>
        </w:rPr>
      </w:pPr>
    </w:p>
    <w:p>
      <w:pPr>
        <w:ind w:left="320" w:hanging="314"/>
        <w:spacing w:after="0" w:line="251"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has assessed the effectiveness of the internal control over financial reporting as of December 31, 2022. In making this assessment, we used the criteria established in Internal Control – Integrated Framework (2013) issued by the Committee of Sponsoring Organizations of the Treadway Commission (COSO). Management also conducted an assessment of requirements pertaining to Section 112 of the Federal Deposit Insurance Corporation Improvement Act. This section relates to management’s evaluation of internal control over financial reporting, including controls over the preparation of financial statements in accordance with the instructions to the Consolidated Financial Statements for Bank Holding Companies (Form FR Y-9C) and in compliance with laws and regulations. Our evaluation included a review of the documentation of controls, evaluations of the design of the internal control system and tests of the effectiveness of internal controls.</w:t>
      </w:r>
    </w:p>
    <w:p>
      <w:pPr>
        <w:spacing w:after="0" w:line="2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2022, United Community Banks, Inc.’s internal control over financial reporting is effective based on those criteria.</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321"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 Lynn Harton</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3"/>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 Lynn Harton</w:t>
            </w:r>
          </w:p>
        </w:tc>
        <w:tc>
          <w:tcPr>
            <w:tcW w:w="1040" w:type="dxa"/>
            <w:vAlign w:val="bottom"/>
          </w:tcPr>
          <w:p>
            <w:pPr>
              <w:spacing w:after="0"/>
              <w:rPr>
                <w:sz w:val="18"/>
                <w:szCs w:val="18"/>
                <w:color w:val="auto"/>
              </w:rPr>
            </w:pPr>
          </w:p>
        </w:tc>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1"/>
        </w:trPr>
        <w:tc>
          <w:tcPr>
            <w:tcW w:w="3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745490</wp:posOffset>
            </wp:positionV>
            <wp:extent cx="1118870" cy="942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1887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w:t>
      </w:r>
    </w:p>
    <w:p>
      <w:pPr>
        <w:spacing w:after="0" w:line="234" w:lineRule="auto"/>
        <w:rPr>
          <w:sz w:val="20"/>
          <w:szCs w:val="20"/>
          <w:color w:val="auto"/>
        </w:rPr>
      </w:pPr>
      <w:r>
        <w:rPr>
          <w:rFonts w:ascii="Georgia" w:cs="Georgia" w:eastAsia="Georgia" w:hAnsi="Georgia"/>
          <w:sz w:val="18"/>
          <w:szCs w:val="18"/>
          <w:color w:val="auto"/>
        </w:rPr>
        <w:t>of United Community Banks, Inc.</w:t>
      </w:r>
    </w:p>
    <w:p>
      <w:pPr>
        <w:spacing w:after="0" w:line="24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51" w:lineRule="exact"/>
        <w:rPr>
          <w:sz w:val="20"/>
          <w:szCs w:val="20"/>
          <w:color w:val="auto"/>
        </w:rPr>
      </w:pPr>
    </w:p>
    <w:p>
      <w:pPr>
        <w:ind w:right="40"/>
        <w:spacing w:after="0" w:line="247" w:lineRule="auto"/>
        <w:rPr>
          <w:sz w:val="20"/>
          <w:szCs w:val="20"/>
          <w:color w:val="auto"/>
        </w:rPr>
      </w:pPr>
      <w:r>
        <w:rPr>
          <w:rFonts w:ascii="Georgia" w:cs="Georgia" w:eastAsia="Georgia" w:hAnsi="Georgia"/>
          <w:sz w:val="18"/>
          <w:szCs w:val="18"/>
          <w:color w:val="auto"/>
        </w:rPr>
        <w:t>We have audited the accompanying consolidated balance sheets of United Community Banks, Inc, (the “Company”) as of December 31, 2022 and 2021, and the related consolidated statements of income, of comprehensive income (loss), of changes in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248" w:lineRule="exact"/>
        <w:rPr>
          <w:sz w:val="20"/>
          <w:szCs w:val="20"/>
          <w:color w:val="auto"/>
        </w:rPr>
      </w:pPr>
    </w:p>
    <w:p>
      <w:pPr>
        <w:ind w:right="260"/>
        <w:spacing w:after="0" w:line="24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51" w:lineRule="exact"/>
        <w:rPr>
          <w:sz w:val="20"/>
          <w:szCs w:val="20"/>
          <w:color w:val="auto"/>
        </w:rPr>
      </w:pPr>
    </w:p>
    <w:p>
      <w:pPr>
        <w:ind w:right="100"/>
        <w:spacing w:after="0" w:line="24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 Controls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9" w:lineRule="exact"/>
        <w:rPr>
          <w:sz w:val="20"/>
          <w:szCs w:val="20"/>
          <w:color w:val="auto"/>
        </w:rPr>
      </w:pPr>
    </w:p>
    <w:p>
      <w:pPr>
        <w:jc w:val="both"/>
        <w:spacing w:after="0" w:line="246"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46" w:lineRule="exact"/>
        <w:rPr>
          <w:sz w:val="20"/>
          <w:szCs w:val="20"/>
          <w:color w:val="auto"/>
        </w:rPr>
      </w:pPr>
    </w:p>
    <w:p>
      <w:pPr>
        <w:ind w:right="120"/>
        <w:spacing w:after="0" w:line="248"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51" w:lineRule="exact"/>
        <w:rPr>
          <w:sz w:val="20"/>
          <w:szCs w:val="20"/>
          <w:color w:val="auto"/>
        </w:rPr>
      </w:pPr>
    </w:p>
    <w:p>
      <w:pPr>
        <w:ind w:right="20"/>
        <w:spacing w:after="0" w:line="264" w:lineRule="auto"/>
        <w:rPr>
          <w:sz w:val="20"/>
          <w:szCs w:val="20"/>
          <w:color w:val="auto"/>
        </w:rPr>
      </w:pPr>
      <w:r>
        <w:rPr>
          <w:rFonts w:ascii="Georgia" w:cs="Georgia" w:eastAsia="Georgia" w:hAnsi="Georgia"/>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jc w:val="both"/>
        <w:ind w:right="240"/>
        <w:spacing w:after="0" w:line="246"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440" w:right="339" w:bottom="0" w:gutter="0" w:footer="0" w:header="0"/>
        </w:sectPr>
      </w:pPr>
    </w:p>
    <w:p>
      <w:pPr>
        <w:spacing w:after="0" w:line="246" w:lineRule="exact"/>
        <w:rPr>
          <w:sz w:val="20"/>
          <w:szCs w:val="20"/>
          <w:color w:val="auto"/>
        </w:rPr>
      </w:pPr>
    </w:p>
    <w:p>
      <w:pPr>
        <w:spacing w:after="0"/>
        <w:rPr>
          <w:sz w:val="20"/>
          <w:szCs w:val="20"/>
          <w:color w:val="auto"/>
        </w:rPr>
      </w:pPr>
      <w:r>
        <w:rPr>
          <w:rFonts w:ascii="Georgia" w:cs="Georgia" w:eastAsia="Georgia" w:hAnsi="Georgia"/>
          <w:sz w:val="17"/>
          <w:szCs w:val="17"/>
          <w:b w:val="1"/>
          <w:bCs w:val="1"/>
          <w:i w:val="1"/>
          <w:iCs w:val="1"/>
          <w:color w:val="auto"/>
        </w:rPr>
        <w:t>Critical Audit Matters</w:t>
      </w:r>
    </w:p>
    <w:p>
      <w:pPr>
        <w:sectPr>
          <w:pgSz w:w="11900" w:h="16838" w:orient="portrait"/>
          <w:cols w:equalWidth="0" w:num="1">
            <w:col w:w="11240"/>
          </w:cols>
          <w:pgMar w:left="320" w:top="1440" w:right="339" w:bottom="0" w:gutter="0" w:footer="0" w:header="0"/>
          <w:type w:val="continuous"/>
        </w:sectPr>
      </w:pPr>
    </w:p>
    <w:bookmarkStart w:id="66" w:name="page67"/>
    <w:bookmarkEnd w:id="66"/>
    <w:p>
      <w:pPr>
        <w:spacing w:after="0" w:line="247" w:lineRule="auto"/>
        <w:rPr>
          <w:sz w:val="20"/>
          <w:szCs w:val="20"/>
          <w:color w:val="auto"/>
        </w:rPr>
      </w:pPr>
      <w:r>
        <w:rPr>
          <w:rFonts w:ascii="Georgia" w:cs="Georgia" w:eastAsia="Georgia" w:hAnsi="Georgia"/>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4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Allowance for Credit Losses - Loans Qualitative Factors</w:t>
      </w:r>
    </w:p>
    <w:p>
      <w:pPr>
        <w:spacing w:after="0" w:line="251" w:lineRule="exact"/>
        <w:rPr>
          <w:sz w:val="20"/>
          <w:szCs w:val="20"/>
          <w:color w:val="auto"/>
        </w:rPr>
      </w:pPr>
    </w:p>
    <w:p>
      <w:pPr>
        <w:ind w:right="60"/>
        <w:spacing w:after="0" w:line="264" w:lineRule="auto"/>
        <w:rPr>
          <w:sz w:val="20"/>
          <w:szCs w:val="20"/>
          <w:color w:val="auto"/>
        </w:rPr>
      </w:pPr>
      <w:r>
        <w:rPr>
          <w:rFonts w:ascii="Georgia" w:cs="Georgia" w:eastAsia="Georgia" w:hAnsi="Georgia"/>
          <w:sz w:val="17"/>
          <w:szCs w:val="17"/>
          <w:color w:val="auto"/>
        </w:rPr>
        <w:t>As described in Notes 1 and 6 to the consolidated financial statements, the allowance for credit losses – loans and leases (collectively referred to as “loans”) represents management’s estimate of expected credit losses for the remaining estimated life of loans and leases. As of December 31, 2022, the allowance for credit losses - loans was $159 million. Management determines the allowance for credit losses - loans using relevant available information, from internal and external sources, relating to past events, current conditions, and reasonable and supportable forecasts. Expected credit losses were estimated using a regression model for each segment based on historical data from peer banks which incorporates a third party vendor’s economic forecast to predict the change in credit losses. The allowance for credit losses - loans is calculated using a discounted cash flow methodology at the loan level, with loss rates, prepayment assumptions, and curtailment assumptions driven by each loan’s collateral type. As of December 31, 2022, management applied qualitative factors to the model output for commercial construction, HELOC, residential mortgage and equipment finance portfolios to reflect management’s approximation of long-term loss rates.</w:t>
      </w:r>
    </w:p>
    <w:p>
      <w:pPr>
        <w:spacing w:after="0" w:line="234" w:lineRule="exact"/>
        <w:rPr>
          <w:sz w:val="20"/>
          <w:szCs w:val="20"/>
          <w:color w:val="auto"/>
        </w:rPr>
      </w:pPr>
    </w:p>
    <w:p>
      <w:pPr>
        <w:ind w:right="240"/>
        <w:spacing w:after="0" w:line="24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allowance for credit losses - loans qualitative factors is a critical audit matter are (i) the significant judgment by management when estimating expected credit losses, which in turn led to a high degree of auditor judgment, subjectivity and effort in performing procedures and evaluating audit evidence relating to the qualitative factors applied to the model output for commercial construction, HELOC, residential mortgage and equipment finance portfolios and (ii) the audit effort involved the use of professionals with specialized skill and knowledge.</w:t>
      </w:r>
    </w:p>
    <w:p>
      <w:pPr>
        <w:spacing w:after="0" w:line="8" w:lineRule="exact"/>
        <w:rPr>
          <w:sz w:val="20"/>
          <w:szCs w:val="20"/>
          <w:color w:val="auto"/>
        </w:rPr>
      </w:pPr>
    </w:p>
    <w:p>
      <w:pPr>
        <w:ind w:right="40"/>
        <w:spacing w:after="0" w:line="24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allowance for credit losses - loans qualitative factors estimation process, including controls over the qualitative factors applied to the model output for commercial construction, HELOC, residential mortgage and equipment finance portfolios. These procedures also included, among others, (i) testing management’s process for</w:t>
      </w:r>
    </w:p>
    <w:p>
      <w:pPr>
        <w:spacing w:after="0" w:line="8" w:lineRule="exact"/>
        <w:rPr>
          <w:sz w:val="20"/>
          <w:szCs w:val="20"/>
          <w:color w:val="auto"/>
        </w:rPr>
      </w:pPr>
    </w:p>
    <w:p>
      <w:pPr>
        <w:ind w:right="60"/>
        <w:spacing w:after="0" w:line="247" w:lineRule="auto"/>
        <w:rPr>
          <w:sz w:val="20"/>
          <w:szCs w:val="20"/>
          <w:color w:val="auto"/>
        </w:rPr>
      </w:pPr>
      <w:r>
        <w:rPr>
          <w:rFonts w:ascii="Georgia" w:cs="Georgia" w:eastAsia="Georgia" w:hAnsi="Georgia"/>
          <w:sz w:val="18"/>
          <w:szCs w:val="18"/>
          <w:color w:val="auto"/>
        </w:rPr>
        <w:t>determining the allowance for credit losses - loans qualitative factors, (ii) evaluating the appropriateness of management’s methodology, (iii) testing the completeness and accuracy of the data used by management, and (iv) evaluating the reasonableness of the qualitative factors applied to the model output for commercial construction, HELOC, residential mortgage and equipment finance portfolios. Professionals with specialized skill and knowledge were used to assist in testing management’s process for determining the allowance for credit losses - loans qualitative factors, evaluating the appropriateness of management’s methodology, and evaluating the reasonableness of the qualitative factors applied to the model output.</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Initial Valuation of Acquired Loans – Reliant Bancorp, Inc.</w:t>
      </w:r>
    </w:p>
    <w:p>
      <w:pPr>
        <w:spacing w:after="0" w:line="251" w:lineRule="exact"/>
        <w:rPr>
          <w:sz w:val="20"/>
          <w:szCs w:val="20"/>
          <w:color w:val="auto"/>
        </w:rPr>
      </w:pPr>
    </w:p>
    <w:p>
      <w:pPr>
        <w:ind w:right="60"/>
        <w:spacing w:after="0" w:line="248" w:lineRule="auto"/>
        <w:rPr>
          <w:sz w:val="20"/>
          <w:szCs w:val="20"/>
          <w:color w:val="auto"/>
        </w:rPr>
      </w:pPr>
      <w:r>
        <w:rPr>
          <w:rFonts w:ascii="Georgia" w:cs="Georgia" w:eastAsia="Georgia" w:hAnsi="Georgia"/>
          <w:sz w:val="18"/>
          <w:szCs w:val="18"/>
          <w:color w:val="auto"/>
        </w:rPr>
        <w:t>As described in Notes 1 and 3 to the consolidated financial statements, during 2022 the Company completed the acquisition of Reliant Bancorp, Inc. The acquisition included a fair value of acquired loans balance of $2.321 billion. Purchased loans were recorded at fair value on the date of acquisition. Fair values for acquired loans are generally based on a discounted cash flow methodology that considers credit loss expectations, market interest rates and other market factors such as liquidity from the perspective of a market participant. The probability of default, loss given default and prepayment assumptions are the key factors driving credit losses which were embedded into the estimated cash flows. These assumptions are informed by internal data on loan characteristics, historical loss experience, and current and forecasted economic conditions. The interest and liquidity component of the estimate was determined by discounting interest and principal cash flows through the expected life of each loan. The discount rates used for loans are based on current market rates for new originations of comparable loans and include adjustments for liquidity.</w:t>
      </w:r>
    </w:p>
    <w:p>
      <w:pPr>
        <w:spacing w:after="0" w:line="244" w:lineRule="exact"/>
        <w:rPr>
          <w:sz w:val="20"/>
          <w:szCs w:val="20"/>
          <w:color w:val="auto"/>
        </w:rPr>
      </w:pPr>
    </w:p>
    <w:p>
      <w:pPr>
        <w:ind w:right="280"/>
        <w:spacing w:after="0" w:line="24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initial valuation of acquired loans in the acquisition of Reliant Bancorp, Inc. is a critical audit matter are (i) the significant judgment by management to estimate the fair value of the acquired loans, which in turn led to a high degree of auditor judgment, subjectivity and effort in performing procedures and evaluating audit evidence related to the discount rate, probability of default, loss given default and prepayment significant assumptions used by management, and (ii) the audit effort involved the use of professionals with specialized skill and knowledge.</w:t>
      </w:r>
    </w:p>
    <w:p>
      <w:pPr>
        <w:spacing w:after="0" w:line="246" w:lineRule="exact"/>
        <w:rPr>
          <w:sz w:val="20"/>
          <w:szCs w:val="20"/>
          <w:color w:val="auto"/>
        </w:rPr>
      </w:pPr>
    </w:p>
    <w:p>
      <w:pPr>
        <w:ind w:right="80"/>
        <w:spacing w:after="0" w:line="264" w:lineRule="auto"/>
        <w:rPr>
          <w:sz w:val="20"/>
          <w:szCs w:val="20"/>
          <w:color w:val="auto"/>
        </w:rPr>
      </w:pPr>
      <w:r>
        <w:rPr>
          <w:rFonts w:ascii="Georgia" w:cs="Georgia" w:eastAsia="Georgia" w:hAnsi="Georgia"/>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initial valuation of the acquired loans, including controls over the discount rate, probability of default, loss given default and prepayment significant assumptions used in the discounted cash flow methodology. These procedures also included, among others, (i) testing the completeness and accuracy of data provided by management and (ii) the involvement of professionals with specialized skill and knowledge to assist with (a) developing independent ranges of fair value for a sample of acquired loan portfolios and (b) comparing the independent ranges to management’s estimate to evaluate the reasonableness of management’s estimate. Developing the independent ranges of fair value involved independently developing the discount rate, probability of default and loss given default assumptions using contractual loan terms and external market data.</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3" w:lineRule="auto"/>
        <w:rPr>
          <w:sz w:val="20"/>
          <w:szCs w:val="20"/>
          <w:color w:val="auto"/>
        </w:rPr>
      </w:pPr>
      <w:r>
        <w:rPr>
          <w:rFonts w:ascii="Georgia" w:cs="Georgia" w:eastAsia="Georgia" w:hAnsi="Georgia"/>
          <w:sz w:val="18"/>
          <w:szCs w:val="18"/>
          <w:color w:val="auto"/>
        </w:rPr>
        <w:t>Atlanta, Georgia</w:t>
      </w:r>
    </w:p>
    <w:p>
      <w:pPr>
        <w:spacing w:after="0" w:line="234" w:lineRule="auto"/>
        <w:rPr>
          <w:sz w:val="20"/>
          <w:szCs w:val="20"/>
          <w:color w:val="auto"/>
        </w:rPr>
      </w:pPr>
      <w:r>
        <w:rPr>
          <w:rFonts w:ascii="Georgia" w:cs="Georgia" w:eastAsia="Georgia" w:hAnsi="Georgia"/>
          <w:sz w:val="18"/>
          <w:szCs w:val="18"/>
          <w:color w:val="auto"/>
        </w:rPr>
        <w:t>February 24, 2023</w:t>
      </w:r>
    </w:p>
    <w:p>
      <w:pPr>
        <w:spacing w:after="0" w:line="233"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2013.</w:t>
      </w:r>
    </w:p>
    <w:p>
      <w:pPr>
        <w:sectPr>
          <w:pgSz w:w="11900" w:h="16838" w:orient="portrait"/>
          <w:cols w:equalWidth="0" w:num="1">
            <w:col w:w="11240"/>
          </w:cols>
          <w:pgMar w:left="320" w:top="138" w:right="339" w:bottom="509"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 w:right="339" w:bottom="509"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2022 and 2021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144,244</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2,147,266</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2,318,510</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held-to-maturity (fair value $2,191,073 and $1,148,804,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and leases,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217,713</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42,999</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41,322</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211,199</w:t>
            </w:r>
          </w:p>
        </w:tc>
        <w:tc>
          <w:tcPr>
            <w:tcW w:w="0" w:type="dxa"/>
            <w:vAlign w:val="bottom"/>
          </w:tcPr>
          <w:p>
            <w:pPr>
              <w:spacing w:after="0"/>
              <w:rPr>
                <w:sz w:val="1"/>
                <w:szCs w:val="1"/>
                <w:color w:val="auto"/>
              </w:rPr>
            </w:pPr>
          </w:p>
        </w:tc>
      </w:tr>
      <w:tr>
        <w:trPr>
          <w:trHeight w:val="207"/>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24,008,884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3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7,643,081</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12,233,426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11,284,198</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25,145</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210,842</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21,308,210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18,724,526</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30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Preferred stock, $1 par value: 10,000,000 shares authorized; Series I, $25,000 per share liquidation</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preference; 4,000 shares issued and outstanding</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30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$1 par value; 200,000,000 shares authorized, respectively;</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106,223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0" w:type="dxa"/>
            <w:vAlign w:val="bottom"/>
          </w:tcPr>
          <w:p>
            <w:pPr>
              <w:spacing w:after="0"/>
              <w:rPr>
                <w:sz w:val="1"/>
                <w:szCs w:val="1"/>
                <w:color w:val="auto"/>
              </w:rPr>
            </w:pPr>
          </w:p>
        </w:tc>
      </w:tr>
      <w:tr>
        <w:trPr>
          <w:trHeight w:val="210"/>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106,222,758 and 89,349,826 shares issued and outstanding, respectively</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issuable; 607,128 and 595,705 shares,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10"/>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2,306,366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07"/>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24,008,884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including fees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673,402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505,734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494,212</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55,031</w:t>
            </w:r>
          </w:p>
        </w:tc>
      </w:tr>
      <w:tr>
        <w:trPr>
          <w:trHeight w:val="214"/>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exempt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Deposits in banks and short-term investments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interest revenue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557,996</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41,772</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14,434</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56,237</w:t>
            </w:r>
          </w:p>
        </w:tc>
      </w:tr>
      <w:tr>
        <w:trPr>
          <w:trHeight w:val="20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interest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501,759</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80,434</w:t>
            </w:r>
          </w:p>
        </w:tc>
      </w:tr>
      <w:tr>
        <w:trPr>
          <w:trHeight w:val="20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interest revenue after provision for credit losses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688,444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586,584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421,325</w:t>
            </w:r>
          </w:p>
        </w:tc>
      </w:tr>
      <w:tr>
        <w:trPr>
          <w:trHeight w:val="19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32,401</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76,087</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Wealth management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 from other loan sales,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(losses) gains,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24,185</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156,109</w:t>
            </w:r>
          </w:p>
        </w:tc>
      </w:tr>
      <w:tr>
        <w:trPr>
          <w:trHeight w:val="203"/>
        </w:trPr>
        <w:tc>
          <w:tcPr>
            <w:tcW w:w="6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826,151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577,434</w:t>
            </w:r>
          </w:p>
        </w:tc>
      </w:tr>
      <w:tr>
        <w:trPr>
          <w:trHeight w:val="19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224,060</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25,791</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27,149</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18,032</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15,203</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w:t>
            </w:r>
          </w:p>
        </w:tc>
      </w:tr>
      <w:tr>
        <w:trPr>
          <w:trHeight w:val="203"/>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367,989</w:t>
            </w:r>
          </w:p>
        </w:tc>
      </w:tr>
      <w:tr>
        <w:trPr>
          <w:trHeight w:val="20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209,445</w:t>
            </w:r>
          </w:p>
        </w:tc>
      </w:tr>
      <w:tr>
        <w:trPr>
          <w:trHeight w:val="21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45,356</w:t>
            </w:r>
          </w:p>
        </w:tc>
      </w:tr>
      <w:tr>
        <w:trPr>
          <w:trHeight w:val="232"/>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income available to common shareholders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159,269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per common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83,184</w:t>
            </w:r>
          </w:p>
        </w:tc>
      </w:tr>
      <w:tr>
        <w:trPr>
          <w:trHeight w:val="208"/>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83,248</w:t>
            </w:r>
          </w:p>
        </w:tc>
      </w:tr>
    </w:tbl>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89"/>
              </w:rPr>
              <w:t>Tax</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88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00" w:type="dxa"/>
            <w:vAlign w:val="bottom"/>
            <w:gridSpan w:val="3"/>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(Expense)</w:t>
            </w:r>
          </w:p>
        </w:tc>
        <w:tc>
          <w:tcPr>
            <w:tcW w:w="880" w:type="dxa"/>
            <w:vAlign w:val="bottom"/>
            <w:gridSpan w:val="3"/>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(Expense)</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2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6"/>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277,472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164,089</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Unrealized gains (losses) on available-for-sale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holding (losses) 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29,871</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w w:val="99"/>
              </w:rPr>
              <w:t>Reclassification of securities from available-for-</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 to held-to-maturity</w:t>
            </w: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Realized (gains) losses included in net income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unrealized (losses) gains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29,314</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Unrealized losses on held-to-maturity securities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transferred from available-for-sale: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Reclassification of unrealized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unrealized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7"/>
        </w:trPr>
        <w:tc>
          <w:tcPr>
            <w:tcW w:w="3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activity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Derivative instruments designated as cash flow</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holding gains (losses) on derivatives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59"/>
        </w:trPr>
        <w:tc>
          <w:tcPr>
            <w:tcW w:w="326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Losses on derivative instruments realized in net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benefit pension plan activity: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Net actuarial gain (loss) on defined</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pension plans</w:t>
            </w: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6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w w:val="99"/>
              </w:rPr>
              <w:t>Amortization of defined benefit pension plan net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periodic pension cost components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defined benefit pension plan activity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4,849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(85,759)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21,573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29,316</w:t>
            </w: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262,004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248,068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193,405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914" w:right="4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3"/>
                <w:szCs w:val="13"/>
                <w:color w:val="auto"/>
              </w:rPr>
            </w:pPr>
          </w:p>
        </w:tc>
        <w:tc>
          <w:tcPr>
            <w:tcW w:w="13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74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79,013,729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11,491</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$ 1,496,641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1,635,692</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164,089</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29,316</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stock</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for acquisitions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8,130,633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163,589</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(20,782)</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dividends ($0.72 per</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(60,310)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(60,310)</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202,437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line="161" w:lineRule="exact"/>
              <w:rPr>
                <w:sz w:val="20"/>
                <w:szCs w:val="20"/>
                <w:color w:val="auto"/>
              </w:rPr>
            </w:pPr>
            <w:r>
              <w:rPr>
                <w:rFonts w:ascii="Times New Roman" w:cs="Times New Roman" w:eastAsia="Times New Roman" w:hAnsi="Times New Roman"/>
                <w:sz w:val="16"/>
                <w:szCs w:val="16"/>
                <w:color w:val="auto"/>
              </w:rPr>
              <w:t>1,120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4,764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6,086</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86,675,279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1,638,999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2,007,530</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for acquisitions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95,525</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dividends ($0.78 per</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(69,140)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(69,140)</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224,706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line="161" w:lineRule="exact"/>
              <w:rPr>
                <w:sz w:val="20"/>
                <w:szCs w:val="20"/>
                <w:color w:val="auto"/>
              </w:rPr>
            </w:pPr>
            <w:r>
              <w:rPr>
                <w:rFonts w:ascii="Times New Roman" w:cs="Times New Roman" w:eastAsia="Times New Roman" w:hAnsi="Times New Roman"/>
                <w:sz w:val="16"/>
                <w:szCs w:val="16"/>
                <w:color w:val="auto"/>
              </w:rPr>
              <w:t>1,061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89,349,826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11,288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for acquisitions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0" w:type="dxa"/>
            <w:vAlign w:val="bottom"/>
          </w:tcPr>
          <w:p>
            <w:pPr>
              <w:spacing w:after="0"/>
              <w:rPr>
                <w:sz w:val="1"/>
                <w:szCs w:val="1"/>
                <w:color w:val="auto"/>
              </w:rPr>
            </w:pPr>
          </w:p>
        </w:tc>
      </w:tr>
      <w:tr>
        <w:trPr>
          <w:trHeight w:val="159"/>
        </w:trPr>
        <w:tc>
          <w:tcPr>
            <w:tcW w:w="27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dividends ($0.86 per</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(92,407)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(92,407)</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233,489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line="161" w:lineRule="exact"/>
              <w:rPr>
                <w:sz w:val="20"/>
                <w:szCs w:val="20"/>
                <w:color w:val="auto"/>
              </w:rPr>
            </w:pPr>
            <w:r>
              <w:rPr>
                <w:rFonts w:ascii="Times New Roman" w:cs="Times New Roman" w:eastAsia="Times New Roman" w:hAnsi="Times New Roman"/>
                <w:sz w:val="16"/>
                <w:szCs w:val="16"/>
                <w:color w:val="auto"/>
              </w:rPr>
              <w:t>2,046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4,661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of other equity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106,222,758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12,307</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$ 2,306,366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(329,488)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1" w:name="page72"/>
    <w:bookmarkEnd w:id="71"/>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UNITED COMMUNITY BANKS, INC. AND SUBSIDIARIES</w:t>
      </w:r>
    </w:p>
    <w:p>
      <w:pPr>
        <w:spacing w:after="0" w:line="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277,472</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269,801</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amortization and accretion,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losses (gains),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from other loan sales,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1"/>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Increase (decrease) in other 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Decrease (increase) in loans held for sale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144,537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18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607,307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w:t>
            </w:r>
          </w:p>
        </w:tc>
      </w:tr>
      <w:tr>
        <w:trPr>
          <w:trHeight w:val="186"/>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91"/>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w:t>
            </w:r>
          </w:p>
        </w:tc>
      </w:tr>
      <w:tr>
        <w:trPr>
          <w:trHeight w:val="20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(1,667,466)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(2,587,420)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(1,456,3</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(increase) decrease in loans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(1,228,675)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(1,069,0</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investments, outflows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investments, inflows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received in acquisitions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of premises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other real estate owned and repossessed assets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outflows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investing inflows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(2,020,181)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(1,806,403)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w:t>
            </w:r>
          </w:p>
        </w:tc>
      </w:tr>
      <w:tr>
        <w:trPr>
          <w:trHeight w:val="199"/>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(decrease) increase in deposits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2,353,451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2,534,4</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in short-term borrowings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long-term debt, net of issuance costs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Series I preferred stock, net of issuance costs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inflows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outflows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5"/>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(258,783)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2,156,974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2,515,2</w:t>
            </w:r>
          </w:p>
        </w:tc>
      </w:tr>
      <w:tr>
        <w:trPr>
          <w:trHeight w:val="186"/>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(1,671,657)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w:t>
            </w: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2,318,510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1,608,619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646,853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2,318,510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1,608,6</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11020"/>
          </w:cols>
          <w:pgMar w:left="640" w:top="919"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919" w:right="239" w:bottom="1440" w:gutter="0" w:footer="0" w:header="0"/>
          <w:type w:val="continuous"/>
        </w:sectPr>
      </w:pPr>
    </w:p>
    <w:bookmarkStart w:id="72" w:name="page73"/>
    <w:bookmarkEnd w:id="7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4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See the Glossary of Defined Terms at the beginning of this Report for terms used herein. The accounting principles followed by United and the methods of applying these principles conform with GAAP and with general practices within the banking industry. The following is a description of the significant policies.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Basis of Presentation</w:t>
      </w:r>
    </w:p>
    <w:p>
      <w:pPr>
        <w:spacing w:after="0" w:line="14" w:lineRule="exact"/>
        <w:rPr>
          <w:sz w:val="20"/>
          <w:szCs w:val="20"/>
          <w:color w:val="auto"/>
        </w:rPr>
      </w:pPr>
    </w:p>
    <w:p>
      <w:pPr>
        <w:jc w:val="both"/>
        <w:ind w:left="320"/>
        <w:spacing w:after="0" w:line="233" w:lineRule="auto"/>
        <w:rPr>
          <w:sz w:val="20"/>
          <w:szCs w:val="20"/>
          <w:color w:val="auto"/>
        </w:rPr>
      </w:pPr>
      <w:r>
        <w:rPr>
          <w:rFonts w:ascii="Times New Roman" w:cs="Times New Roman" w:eastAsia="Times New Roman" w:hAnsi="Times New Roman"/>
          <w:sz w:val="18"/>
          <w:szCs w:val="18"/>
          <w:color w:val="auto"/>
        </w:rPr>
        <w:t>The Holding Company is a bank holding company under the BHC Act and, as of July 1, 2021, a financial holding company under the GLB Act. Financial holding company status allows for engagement in a broader range of financial activities. Prior to that the Holding Company was a bank holding company. The Holding Company’s principal business is conducted by its wholly-owned commercial bank subsidiary, United Community Bank. United is subject to regulation under the BHC Act. The consolidated financial statements include the accounts of the Holding Company, the Bank and other wholly-owned subsidiaries. All significant intercompany accounts and transactions have been eliminated in consolidation.</w:t>
      </w:r>
    </w:p>
    <w:p>
      <w:pPr>
        <w:spacing w:after="0" w:line="19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Effective July 1, 2021, the Bank moved its headquarters from Blairsville, Georgia to Greenville, South Carolina and became a South Carolina state-chartered bank subject to examination and reporting requirements of the SCBFI. Prior to that date, the Bank was a Georgia state-chartered bank subject to examination and reporting requirements of the GADBF. The Bank serves both rural and metropolitan markets in Georgia, South Carolina, North Carolina, Tennessee and Florida and provides a full range of banking services. The Bank is insured by and subject to the regulation of the FDIC.</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ACL,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Segments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products and are therefore considered to be one operating segment.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Debt securities are classified as HTM and carried at amortized cost when management has the positive intent and ability to hold them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Debt securities are classified as AFS when they may be sold before maturity. AFS securities are carried at fair value, with unrealized holding gains and losses reported in OCI, net of tax.</w:t>
      </w:r>
    </w:p>
    <w:p>
      <w:pPr>
        <w:spacing w:after="0" w:line="2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Interest income includes amortization of purchase premiums or discounts. Premiums and discounts on securities are generally amortized or accreted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20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Transfers of securities between categories are recorded at fair value at the date of transfer. Unrealized holding gains or losses associated with transfers of securities from AFS to HTM are included in the balance of AOCI in the consolidated balance sheets. These unrealized holding gains or losses are amortized/accreted into income over the remaining life of the security as 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adjustment to the yield in a manner consistent with the amortization or accretion of the original purchase premium or discount on the associated security.</w:t>
      </w:r>
    </w:p>
    <w:p>
      <w:pPr>
        <w:spacing w:after="0" w:line="25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77"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8"/>
          <w:szCs w:val="18"/>
          <w:color w:val="auto"/>
        </w:rPr>
        <w:t>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CECL.</w:t>
      </w:r>
    </w:p>
    <w:p>
      <w:pPr>
        <w:spacing w:after="0" w:line="206"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ACL - HTM Debt Securities: </w:t>
      </w:r>
      <w:r>
        <w:rPr>
          <w:rFonts w:ascii="Times New Roman" w:cs="Times New Roman" w:eastAsia="Times New Roman" w:hAnsi="Times New Roman"/>
          <w:sz w:val="18"/>
          <w:szCs w:val="18"/>
          <w:color w:val="auto"/>
        </w:rPr>
        <w:t>Management measures current expected credit losses on HTM debt securities on a collective basis by major security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estimate of current expected credit losses considers historical credit loss information that is adjusted for current conditions and reasonable and supportable forecasts. Management classifies the HTM portfolio into the following major security types: U.S. Treasuries, U.S. Government agencies and GSEs, state and political subdivisions, residential mortgage-backed, agency and GSEs, commercial mortgage-backed, agency and GSEs and supranational entities. Accrued interest receivable on HTM debt is excluded from the estimate of credit losses.</w:t>
      </w:r>
    </w:p>
    <w:p>
      <w:pPr>
        <w:spacing w:after="0" w:line="21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All of the residential and commercial mortgage-backed securities held by United as HTM are issued by U.S. Government agencies and GSEs. These securities are either explicitly or implicitly guaranteed by the U.S. government, are highly rated by major rating agencies and have a long history of no credit losses. The state and political subdivision securities are highly rated by major rating agencies.</w:t>
      </w:r>
    </w:p>
    <w:p>
      <w:pPr>
        <w:spacing w:after="0" w:line="202"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ACL - AFS Debt Securities: </w:t>
      </w:r>
      <w:r>
        <w:rPr>
          <w:rFonts w:ascii="Times New Roman" w:cs="Times New Roman" w:eastAsia="Times New Roman" w:hAnsi="Times New Roman"/>
          <w:sz w:val="18"/>
          <w:szCs w:val="18"/>
          <w:color w:val="auto"/>
        </w:rPr>
        <w:t>For AFS debt securities in an unrealized loss position, United first assesses whether it intends to sell, or whether it is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than 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amount of unrealized loss that has not been recorded through an ACL is recognized in other comprehensive income. Accrued interest receivable on AFS debt securities is excluded from the estimate of credit losses.</w:t>
      </w:r>
    </w:p>
    <w:p>
      <w:pPr>
        <w:spacing w:after="0" w:line="21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Changes in the ACL are recorded as provision for (or reversal of) credit loss expense. Losses are charged against the ACL when management believes the uncollectibility of an AFS security is confirmed or when either of the criteria regarding intent or requirement to sell is met.</w:t>
      </w:r>
    </w:p>
    <w:p>
      <w:pPr>
        <w:spacing w:after="0" w:line="188" w:lineRule="exact"/>
        <w:rPr>
          <w:sz w:val="20"/>
          <w:szCs w:val="20"/>
          <w:color w:val="auto"/>
        </w:rPr>
      </w:pPr>
    </w:p>
    <w:p>
      <w:pPr>
        <w:jc w:val="both"/>
        <w:ind w:left="32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Equity investments: </w:t>
      </w:r>
      <w:r>
        <w:rPr>
          <w:rFonts w:ascii="Times New Roman" w:cs="Times New Roman" w:eastAsia="Times New Roman" w:hAnsi="Times New Roman"/>
          <w:sz w:val="17"/>
          <w:szCs w:val="17"/>
          <w:color w:val="auto"/>
        </w:rPr>
        <w:t>Equity investments are included in other assets on the consolidated balance sheets. Those with readily determinable fair values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carried at fair value with changes in fair value recognized in other noninterest income. Those without readily determinable fair values include, among others, FHLB stock, which is held to meet FHLB requirements related to outstanding advances and accounted for using the cost method of accounting. As conditions warrant, management reviews investments for impairment and adjusts the carrying value of the investment if it is deemed to be impaired.</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Loans Held for Sale</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has elected the fair value option for the majority of newly originated mortgage loans held for sale in order to reduce certain timing differences and match changes in fair values of the loans with changes in the fair value of derivative instruments used to economically hedge them. In connection with the Reliant acquisition, United acquired certain mortgage loans held for sale for which the fair value option was not elected; these loans are carried at the lower of aggregate cost or fair value.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Loans and Leases</w:t>
      </w:r>
    </w:p>
    <w:p>
      <w:pPr>
        <w:spacing w:after="0" w:line="2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Interest income is accrued on the unpaid principal balance. Loan origination fees, net of certain direct origination costs, are deferred and recognized in interest income over the life of the loan.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388"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Equipment Financing Lease Receivables: </w:t>
      </w:r>
      <w:r>
        <w:rPr>
          <w:rFonts w:ascii="Times New Roman" w:cs="Times New Roman" w:eastAsia="Times New Roman" w:hAnsi="Times New Roman"/>
          <w:sz w:val="18"/>
          <w:szCs w:val="18"/>
          <w:color w:val="auto"/>
        </w:rPr>
        <w:t>Equipment financing lease receivables, which are classified as sales-type or direct financing leases,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as the sum of the future minimum lease payments, initial deferred costs and, if applicable, estimated or contractual residual values less unearned income and security deposits. For lease receivables with a residual value, the determination of such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 from consideration in these lease contracts.</w:t>
      </w:r>
    </w:p>
    <w:p>
      <w:pPr>
        <w:spacing w:after="0" w:line="21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PCD Loans: </w:t>
      </w:r>
      <w:r>
        <w:rPr>
          <w:rFonts w:ascii="Times New Roman" w:cs="Times New Roman" w:eastAsia="Times New Roman" w:hAnsi="Times New Roman"/>
          <w:sz w:val="18"/>
          <w:szCs w:val="18"/>
          <w:color w:val="auto"/>
        </w:rPr>
        <w:t>In acquisitions, United may acquire loans, some of which have experienced more than insignificant credit deterioration since origination.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cases, United will consider internal loan grades, delinquency status and other relevant factors in assessing whether purchased loans are PCD. PCD loans are recorded at their fair value at the acquisition date. An initial ACL is determined using the same methodology as other loans held for investment and recognized as an adjustment to the acquisition price of the asset; thus,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213"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The accrual of interest is generally discontinued when a loan becomes 90 days past due or when management believes,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economic and business conditions and collection efforts, that the principal or interest will not be collectable in the normal course of business. A loan may continue to accrue interest after 90 days if it is well collateralized and in the process of collection. Past due status is based on contractual terms of the loan.</w:t>
      </w:r>
    </w:p>
    <w:p>
      <w:pPr>
        <w:spacing w:after="0" w:line="20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using the cost-recovery method, until qualifying for return to accrual. Under the cost-recovery method, interest payments are reflected as a reduction of the carrying amount of the loan and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21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TDRs: </w:t>
      </w:r>
      <w:r>
        <w:rPr>
          <w:rFonts w:ascii="Times New Roman" w:cs="Times New Roman" w:eastAsia="Times New Roman" w:hAnsi="Times New Roman"/>
          <w:sz w:val="18"/>
          <w:szCs w:val="18"/>
          <w:color w:val="auto"/>
        </w:rPr>
        <w:t>A loan for which the terms have been modified resulting in a more than insignificant concession, and for which the borrower is experiencing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difficulties, is generally considered to be a TDR. Modified terms that result in a TDR include one or a combination of the following: a reduction of the stated interest rate of the loan, an extension of the amortization period 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where the borrower is unable to amortize the loan.</w:t>
      </w:r>
    </w:p>
    <w:p>
      <w:pPr>
        <w:spacing w:after="0" w:line="21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Collateral dependent TDRs that subsequently default or are placed on nonaccrual are charged down to the fair value of the collateral consistent with United’s policy for nonaccrual loans.</w:t>
      </w:r>
    </w:p>
    <w:p>
      <w:pPr>
        <w:spacing w:after="0" w:line="188"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Most of United’s business activity is with customers located within the markets where it has banking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United’s exposure to credit risk is significantly affected by changes in the economy within its markets. Approximately 73% of United’s loan portfolio is secured by real estate and is therefore susceptible to changes in real estate valuations.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ACL- Loans</w:t>
      </w:r>
    </w:p>
    <w:p>
      <w:pPr>
        <w:spacing w:after="0" w:line="14" w:lineRule="exact"/>
        <w:rPr>
          <w:sz w:val="20"/>
          <w:szCs w:val="20"/>
          <w:color w:val="auto"/>
        </w:rPr>
      </w:pPr>
    </w:p>
    <w:p>
      <w:pPr>
        <w:jc w:val="both"/>
        <w:ind w:left="320"/>
        <w:spacing w:after="0" w:line="230" w:lineRule="auto"/>
        <w:rPr>
          <w:sz w:val="20"/>
          <w:szCs w:val="20"/>
          <w:color w:val="auto"/>
        </w:rPr>
      </w:pPr>
      <w:r>
        <w:rPr>
          <w:rFonts w:ascii="Times New Roman" w:cs="Times New Roman" w:eastAsia="Times New Roman" w:hAnsi="Times New Roman"/>
          <w:sz w:val="18"/>
          <w:szCs w:val="18"/>
          <w:color w:val="auto"/>
        </w:rPr>
        <w:t>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CECL.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ACL when management believes the uncollectibility of a loan balance is confirmed. Accrued interest receivable is excluded from the estimate of credit losses.</w:t>
      </w:r>
    </w:p>
    <w:p>
      <w:pPr>
        <w:spacing w:after="0" w:line="204"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 For the majority of loans and leases the ACL is calculated using a discounted cash flow methodology applied at a loan level with a one-year reasonable and supportable forecast period and a two-year straight-line reversion period.</w:t>
      </w:r>
    </w:p>
    <w:p>
      <w:pPr>
        <w:spacing w:after="0" w:line="21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ACL-loans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occupied commercial real estate - </w:t>
      </w:r>
      <w:r>
        <w:rPr>
          <w:rFonts w:ascii="Times New Roman" w:cs="Times New Roman" w:eastAsia="Times New Roman" w:hAnsi="Times New Roman"/>
          <w:sz w:val="18"/>
          <w:szCs w:val="18"/>
          <w:color w:val="auto"/>
        </w:rPr>
        <w:t>Loans in this category are susceptible to business failure and general economic conditions.</w:t>
      </w:r>
    </w:p>
    <w:p>
      <w:pPr>
        <w:spacing w:after="0" w:line="244"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Income producing commercial real estate - </w:t>
      </w:r>
      <w:r>
        <w:rPr>
          <w:rFonts w:ascii="Times New Roman" w:cs="Times New Roman" w:eastAsia="Times New Roman" w:hAnsi="Times New Roman"/>
          <w:sz w:val="18"/>
          <w:szCs w:val="18"/>
          <w:color w:val="auto"/>
        </w:rPr>
        <w:t>Common risks for this loan category are declines in general economic conditions, declines in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declines in occupancy rates, and lack of suitable alternative use for the property.</w:t>
      </w:r>
    </w:p>
    <w:p>
      <w:pPr>
        <w:spacing w:after="0" w:line="18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&amp; industrial - </w:t>
      </w:r>
      <w:r>
        <w:rPr>
          <w:rFonts w:ascii="Times New Roman" w:cs="Times New Roman" w:eastAsia="Times New Roman" w:hAnsi="Times New Roman"/>
          <w:sz w:val="18"/>
          <w:szCs w:val="18"/>
          <w:color w:val="auto"/>
        </w:rPr>
        <w:t>Risks to this loan category include the inability to monitor the condition of the collateral, which often consists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199"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Commercial construction - </w:t>
      </w:r>
      <w:r>
        <w:rPr>
          <w:rFonts w:ascii="Times New Roman" w:cs="Times New Roman" w:eastAsia="Times New Roman" w:hAnsi="Times New Roman"/>
          <w:sz w:val="18"/>
          <w:szCs w:val="18"/>
          <w:color w:val="auto"/>
        </w:rPr>
        <w:t>Risks common to commercial construction loans are cost overruns, changes in market demand for property, inadequate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financing arrangements and declines in real estate values.</w:t>
      </w:r>
    </w:p>
    <w:p>
      <w:pPr>
        <w:spacing w:after="0" w:line="186"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Equipment financing - </w:t>
      </w:r>
      <w:r>
        <w:rPr>
          <w:rFonts w:ascii="Times New Roman" w:cs="Times New Roman" w:eastAsia="Times New Roman" w:hAnsi="Times New Roman"/>
          <w:sz w:val="18"/>
          <w:szCs w:val="18"/>
          <w:color w:val="auto"/>
        </w:rPr>
        <w:t>Risks associated with equipment financing are similar to those described for commercial and industrial loans,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economic conditions, as well as appropriate lien priority on equipment, equipment obsolescence and the general mobility of the collateral.</w:t>
      </w:r>
    </w:p>
    <w:p>
      <w:pPr>
        <w:spacing w:after="0" w:line="186"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Residential mortgage - </w:t>
      </w:r>
      <w:r>
        <w:rPr>
          <w:rFonts w:ascii="Times New Roman" w:cs="Times New Roman" w:eastAsia="Times New Roman" w:hAnsi="Times New Roman"/>
          <w:sz w:val="18"/>
          <w:szCs w:val="18"/>
          <w:color w:val="auto"/>
        </w:rPr>
        <w:t>Residential mortgage loans are susceptible to weakening general economic conditions, increases in unemployment rates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declining real estate values.</w:t>
      </w:r>
    </w:p>
    <w:p>
      <w:pPr>
        <w:spacing w:after="0" w:line="186"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HELOC - </w:t>
      </w:r>
      <w:r>
        <w:rPr>
          <w:rFonts w:ascii="Times New Roman" w:cs="Times New Roman" w:eastAsia="Times New Roman" w:hAnsi="Times New Roman"/>
          <w:sz w:val="18"/>
          <w:szCs w:val="18"/>
          <w:color w:val="auto"/>
        </w:rPr>
        <w:t>Risks common to home equity lines of credit are general economic conditions, including an increase in unemployment rates, and declining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estate values that reduce or eliminate the borrower’s home equity.</w:t>
      </w:r>
    </w:p>
    <w:p>
      <w:pPr>
        <w:spacing w:after="0" w:line="186" w:lineRule="exact"/>
        <w:rPr>
          <w:sz w:val="20"/>
          <w:szCs w:val="20"/>
          <w:color w:val="auto"/>
        </w:rPr>
      </w:pPr>
    </w:p>
    <w:p>
      <w:pPr>
        <w:jc w:val="both"/>
        <w:ind w:left="640"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Residential construction - </w:t>
      </w:r>
      <w:r>
        <w:rPr>
          <w:rFonts w:ascii="Times New Roman" w:cs="Times New Roman" w:eastAsia="Times New Roman" w:hAnsi="Times New Roman"/>
          <w:sz w:val="18"/>
          <w:szCs w:val="18"/>
          <w:color w:val="auto"/>
        </w:rPr>
        <w:t>Residential construction loans are susceptible to the same risks as residential mortgage loans. Changes in market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property lead to longer marketing times resulting in higher carrying costs and declining values.</w:t>
      </w:r>
    </w:p>
    <w:p>
      <w:pPr>
        <w:spacing w:after="0" w:line="186"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Manufactured housing - </w:t>
      </w:r>
      <w:r>
        <w:rPr>
          <w:rFonts w:ascii="Times New Roman" w:cs="Times New Roman" w:eastAsia="Times New Roman" w:hAnsi="Times New Roman"/>
          <w:sz w:val="18"/>
          <w:szCs w:val="18"/>
          <w:color w:val="auto"/>
        </w:rPr>
        <w:t>Risks associated with manufactured housing are similar to those described for residential mortgage loans, including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conditions and unemployment rates, as well as appropriate lien priority and the general mobility of the collateral.</w:t>
      </w:r>
    </w:p>
    <w:p>
      <w:pPr>
        <w:spacing w:after="0" w:line="186"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Consumer - </w:t>
      </w:r>
      <w:r>
        <w:rPr>
          <w:rFonts w:ascii="Times New Roman" w:cs="Times New Roman" w:eastAsia="Times New Roman" w:hAnsi="Times New Roman"/>
          <w:sz w:val="18"/>
          <w:szCs w:val="18"/>
          <w:color w:val="auto"/>
        </w:rPr>
        <w:t>Risks common to consumer direct loans include unemployment and changes in local economic conditions as well as the inability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 collateral consisting of personal property.</w:t>
      </w:r>
    </w:p>
    <w:p>
      <w:pPr>
        <w:spacing w:after="0" w:line="18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When the discounted cash flow method is used to determine the ACL, management adjusts the effective interest rate used to discount expected cash flows to incorporate expected prepayments. The ACL on a TDR is measured using the same method as all other loans held for investment, except that the original interest rate is used to discount the expected cash flows, not the rate specified within the restructuring.</w:t>
      </w:r>
    </w:p>
    <w:p>
      <w:pPr>
        <w:spacing w:after="0" w:line="20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Determining the Contractual Term: </w:t>
      </w:r>
      <w:r>
        <w:rPr>
          <w:rFonts w:ascii="Times New Roman" w:cs="Times New Roman" w:eastAsia="Times New Roman" w:hAnsi="Times New Roman"/>
          <w:sz w:val="18"/>
          <w:szCs w:val="18"/>
          <w:color w:val="auto"/>
        </w:rPr>
        <w:t>Expected credit losses are estimated over the contractual term of the loans, adjusted for expected prepayments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The contractual term excludes expected extensions, renewals, and modifications unless either of the following applies: management has a reasonable expectation at the reporting date that a TDR will be executed with an individual borrower or the extension or renewal options are included in the original or modified contract at the reporting date and are not unconditionally cancellable by United.</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ACL - Off-Balance Sheet Credit Exposures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Premises and Equipment</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Foreclosed Properties (OREO)</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Foreclosed property is initially recorded at fair value, less cost to sell. If the fair value, less cost to sell at the time of foreclosure is less than the loan balance, the deficiency is recorded as a loan charge-off against the ACL.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8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Other intangible assets, which are initially recorded at fair value, consist of core deposit and customer list intangibles resulting from acquisitions. Core deposit intangible assets are amortized over their estimated useful lives using the sum-of-the-years-digits method. Customer list intangibles are amortized over their estimated useful lives using the straight-line method.</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Management evaluates other intangible assets for impairment whenever events or changes in circumstances indicate the carrying amount of the asset may not be recoverable.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Transfers of Financial Assets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records a separate servicing asset for SBA loans, USDA loans, and residential mortgage loans when the loan is sold but servicing is retained. This asset represents the right to service the loans and receive a fee in compensation. Servicing assets are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78"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7"/>
          <w:szCs w:val="17"/>
          <w:color w:val="auto"/>
        </w:rPr>
        <w:t>United has elected to subsequently measure the servicing assets for government guaranteed loans and residential mortgage loans at fair value. 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20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accounts for the servicing liabilities associated with sold equipment financing loans using the amortization method. Servicing liabilities are included in accrued expenses and other liabilities.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BOLI</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has purchased life insurance policies on certain key executives and members of management. United has also received life insurance policies on members of acquired bank management teams and board members through acquisitions of other banks. BOLI is recorded at the amount that can be realized under the insurance contract at the balance sheet date, which is the cash surrender value adjusted for other changes or other amounts due that are probable at settlement.</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Leases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records a ROU asset, included in other assets, and a related lease liability, included in other liabilities, for eligible operating leases for which it is the lessee, which include leases for land, buildings, and equipment. At lease commencement, United records the ROU asset and related lease liability based on the present value of lease payments over the lease term. Absent a readily determinable interest rate in the lease agreement, United utilizes the Bank’s incremental borrowing rate for secured borrowings as the discount rate used in the present value calculation.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which are included in the measurement of the ROU asset and lease liability to the extent they are reasonably certain to be exercised. United also subleases and leases certain real estate properties to third parties under operating leases. United does not recognize a lease liability or ROU asset on the consolidated balance sheet related to short-term leases with a term of less than one year. Lease payments for short-term leases are recognized as expense over the lease term. Operating lease costs, variable lease costs and short-term lease costs are included in occupancy expense and communications and equipment expense in the consolidated statement of income.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Loan Commitments and Related Financial Instruments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VIEs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holds investments in certain legal entities that are considered VIEs. VIEs are legal entities in which equity investors do not have sufficient equity at risk for the entity to independently finance its activities, or as a group, the holders of the equity investment at risk lack the power through voting or similar rights to direct the activities of the entity that most significantly impact its economic performance, or do not have the obligation to absorb the expected losses of the entity or the right to receive expected residual returns of the entity. Consolidation of a VIE is required if a reporting entity is the primary beneficiary of the VIE.</w:t>
      </w:r>
    </w:p>
    <w:p>
      <w:pPr>
        <w:spacing w:after="0" w:line="21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Investments in VIEs are evaluated to determine if United is the primary beneficiary. This evaluation gives appropriate consideration to the design of the entity and the variability that the entity was designed to create and pass along, the relative power of each party, and to United’s obligation to absorb losses or receive residual returns of the entity. United has variable interests in certain entities that are not required to be consolidated, including LIHTC, renewable energy and other partnership interests. Refer to Note 23, Commitments and Contingencies, for additional disclosures regarding United’s VIEs.</w:t>
      </w:r>
    </w:p>
    <w:p>
      <w:pPr>
        <w:spacing w:after="0" w:line="19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With the exception of LIHTC partnerships, investments in entities for which United has the ability to exercise significant influence, but not control, over operating and financing decisions are accounted for using the equity method of accounting. Equity method investments are included in other assets in the consolidated balance sheets at cost, adjusted to reflect United’s portion of income, loss, or dividends of the investee. United records its portion of income or loss in other noninterest income in the consolidated statements of income. These investments are periodically evaluated for impairment.</w:t>
      </w:r>
    </w:p>
    <w:p>
      <w:pPr>
        <w:spacing w:after="0" w:line="194"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LIHTC investments are accounted for using the proportional amortization method of accounting for qualified affordable housing investments, which results in the amortization being reported as a component of income tax expense. Obligations related to unfunded commitments for LIHTC and renewable energy investments are reported in other liabilities. Investment tax credits related to renewable energy are accounted for using the deferral method.</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from Contracts with Customers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addition to lending and related activities, United offers various services to customers that generate revenue, certain of which are governed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United’s services that fall within the scope of this topic are presented within noninterest income and include service charges and fees, wealth management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DTAs and DTLs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DTAs and DTLs are measured using enacted tax rates expected to apply to taxable income in the years in which the assets and liabilities are expected to be recovered or settled. The effect of a change in tax rates on DTAs and DTLs is recognized in income tax expense during the period that includes the enactment date.</w:t>
      </w:r>
    </w:p>
    <w:p>
      <w:pPr>
        <w:spacing w:after="0" w:line="18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the event the future tax consequences of differences between the financial reporting bases and the tax bases of assets and liabilities results in DTAs, an evaluation of the probability of being able to realize the future benefits indicated by such asset is required. A valuation allowance is provided for the portion of the DTA when it is more likely than not that some or all of the DTA will not be realized. In assessing the realizability of the DTAs, management considers the scheduled reversals of DTLs, projected future taxable earnings and prudent and feasible tax planning strategies. Management weighs both the positive and negative evidence, giving more weight to evidence that can be objectively verified.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benefit or expense is the total of the current year income tax due or refundable and the change in DTAs and DTLs.</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United recognizes interest and / or penalties related to income tax matters in income tax expense.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and certain interest sensitive components of noninterest revenue are not, on a material basis, adversely affected by movements in interest rates. United views this strategy as a prudent management of interest rate risk, such that net income is not exposed to undue risk presented by changes in interest rates. In carrying out this part of its interest rate risk management strategy, management uses derivatives, primarily interest rate swaps and caps. Interest rate swaps generally involve the exchange of fixed- and variable-rate interest payments between two parties, based on a common notional principal amount and maturity date.</w:t>
      </w:r>
    </w:p>
    <w:p>
      <w:pPr>
        <w:spacing w:after="0" w:line="21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which are entered into as part of an economic hedging strategy to manage exposure related to mortgage loans held for sale.</w:t>
      </w:r>
    </w:p>
    <w:p>
      <w:pPr>
        <w:spacing w:after="0" w:line="212"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To accommodate customers, United enters into interest rate swaps, caps or collars with certain commercial loan customers, with offsetting positions to dealers under a back-to-back swap/cap/collar program. In addition,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21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at fair value on the consolidated balance sheets.</w:t>
      </w:r>
    </w:p>
    <w:p>
      <w:pPr>
        <w:spacing w:after="0" w:line="212"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18"/>
          <w:szCs w:val="18"/>
          <w:color w:val="auto"/>
        </w:rPr>
        <w:t>United assesses hedge effectiveness at inception and over the life of the hedge. Management documents, at inception, its analysis of actual and expected hedge effectiveness. This analysis includes techniques such as regression analysis and hypothetical derivatives to demonstrate that the hedge is expected to be highly effective in offsetting corresponding changes in the fair value or cash flows of the hedged item. At least quarterly thereafter, the terms of the hedging instrument and the hedged item are assessed to determine whether a material change has occurred relating to the hedge relationship. If it is determined that a change has occurred, a quantitative analysis as described will occur to determine whether the hedge is expected to be highly effective in offsetting future corresponding changes in the fair value or cash flows of the hedged item. For a qualifying fair value hedge, the changes in the value of derivatives are recognized in current period earnings along with the corresponding changes in the fair value of the designated hedged item attributable to the risk being hedged. For a qualifying cash flow hedge, the changes in the fair value of the derivatives that have been highly effective are recognized in other comprehensive income until the related cash flows from the hedged item are recognized in earnings.</w:t>
      </w:r>
    </w:p>
    <w:p>
      <w:pPr>
        <w:spacing w:after="0" w:line="21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non-customer derivative instruments by entering into transactions with high-quality counterparties that are reviewed periodically by management. United also requires non-customer counterparties to pledge cash as collateral to cover the net exposure. All new non-customer derivatives that can be cleared are cleared through a central clearinghouse, which reduces counterparty exposure.</w:t>
      </w:r>
    </w:p>
    <w:p>
      <w:pPr>
        <w:spacing w:after="0" w:line="2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Derivative activities are monitored by the ALCO as part its oversight of asset/liability and treasury functions. The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Activities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w:t>
      </w:r>
    </w:p>
    <w:p>
      <w:pPr>
        <w:spacing w:after="0" w:line="214"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18"/>
          <w:szCs w:val="18"/>
          <w:color w:val="auto"/>
        </w:rPr>
        <w:t>Fair values for acquired loans are generally based on a discounted cash flow methodology that considers credit loss expectations, market interest rates and other market factors such as liquidity from the perspective of a market participant. Loans are grouped together according to similar characteristics and are generally treated in the aggregate when applying various valuation techniques. The probability of default, loss given default and prepayment assumptions are the key factors driving credit losses which are embedded into the estimated cash flows. These assumptions are informed by internal data on loan characteristics, historical loss experience, and current and forecasted economic conditions. The interest and liquidity component of the estimate is determined by discounting interest and principal cash flows through the expected life of each loan. The discount rates used for loans are based on current market rates for new originations of comparable loans and include adjustments for liquidity. The discount rate does not include a factor for credit losses as that has been included as a reduction to the estimated cash flows. For additional information about the accounting for purchased loans see PCD Loans under the Loans and Leases section of this footnote.</w:t>
      </w:r>
    </w:p>
    <w:p>
      <w:pPr>
        <w:spacing w:after="0" w:line="212"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Common Share</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after subtracting preferred stock dividends is allocated between common shareholders and participating securities. Diluted earnings per common share includes the dilutive effect of additional potential shares of common stock issuable under stock options, unvested restricted stock units without nonforfeitable rights to dividends, warrants and securities convertible into common stock.</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Loss Contingencies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Dividend Restrictions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Banking regulations require maintaining certain capital levels and may limit dividends paid by the Bank to the Holding Company or by the Holding Company to shareholders. As a South Carolina state-chartered bank, the Bank is permitted to pay a dividend of up to 100% of its current year earnings without requesting approval of the SCBFI, provided certain conditions are met. Prior to July 1, 2021, as a Georgia state-chartered bank, the Board could declare dividends from the Bank to the Holding Company out of retained earnings of up to fifty percent of the Bank’s net income from the previous year without notifying or seeking approval from the GADBF, provided certain conditions were met.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Fair values of financial instruments are estimated using relevant market information and other assumptions as more fully disclosed in Note 15.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uses the fair value method of recognizing expense for stock-based compensation based on the fair value of option and restricted stock unit awards at the date of grant. United accounts for forfeitures as they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Standards Updates and Recently Adopted Standards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July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United adopted this update as of January 1, 2022, with no material impact on the consolidated financial statements.</w:t>
      </w:r>
    </w:p>
    <w:p>
      <w:pPr>
        <w:spacing w:after="0" w:line="213"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2022, the FASB issued ASU No.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Topic 848, which provides optional guidance to ease the potential burden in accounting for (or recognizing the effects of) reference rate reform on financial reporting, originally included a sunset date of December 31, 2022. This update defers the sunset date to December 31, 2024, to better align with the revised LIBOR cessation date of June 30, 2023. After the sunset date, entities will no longer be permitted to apply the relief in Topic 848. United adopted this update immediately, with no material impact on the consolidated financial statements.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Standards Updates Not Yet Adopted as of December 31, 2022</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update requires that an acquiring entity apply the guidance from</w:t>
      </w:r>
      <w:r>
        <w:rPr>
          <w:rFonts w:ascii="Times New Roman" w:cs="Times New Roman" w:eastAsia="Times New Roman" w:hAnsi="Times New Roman"/>
          <w:sz w:val="18"/>
          <w:szCs w:val="18"/>
          <w:i w:val="1"/>
          <w:iCs w:val="1"/>
          <w:color w:val="auto"/>
        </w:rPr>
        <w:t xml:space="preserve"> Revenue from Contracts with Customers (Topic 606)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in a business combination, rather than fair value. Adoption of this update as of January 1, 2023 did not have a material impact on the consolidated financial statements.</w:t>
      </w:r>
    </w:p>
    <w:p>
      <w:pPr>
        <w:spacing w:after="0" w:line="213"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Adoption of this update as of January 1, 2023 did not have a material impact on the consolidated financial statements.</w:t>
      </w:r>
    </w:p>
    <w:p>
      <w:pPr>
        <w:spacing w:after="0" w:line="212"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eliminates the previous accounting guidance for TDRs by creditors, while enhancing disclosure requirements for certain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refinancings and restructurings when a borrower is experiencing financial difficulty. The update also requires that an entity disclose current-period gross charge-offs by year of origination. Adoption of this update as of January 1, 2023 did not have a material impact on the consolidated financial statements. The disclosure provisions of this update will be reflected in United’s first quarter 2023 Form 10Q.</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Standards Updates and Recently Adopted Standards, continued</w:t>
      </w:r>
    </w:p>
    <w:p>
      <w:pPr>
        <w:spacing w:after="0" w:line="376"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update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and, therefore, is not considered in measuring fair value. For public entities, this guidance is effective for fiscal years beginning after December 15, 2023. United does not expect the new guidance to have a material impact on the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4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following note details acquisitions accounted for as business combinations during the periods covered by this Report. Accordingly, assets acquired and liabilities assumed are presented at fair value as of the acquisition date. The determination of fair value requires management to make estimates about discount rates, future expected cash flows, market conditions and other future events that are highly subjective in nature and subject to change. Goodwill is established when the fair value of consideration paid exceeds the fair value of the identifiable assets acquired and liabilities assumed. Fair values are considered preliminary for a period not to exceed one year after the acquisition date and are subject to refinement as information relative to closing date fair values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Reliant</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On January 1, 2022, United acquired all of the outstanding common stock of Reliant in a stock transaction. Reliant operated a 25-branch network primarily located in Middle Tennessee, which facilitated United’s growth into those markets. United’s operating results for the year ended December 31, 2022 include the operating results of the acquired business for the period subsequent to the acquisition date of January 1, 2022. The following table presents purchased assets and assumed liabilities recorded at their acquisition date fair values and consideration transferred as well as supplementary information related to the acquired loan portfolio at the acquisition date </w:t>
      </w:r>
      <w:r>
        <w:rPr>
          <w:rFonts w:ascii="Times New Roman" w:cs="Times New Roman" w:eastAsia="Times New Roman" w:hAnsi="Times New Roman"/>
          <w:sz w:val="18"/>
          <w:szCs w:val="18"/>
          <w:i w:val="1"/>
          <w:iCs w:val="1"/>
          <w:color w:val="auto"/>
        </w:rPr>
        <w:t>(in thousands).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7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w w:val="96"/>
              </w:rPr>
              <w:t>Reliant</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98"/>
        </w:trPr>
        <w:tc>
          <w:tcPr>
            <w:tcW w:w="170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w w:val="98"/>
              </w:rPr>
              <w:t>Fair Value Recorded by United</w:t>
            </w: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08"/>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700" w:type="dxa"/>
            <w:vAlign w:val="bottom"/>
            <w:shd w:val="clear" w:color="auto" w:fill="CCEEFF"/>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62,867</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249,107</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116,406</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2,320,737</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35,631</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78,170</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12,027</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5,793</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14,500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59,768</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2,955,006</w:t>
            </w:r>
          </w:p>
        </w:tc>
        <w:tc>
          <w:tcPr>
            <w:tcW w:w="1700" w:type="dxa"/>
            <w:vAlign w:val="bottom"/>
            <w:shd w:val="clear" w:color="auto" w:fill="CCEEFF"/>
          </w:tcPr>
          <w:p>
            <w:pPr>
              <w:spacing w:after="0"/>
              <w:rPr>
                <w:sz w:val="18"/>
                <w:szCs w:val="18"/>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2,504,823</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27,000</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76,730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48,620</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2,657,173</w:t>
            </w:r>
          </w:p>
        </w:tc>
        <w:tc>
          <w:tcPr>
            <w:tcW w:w="1700" w:type="dxa"/>
            <w:vAlign w:val="bottom"/>
            <w:shd w:val="clear" w:color="auto" w:fill="CCEEFF"/>
          </w:tcPr>
          <w:p>
            <w:pPr>
              <w:spacing w:after="0"/>
              <w:rPr>
                <w:sz w:val="18"/>
                <w:szCs w:val="18"/>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297,833</w:t>
            </w:r>
          </w:p>
        </w:tc>
        <w:tc>
          <w:tcPr>
            <w:tcW w:w="1700" w:type="dxa"/>
            <w:vAlign w:val="bottom"/>
            <w:tcBorders>
              <w:bottom w:val="single" w:sz="8" w:color="CCEEFF"/>
            </w:tcBorders>
          </w:tcPr>
          <w:p>
            <w:pPr>
              <w:spacing w:after="0"/>
              <w:rPr>
                <w:sz w:val="17"/>
                <w:szCs w:val="17"/>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624</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(16,571,545 shares)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595,581</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795</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597,000</w:t>
            </w:r>
          </w:p>
        </w:tc>
        <w:tc>
          <w:tcPr>
            <w:tcW w:w="1700" w:type="dxa"/>
            <w:vAlign w:val="bottom"/>
            <w:shd w:val="clear" w:color="auto" w:fill="CCEEFF"/>
          </w:tcPr>
          <w:p>
            <w:pPr>
              <w:spacing w:after="0"/>
              <w:rPr>
                <w:sz w:val="18"/>
                <w:szCs w:val="18"/>
                <w:color w:val="auto"/>
              </w:rPr>
            </w:pPr>
          </w:p>
        </w:tc>
      </w:tr>
      <w:tr>
        <w:trPr>
          <w:trHeight w:val="212"/>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299,167</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9"/>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Borders>
              <w:bottom w:val="single" w:sz="8" w:color="CCEEFF"/>
            </w:tcBorders>
          </w:tcPr>
          <w:p>
            <w:pPr>
              <w:spacing w:after="0"/>
              <w:rPr>
                <w:sz w:val="18"/>
                <w:szCs w:val="18"/>
                <w:color w:val="auto"/>
              </w:rPr>
            </w:pPr>
          </w:p>
        </w:tc>
        <w:tc>
          <w:tcPr>
            <w:tcW w:w="53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16"/>
                <w:szCs w:val="16"/>
                <w:b w:val="1"/>
                <w:bCs w:val="1"/>
                <w:color w:val="auto"/>
                <w:w w:val="99"/>
              </w:rPr>
              <w:t>Supplementary Information on Acquired Loans</w:t>
            </w: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06"/>
        </w:trPr>
        <w:tc>
          <w:tcPr>
            <w:tcW w:w="170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700" w:type="dxa"/>
            <w:vAlign w:val="bottom"/>
            <w:shd w:val="clear" w:color="auto" w:fill="CCEEFF"/>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258,462</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at acquisition</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700" w:type="dxa"/>
            <w:vAlign w:val="bottom"/>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Non-credit discount</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70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242,431</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9"/>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2,078,306</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2,355,205</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25,990</w:t>
            </w:r>
          </w:p>
        </w:tc>
        <w:tc>
          <w:tcPr>
            <w:tcW w:w="17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320"/>
        <w:spacing w:after="0" w:line="304" w:lineRule="auto"/>
        <w:rPr>
          <w:sz w:val="20"/>
          <w:szCs w:val="20"/>
          <w:color w:val="auto"/>
        </w:rPr>
      </w:pPr>
      <w:r>
        <w:rPr>
          <w:rFonts w:ascii="Times New Roman" w:cs="Times New Roman" w:eastAsia="Times New Roman" w:hAnsi="Times New Roman"/>
          <w:sz w:val="17"/>
          <w:szCs w:val="17"/>
          <w:color w:val="auto"/>
        </w:rPr>
        <w:t>Goodwill represents the intangible value of Reliant’s business and reputation within the markets it served and is not expected to be deductible for income tax purposes. The Reliant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Aquesta</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On October 1, 2021, United completed the acquisition of Aquesta, a bank headquartered in Cornelius, North Carolina, which operated a network of branches primarily located in the Charlotte metropolitan area. United’s operating results for the year ended December 31, 2021 include the operating results of the acquired business for the period subsequent to the acquisition date.</w:t>
      </w:r>
    </w:p>
    <w:p>
      <w:pPr>
        <w:spacing w:after="0" w:line="21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 presents purchased assets and assumed liabilities recorded at their acquisition date fair values and consideration transferred as well as supplementary information related to the acquired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7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w w:val="99"/>
              </w:rPr>
              <w:t>Aquesta</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404"/>
        </w:trPr>
        <w:tc>
          <w:tcPr>
            <w:tcW w:w="170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jc w:val="center"/>
              <w:ind w:left="2041"/>
              <w:spacing w:after="0"/>
              <w:rPr>
                <w:sz w:val="20"/>
                <w:szCs w:val="20"/>
                <w:color w:val="auto"/>
              </w:rPr>
            </w:pPr>
            <w:r>
              <w:rPr>
                <w:rFonts w:ascii="Times New Roman" w:cs="Times New Roman" w:eastAsia="Times New Roman" w:hAnsi="Times New Roman"/>
                <w:sz w:val="16"/>
                <w:szCs w:val="16"/>
                <w:b w:val="1"/>
                <w:bCs w:val="1"/>
                <w:color w:val="auto"/>
                <w:w w:val="98"/>
              </w:rPr>
              <w:t>Fair Value Recorded by United</w:t>
            </w: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08"/>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October 1, 2021</w:t>
            </w:r>
          </w:p>
        </w:tc>
        <w:tc>
          <w:tcPr>
            <w:tcW w:w="1700" w:type="dxa"/>
            <w:vAlign w:val="bottom"/>
            <w:shd w:val="clear" w:color="auto" w:fill="CCEEFF"/>
          </w:tcPr>
          <w:p>
            <w:pPr>
              <w:spacing w:after="0"/>
              <w:rPr>
                <w:sz w:val="18"/>
                <w:szCs w:val="18"/>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153,091</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60,762</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498,312</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18,112</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12,540</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1,419</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2,129</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2,030</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7,553</w:t>
            </w:r>
          </w:p>
        </w:tc>
        <w:tc>
          <w:tcPr>
            <w:tcW w:w="1700" w:type="dxa"/>
            <w:vAlign w:val="bottom"/>
            <w:shd w:val="clear" w:color="auto" w:fill="CCEEFF"/>
          </w:tcPr>
          <w:p>
            <w:pPr>
              <w:spacing w:after="0"/>
              <w:rPr>
                <w:sz w:val="18"/>
                <w:szCs w:val="18"/>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755,948</w:t>
            </w:r>
          </w:p>
        </w:tc>
        <w:tc>
          <w:tcPr>
            <w:tcW w:w="1700" w:type="dxa"/>
            <w:vAlign w:val="bottom"/>
            <w:tcBorders>
              <w:bottom w:val="single" w:sz="8" w:color="CCEEFF"/>
            </w:tcBorders>
          </w:tcPr>
          <w:p>
            <w:pPr>
              <w:spacing w:after="0"/>
              <w:rPr>
                <w:sz w:val="17"/>
                <w:szCs w:val="17"/>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657,724</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24,509</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12,084</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694,317</w:t>
            </w:r>
          </w:p>
        </w:tc>
        <w:tc>
          <w:tcPr>
            <w:tcW w:w="1700" w:type="dxa"/>
            <w:vAlign w:val="bottom"/>
            <w:shd w:val="clear" w:color="auto" w:fill="CCEEFF"/>
          </w:tcPr>
          <w:p>
            <w:pPr>
              <w:spacing w:after="0"/>
              <w:rPr>
                <w:sz w:val="18"/>
                <w:szCs w:val="18"/>
                <w:color w:val="auto"/>
              </w:rPr>
            </w:pPr>
          </w:p>
        </w:tc>
      </w:tr>
      <w:tr>
        <w:trPr>
          <w:trHeight w:val="203"/>
        </w:trPr>
        <w:tc>
          <w:tcPr>
            <w:tcW w:w="17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61,631</w:t>
            </w:r>
          </w:p>
        </w:tc>
        <w:tc>
          <w:tcPr>
            <w:tcW w:w="1700" w:type="dxa"/>
            <w:vAlign w:val="bottom"/>
            <w:tcBorders>
              <w:bottom w:val="single" w:sz="8" w:color="CCEEFF"/>
            </w:tcBorders>
          </w:tcPr>
          <w:p>
            <w:pPr>
              <w:spacing w:after="0"/>
              <w:rPr>
                <w:sz w:val="17"/>
                <w:szCs w:val="17"/>
                <w:color w:val="auto"/>
              </w:rPr>
            </w:pPr>
          </w:p>
        </w:tc>
      </w:tr>
      <w:tr>
        <w:trPr>
          <w:trHeight w:val="194"/>
        </w:trPr>
        <w:tc>
          <w:tcPr>
            <w:tcW w:w="1700" w:type="dxa"/>
            <w:vAlign w:val="bottom"/>
            <w:shd w:val="clear" w:color="auto" w:fill="CCEEFF"/>
          </w:tcPr>
          <w:p>
            <w:pPr>
              <w:spacing w:after="0"/>
              <w:rPr>
                <w:sz w:val="16"/>
                <w:szCs w:val="16"/>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40,542</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(2,731,435 shares)</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89,646</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 and warrant equity instruments converted</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1,478</w:t>
            </w:r>
          </w:p>
        </w:tc>
        <w:tc>
          <w:tcPr>
            <w:tcW w:w="1700" w:type="dxa"/>
            <w:vAlign w:val="bottom"/>
            <w:tcBorders>
              <w:bottom w:val="single" w:sz="8" w:color="CCEEFF"/>
            </w:tcBorders>
          </w:tcPr>
          <w:p>
            <w:pPr>
              <w:spacing w:after="0"/>
              <w:rPr>
                <w:sz w:val="18"/>
                <w:szCs w:val="18"/>
                <w:color w:val="auto"/>
              </w:rPr>
            </w:pPr>
          </w:p>
        </w:tc>
      </w:tr>
      <w:tr>
        <w:trPr>
          <w:trHeight w:val="207"/>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131,666</w:t>
            </w:r>
          </w:p>
        </w:tc>
        <w:tc>
          <w:tcPr>
            <w:tcW w:w="1700" w:type="dxa"/>
            <w:vAlign w:val="bottom"/>
            <w:shd w:val="clear" w:color="auto" w:fill="CCEEFF"/>
          </w:tcPr>
          <w:p>
            <w:pPr>
              <w:spacing w:after="0"/>
              <w:rPr>
                <w:sz w:val="18"/>
                <w:szCs w:val="18"/>
                <w:color w:val="auto"/>
              </w:rPr>
            </w:pPr>
          </w:p>
        </w:tc>
      </w:tr>
      <w:tr>
        <w:trPr>
          <w:trHeight w:val="212"/>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70,035</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9"/>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Borders>
              <w:bottom w:val="single" w:sz="8" w:color="CCEEFF"/>
            </w:tcBorders>
          </w:tcPr>
          <w:p>
            <w:pPr>
              <w:spacing w:after="0"/>
              <w:rPr>
                <w:sz w:val="18"/>
                <w:szCs w:val="18"/>
                <w:color w:val="auto"/>
              </w:rPr>
            </w:pPr>
          </w:p>
        </w:tc>
        <w:tc>
          <w:tcPr>
            <w:tcW w:w="53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16"/>
                <w:szCs w:val="16"/>
                <w:b w:val="1"/>
                <w:bCs w:val="1"/>
                <w:color w:val="auto"/>
                <w:w w:val="99"/>
              </w:rPr>
              <w:t>Supplementary Information on Acquired Loans</w:t>
            </w:r>
          </w:p>
        </w:tc>
        <w:tc>
          <w:tcPr>
            <w:tcW w:w="176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06"/>
        </w:trPr>
        <w:tc>
          <w:tcPr>
            <w:tcW w:w="170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October 1, 2021</w:t>
            </w:r>
          </w:p>
        </w:tc>
        <w:tc>
          <w:tcPr>
            <w:tcW w:w="1700" w:type="dxa"/>
            <w:vAlign w:val="bottom"/>
            <w:shd w:val="clear" w:color="auto" w:fill="CCEEFF"/>
          </w:tcPr>
          <w:p>
            <w:pPr>
              <w:spacing w:after="0"/>
              <w:rPr>
                <w:sz w:val="17"/>
                <w:szCs w:val="17"/>
                <w:color w:val="auto"/>
              </w:rPr>
            </w:pPr>
          </w:p>
        </w:tc>
      </w:tr>
      <w:tr>
        <w:trPr>
          <w:trHeight w:val="191"/>
        </w:trPr>
        <w:tc>
          <w:tcPr>
            <w:tcW w:w="17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75,579</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at acquisition</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700" w:type="dxa"/>
            <w:vAlign w:val="bottom"/>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Non-credit discount</w:t>
            </w: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70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71,343</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8"/>
        </w:trPr>
        <w:tc>
          <w:tcPr>
            <w:tcW w:w="1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1"/>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426,969</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3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482,737</w:t>
            </w:r>
          </w:p>
        </w:tc>
        <w:tc>
          <w:tcPr>
            <w:tcW w:w="1700" w:type="dxa"/>
            <w:vAlign w:val="bottom"/>
          </w:tcPr>
          <w:p>
            <w:pPr>
              <w:spacing w:after="0"/>
              <w:rPr>
                <w:sz w:val="18"/>
                <w:szCs w:val="18"/>
                <w:color w:val="auto"/>
              </w:rPr>
            </w:pPr>
          </w:p>
        </w:tc>
      </w:tr>
      <w:tr>
        <w:trPr>
          <w:trHeight w:val="214"/>
        </w:trPr>
        <w:tc>
          <w:tcPr>
            <w:tcW w:w="170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3,399</w:t>
            </w:r>
          </w:p>
        </w:tc>
        <w:tc>
          <w:tcPr>
            <w:tcW w:w="1700" w:type="dxa"/>
            <w:vAlign w:val="bottom"/>
            <w:shd w:val="clear" w:color="auto" w:fill="CCEEFF"/>
          </w:tcPr>
          <w:p>
            <w:pPr>
              <w:spacing w:after="0"/>
              <w:rPr>
                <w:sz w:val="18"/>
                <w:szCs w:val="18"/>
                <w:color w:val="auto"/>
              </w:rPr>
            </w:pPr>
          </w:p>
        </w:tc>
      </w:tr>
    </w:tbl>
    <w:p>
      <w:pPr>
        <w:spacing w:after="0" w:line="300" w:lineRule="exact"/>
        <w:rPr>
          <w:sz w:val="20"/>
          <w:szCs w:val="20"/>
          <w:color w:val="auto"/>
        </w:rPr>
      </w:pPr>
    </w:p>
    <w:p>
      <w:pPr>
        <w:ind w:left="320" w:right="20"/>
        <w:spacing w:after="0" w:line="304" w:lineRule="auto"/>
        <w:rPr>
          <w:sz w:val="20"/>
          <w:szCs w:val="20"/>
          <w:color w:val="auto"/>
        </w:rPr>
      </w:pPr>
      <w:r>
        <w:rPr>
          <w:rFonts w:ascii="Times New Roman" w:cs="Times New Roman" w:eastAsia="Times New Roman" w:hAnsi="Times New Roman"/>
          <w:sz w:val="17"/>
          <w:szCs w:val="17"/>
          <w:color w:val="auto"/>
        </w:rPr>
        <w:t>Goodwill represents the intangible value of Aquesta’s business and reputation within the markets it served and is not expected to be deductible for income tax purposes. The Aquesta core deposit intangible will be amortized over its expected useful life of 10 years using the sum-of-the-years-digits method.</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FinTrust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 continued</w:t>
      </w:r>
    </w:p>
    <w:p>
      <w:pPr>
        <w:spacing w:after="0" w:line="3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July 6, 2021, United completed the acquisition of FinTrust, an investment advisory firm headquartered in Greenville, South Carolina, with additional locations in Anderson, South Carolina, and Athens and Macon, Georgia. The firm provides wealth and investment management services to individuals and institutions within its markets. United’s operating results for the year ended December 31, 2021 include FinTrust’s operating results for the period subsequent to the acquisition date.</w:t>
      </w:r>
    </w:p>
    <w:p>
      <w:pPr>
        <w:spacing w:after="0" w:line="20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FinTrust shareholders received $21.7 million in total consideration, which consisted of $4.40 million (132,299 shares) of United common stock, $9.62 million in cash paid at closing, $4.40 million in cash payable due on the first anniversary of the acquisition date and $3.30 million of contingent consideration. The first anniversary payment of $4.40 million was paid in 2022. The contingent consideration represents an earn-out payment due to the sellers of FinTrust on the second anniversary of the acquisition date. The earn-out payment is subject to the achievement of defined target revenue ratios during the two-year period following the acquisition date, which are expected to be fully achieved.</w:t>
      </w:r>
    </w:p>
    <w:p>
      <w:pPr>
        <w:spacing w:after="0" w:line="212"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At acquisition, United recognized $22.8 million of assets and $1.10 million of liabilities. Assets recorded as a result of the acquisition included goodwill of $14.2 million and a customer relationship intangible of $7.53 million. Goodwill reflects the value of FinTrust’s broad array of products and services, which enhances United’s existing wealth management business. Goodwill is expected to be deductible for tax purposes. United is amortizing the related customer relationship intangible using the straight-line method over 15 years, which represents the expected useful life of the asset. In addition, United recognized right-of-use assets and operating lease liabilities totaling $822,000 for FinTrust’s leased locations.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 forma information - unaudited</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following table discloses the impact of the mergers with Reliant in 2022 and Aquesta and FinTrust in 2021 since the respective acquisition dates through December 31 of the year of acquisition. The table also presents certain pro forma information as if Reliant had been acquired on January 1, 2021, Aquesta and FinTrust had been acquired on January 1, 2020 and Three Shores had been acquired January 1, 2019. These results combine the historical results of the acquired entities with United’s consolidated statements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212"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For purposes of pro forma information, merger-related costs incurred in the year of acquisition are excluded from the actual acquisition year results and included in the pro forma acquisition year results. As a result, merger-related costs related to the acquisition of Reliant of $15.7 million are reflected in 2021 pro forma information and merger related costs related to the acquisitions of Aquesta and FinTrust of $9.00 million and $518,000, respectively, are reflected in 2020 pro forma information. Merger-related costs related to the acquisition of Three Shores of $5.04 million were previously reported in 2019 pro forma information, which is not presented in the following table.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the actual results and pro forma information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92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Pr>
          <w:p>
            <w:pPr>
              <w:spacing w:after="0"/>
              <w:rPr>
                <w:sz w:val="17"/>
                <w:szCs w:val="17"/>
                <w:color w:val="auto"/>
              </w:rPr>
            </w:pP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206"/>
        </w:trPr>
        <w:tc>
          <w:tcPr>
            <w:tcW w:w="78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48,926</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301,308</w:t>
            </w:r>
          </w:p>
        </w:tc>
        <w:tc>
          <w:tcPr>
            <w:tcW w:w="0" w:type="dxa"/>
            <w:vAlign w:val="bottom"/>
          </w:tcPr>
          <w:p>
            <w:pPr>
              <w:spacing w:after="0"/>
              <w:rPr>
                <w:sz w:val="1"/>
                <w:szCs w:val="1"/>
                <w:color w:val="auto"/>
              </w:rPr>
            </w:pPr>
          </w:p>
        </w:tc>
      </w:tr>
      <w:tr>
        <w:trPr>
          <w:trHeight w:val="211"/>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Aquesta results included in statement of income since acquisition date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FinTrust results included in statement of income since acquisition date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Supplemental consolidated pro forma as if Reliant had been acquired January 1, 2021 and Aquesta and FinTrust had been</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295,864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January 1, 2020</w:t>
            </w: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Three Shores results included in statement of income since acquisition date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159"/>
        </w:trPr>
        <w:tc>
          <w:tcPr>
            <w:tcW w:w="7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Supplemental consolidated pro forma as if Aquesta and FinTrust had been acquired January 1, 2020 and Three Shores</w:t>
            </w: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622,848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164,284</w:t>
            </w:r>
          </w:p>
        </w:tc>
        <w:tc>
          <w:tcPr>
            <w:tcW w:w="0" w:type="dxa"/>
            <w:vAlign w:val="bottom"/>
          </w:tcPr>
          <w:p>
            <w:pPr>
              <w:spacing w:after="0"/>
              <w:rPr>
                <w:sz w:val="1"/>
                <w:szCs w:val="1"/>
                <w:color w:val="auto"/>
              </w:rPr>
            </w:pPr>
          </w:p>
        </w:tc>
      </w:tr>
      <w:tr>
        <w:trPr>
          <w:trHeight w:val="20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had been acquired January 1, 2019</w:t>
            </w: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Supplemental Cash Flow Information</w:t>
      </w:r>
    </w:p>
    <w:p>
      <w:pPr>
        <w:spacing w:after="0" w:line="244"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color w:val="auto"/>
        </w:rPr>
        <w:t xml:space="preserve">The supplemental schedule of cash and noncash activities for the periods indicated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See Note 14, Operating Leases, for information regarding noncash transactions related to ROU assets and lease liabilities.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5"/>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58,713</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59,967</w:t>
            </w:r>
          </w:p>
        </w:tc>
      </w:tr>
      <w:tr>
        <w:trPr>
          <w:trHeight w:val="214"/>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36,536</w:t>
            </w:r>
          </w:p>
        </w:tc>
      </w:tr>
      <w:tr>
        <w:trPr>
          <w:trHeight w:val="212"/>
        </w:trPr>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Assets acquired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3,254,173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2,174,723</w:t>
            </w:r>
          </w:p>
        </w:tc>
      </w:tr>
      <w:tr>
        <w:trPr>
          <w:trHeight w:val="214"/>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Liabilities assumed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1,987,026</w:t>
            </w:r>
          </w:p>
        </w:tc>
      </w:tr>
      <w:tr>
        <w:trPr>
          <w:trHeight w:val="210"/>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187,697</w:t>
            </w:r>
          </w:p>
        </w:tc>
      </w:tr>
      <w:tr>
        <w:trPr>
          <w:trHeight w:val="214"/>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Value of common stock issued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163,589</w:t>
            </w:r>
          </w:p>
        </w:tc>
      </w:tr>
      <w:tr>
        <w:trPr>
          <w:trHeight w:val="274"/>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Other non-cash consideration </w:t>
            </w:r>
            <w:r>
              <w:rPr>
                <w:rFonts w:ascii="Times New Roman" w:cs="Times New Roman" w:eastAsia="Times New Roman" w:hAnsi="Times New Roman"/>
                <w:sz w:val="20"/>
                <w:szCs w:val="20"/>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See Note 3, Acquisitions, for further detail.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4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2022, United transferred AFS debt securities to HTM with a fair value on the transfer date of $1.29 billion, which included unrealized losses recorded in AOCI totaling $87.4 million.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HTM debt securities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00" w:type="dxa"/>
            <w:vAlign w:val="bottom"/>
          </w:tcPr>
          <w:p>
            <w:pPr>
              <w:spacing w:after="0"/>
              <w:rPr>
                <w:sz w:val="16"/>
                <w:szCs w:val="16"/>
                <w:color w:val="auto"/>
              </w:rPr>
            </w:pPr>
          </w:p>
        </w:tc>
        <w:tc>
          <w:tcPr>
            <w:tcW w:w="11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w w:val="98"/>
              </w:rPr>
              <w:t>As of December 31, 2022</w:t>
            </w:r>
          </w:p>
        </w:tc>
        <w:tc>
          <w:tcPr>
            <w:tcW w:w="3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81,510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1,264,497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12,412</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2,191,073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2021</w:t>
            </w:r>
          </w:p>
        </w:tc>
        <w:tc>
          <w:tcPr>
            <w:tcW w:w="3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19,823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257,949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379,975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406,977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Supranational entities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1,148,804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AFS debt securities as of the dates indicated are as follows </w:t>
      </w:r>
      <w:r>
        <w:rPr>
          <w:rFonts w:ascii="Times New Roman" w:cs="Times New Roman" w:eastAsia="Times New Roman" w:hAnsi="Times New Roman"/>
          <w:sz w:val="18"/>
          <w:szCs w:val="18"/>
          <w:i w:val="1"/>
          <w:iCs w:val="1"/>
          <w:color w:val="auto"/>
        </w:rPr>
        <w:t>(in thousands):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00" w:type="dxa"/>
            <w:vAlign w:val="bottom"/>
          </w:tcPr>
          <w:p>
            <w:pPr>
              <w:spacing w:after="0"/>
              <w:rPr>
                <w:sz w:val="16"/>
                <w:szCs w:val="16"/>
                <w:color w:val="auto"/>
              </w:rPr>
            </w:pPr>
          </w:p>
        </w:tc>
        <w:tc>
          <w:tcPr>
            <w:tcW w:w="11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w w:val="98"/>
              </w:rPr>
              <w:t>As of December 31, 2022</w:t>
            </w:r>
          </w:p>
        </w:tc>
        <w:tc>
          <w:tcPr>
            <w:tcW w:w="3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250,116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1,448,819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641,346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212,452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231,272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3,971,326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3,614,333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2021</w:t>
            </w: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187,032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2,060,964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857,381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193,166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604,277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4,516,529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4,496,824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2022 and 2021, securities with a carrying value of $2.53 billion and $1.46 billion, respectively, were pledged primarily to secure deposits. At year-end 2022 and 2021, there were no holdings of debt obligations of any one issuer, other than the U.S. Government and its agencies, in an amount greater than 10% of shareholders’ equity.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summarizes HTM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7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w w:val="98"/>
              </w:rPr>
              <w:t>As of December 31, 2022</w:t>
            </w: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221,358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1,262,458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583,576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90,243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1,560,451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2,178,731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2021</w:t>
            </w: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324,433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822,758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summarizes AFS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7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w w:val="98"/>
              </w:rPr>
              <w:t>As of December 31, 2022</w:t>
            </w: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149,352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1,441,936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231,272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186,622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3,502,739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As of December 31, 2021</w:t>
            </w:r>
          </w:p>
        </w:tc>
        <w:tc>
          <w:tcPr>
            <w:tcW w:w="2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111,606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152,986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1,609,225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MBS, Agency &amp; GSE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648,249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195,735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2,787,798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2,952,121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At December 31, 2022, there were 740 AFS debt securities and 315 HTM debt securities that were in an unrealized loss position. Management does not intend to sell nor believes it will be required to sell securities in an unrealized loss position prior to the recovery of its amortized cost basis. Unrealized losses at December 31, 2022 and 2021 were primarily attributable to changes in interest rates.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At December 31, 2022 and 2021, calculated credit losses and, thus, the related ACL on HTM debt securities were de minimis due to the high credit quality of the portfolio, which included securities issued or guaranteed by the U.S. Treasury, U.S. Government agencies, GSEs, high credit quality municipalities and supranational entities. As a result, no ACL was recorded on the HTM portfolio at December 31, 2022 and 2021. In addition, based on the assessment performed as of December 31, 2022 and 2021, there was no ACL required related to the AFS portfolio. See Note 1 for additional details on the ACL as it relates to the securities portfolio.</w:t>
      </w:r>
    </w:p>
    <w:p>
      <w:pPr>
        <w:spacing w:after="0" w:line="210"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8"/>
          <w:szCs w:val="18"/>
          <w:color w:val="auto"/>
        </w:rPr>
        <w:t xml:space="preserve">The following table presents accrued interest receivable for the periods indicated on HTM and AFS debt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which was excluded from the estimate of credit losses.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940" w:type="dxa"/>
            <w:vAlign w:val="bottom"/>
            <w:tcBorders>
              <w:bottom w:val="single" w:sz="8" w:color="auto"/>
            </w:tcBorders>
            <w:gridSpan w:val="4"/>
          </w:tcPr>
          <w:p>
            <w:pPr>
              <w:jc w:val="center"/>
              <w:ind w:left="481"/>
              <w:spacing w:after="0"/>
              <w:rPr>
                <w:sz w:val="20"/>
                <w:szCs w:val="20"/>
                <w:color w:val="auto"/>
              </w:rPr>
            </w:pPr>
            <w:r>
              <w:rPr>
                <w:rFonts w:ascii="Times New Roman" w:cs="Times New Roman" w:eastAsia="Times New Roman" w:hAnsi="Times New Roman"/>
                <w:sz w:val="16"/>
                <w:szCs w:val="16"/>
                <w:b w:val="1"/>
                <w:bCs w:val="1"/>
                <w:color w:val="auto"/>
                <w:w w:val="98"/>
              </w:rPr>
              <w:t>Accrued Interest Receivable</w:t>
            </w:r>
          </w:p>
        </w:tc>
        <w:tc>
          <w:tcPr>
            <w:tcW w:w="560" w:type="dxa"/>
            <w:vAlign w:val="bottom"/>
            <w:tcBorders>
              <w:bottom w:val="single" w:sz="8" w:color="auto"/>
            </w:tcBorders>
          </w:tcPr>
          <w:p>
            <w:pPr>
              <w:spacing w:after="0"/>
              <w:rPr>
                <w:sz w:val="18"/>
                <w:szCs w:val="18"/>
                <w:color w:val="auto"/>
              </w:rPr>
            </w:pPr>
          </w:p>
        </w:tc>
        <w:tc>
          <w:tcPr>
            <w:tcW w:w="2460" w:type="dxa"/>
            <w:vAlign w:val="bottom"/>
          </w:tcPr>
          <w:p>
            <w:pPr>
              <w:spacing w:after="0"/>
              <w:rPr>
                <w:sz w:val="18"/>
                <w:szCs w:val="18"/>
                <w:color w:val="auto"/>
              </w:rPr>
            </w:pPr>
          </w:p>
        </w:tc>
      </w:tr>
      <w:tr>
        <w:trPr>
          <w:trHeight w:val="207"/>
        </w:trPr>
        <w:tc>
          <w:tcPr>
            <w:tcW w:w="45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4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Borders>
              <w:bottom w:val="single" w:sz="8" w:color="auto"/>
            </w:tcBorders>
          </w:tcPr>
          <w:p>
            <w:pPr>
              <w:spacing w:after="0"/>
              <w:rPr>
                <w:sz w:val="17"/>
                <w:szCs w:val="17"/>
                <w:color w:val="auto"/>
              </w:rPr>
            </w:pPr>
          </w:p>
        </w:tc>
        <w:tc>
          <w:tcPr>
            <w:tcW w:w="2460" w:type="dxa"/>
            <w:vAlign w:val="bottom"/>
          </w:tcPr>
          <w:p>
            <w:pPr>
              <w:spacing w:after="0"/>
              <w:rPr>
                <w:sz w:val="17"/>
                <w:szCs w:val="17"/>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r>
      <w:tr>
        <w:trPr>
          <w:trHeight w:val="206"/>
        </w:trPr>
        <w:tc>
          <w:tcPr>
            <w:tcW w:w="45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6"/>
                <w:szCs w:val="16"/>
                <w:color w:val="auto"/>
              </w:rPr>
              <w:t>HTM</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7,234</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2460" w:type="dxa"/>
            <w:vAlign w:val="bottom"/>
            <w:shd w:val="clear" w:color="auto" w:fill="CCEEFF"/>
          </w:tcPr>
          <w:p>
            <w:pPr>
              <w:spacing w:after="0"/>
              <w:rPr>
                <w:sz w:val="17"/>
                <w:szCs w:val="17"/>
                <w:color w:val="auto"/>
              </w:rPr>
            </w:pPr>
          </w:p>
        </w:tc>
      </w:tr>
      <w:tr>
        <w:trPr>
          <w:trHeight w:val="208"/>
        </w:trPr>
        <w:tc>
          <w:tcPr>
            <w:tcW w:w="45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AFS</w:t>
            </w:r>
          </w:p>
        </w:tc>
        <w:tc>
          <w:tcPr>
            <w:tcW w:w="1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15,281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24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376"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 xml:space="preserve">The amortized cost and fair value of AFS and HTM debt securities at December 31, 2022, by contractual maturity, are presented in the following table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thousands). </w:t>
      </w:r>
      <w:r>
        <w:rPr>
          <w:rFonts w:ascii="Times New Roman" w:cs="Times New Roman" w:eastAsia="Times New Roman" w:hAnsi="Times New Roman"/>
          <w:sz w:val="17"/>
          <w:szCs w:val="17"/>
          <w:color w:val="auto"/>
        </w:rPr>
        <w:t>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AFS</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HTM</w:t>
            </w:r>
          </w:p>
        </w:tc>
        <w:tc>
          <w:tcPr>
            <w:tcW w:w="1160" w:type="dxa"/>
            <w:vAlign w:val="bottom"/>
            <w:tcBorders>
              <w:bottom w:val="single" w:sz="8" w:color="auto"/>
            </w:tcBorders>
          </w:tcPr>
          <w:p>
            <w:pPr>
              <w:spacing w:after="0"/>
              <w:rPr>
                <w:sz w:val="18"/>
                <w:szCs w:val="18"/>
                <w:color w:val="auto"/>
              </w:rPr>
            </w:pPr>
          </w:p>
        </w:tc>
      </w:tr>
      <w:tr>
        <w:trPr>
          <w:trHeight w:val="207"/>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7"/>
                <w:szCs w:val="17"/>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Pr>
          <w:p>
            <w:pPr>
              <w:spacing w:after="0"/>
              <w:rPr>
                <w:sz w:val="17"/>
                <w:szCs w:val="17"/>
                <w:color w:val="auto"/>
              </w:rPr>
            </w:pP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Within 1 year:</w:t>
            </w: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1,197</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52,740</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51,964</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1,197</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to 5 years: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17,914</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334,167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303,455</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18,698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17,914</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 to 10 years: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17,417</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60,665</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22,028</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12,412</w:t>
            </w:r>
          </w:p>
        </w:tc>
      </w:tr>
      <w:tr>
        <w:trPr>
          <w:trHeight w:val="207"/>
        </w:trPr>
        <w:tc>
          <w:tcPr>
            <w:tcW w:w="4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336,294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303,887</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134,104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112,522</w:t>
            </w: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20,845</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190,522</w:t>
            </w:r>
          </w:p>
        </w:tc>
      </w:tr>
      <w:tr>
        <w:trPr>
          <w:trHeight w:val="212"/>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273,022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256,362</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276,456</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211,367</w:t>
            </w:r>
          </w:p>
        </w:tc>
      </w:tr>
      <w:tr>
        <w:trPr>
          <w:trHeight w:val="19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not due at a single maturity:</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MBS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1,488,028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1,264,497</w:t>
            </w:r>
          </w:p>
        </w:tc>
      </w:tr>
      <w:tr>
        <w:trPr>
          <w:trHeight w:val="21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MBS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583,576</w:t>
            </w:r>
          </w:p>
        </w:tc>
      </w:tr>
      <w:tr>
        <w:trPr>
          <w:trHeight w:val="214"/>
        </w:trPr>
        <w:tc>
          <w:tcPr>
            <w:tcW w:w="4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5"/>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3,971,326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3,614,333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2,191,073</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the securities sold. The following summarizes securities sales activities for the years ended December 31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320" w:type="dxa"/>
            <w:vAlign w:val="bottom"/>
            <w:tcBorders>
              <w:bottom w:val="single" w:sz="8" w:color="CCEEFF"/>
            </w:tcBorders>
          </w:tcPr>
          <w:p>
            <w:pPr>
              <w:spacing w:after="0"/>
              <w:rPr>
                <w:sz w:val="18"/>
                <w:szCs w:val="18"/>
                <w:color w:val="auto"/>
              </w:rPr>
            </w:pPr>
          </w:p>
        </w:tc>
      </w:tr>
      <w:tr>
        <w:trPr>
          <w:trHeight w:val="233"/>
        </w:trPr>
        <w:tc>
          <w:tcPr>
            <w:tcW w:w="56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Proceeds from sales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40,625</w:t>
            </w:r>
          </w:p>
        </w:tc>
        <w:tc>
          <w:tcPr>
            <w:tcW w:w="132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9"/>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2"/>
        </w:trPr>
        <w:tc>
          <w:tcPr>
            <w:tcW w:w="56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Gross gains on sales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320" w:type="dxa"/>
            <w:vAlign w:val="bottom"/>
            <w:shd w:val="clear" w:color="auto" w:fill="CCEEFF"/>
          </w:tcPr>
          <w:p>
            <w:pPr>
              <w:spacing w:after="0"/>
              <w:rPr>
                <w:sz w:val="18"/>
                <w:szCs w:val="18"/>
                <w:color w:val="auto"/>
              </w:rPr>
            </w:pPr>
          </w:p>
        </w:tc>
      </w:tr>
      <w:tr>
        <w:trPr>
          <w:trHeight w:val="210"/>
        </w:trPr>
        <w:tc>
          <w:tcPr>
            <w:tcW w:w="56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Gross losses on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138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640" w:type="dxa"/>
            <w:vAlign w:val="bottom"/>
            <w:tcBorders>
              <w:top w:val="single" w:sz="8" w:color="CCEEFF"/>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Net gains (losses) on sales of securities</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8"/>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37"/>
        </w:trPr>
        <w:tc>
          <w:tcPr>
            <w:tcW w:w="56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Income tax expense (benefit) attributable to sales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26"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 xml:space="preserve">The table below reflects the carrying value of certain equity investments, which are included in other assets on the consolidated balance sheet, as of December 31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07"/>
        </w:trPr>
        <w:tc>
          <w:tcPr>
            <w:tcW w:w="6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520" w:type="dxa"/>
            <w:vAlign w:val="bottom"/>
            <w:tcBorders>
              <w:bottom w:val="single" w:sz="8" w:color="CCEEFF"/>
            </w:tcBorders>
          </w:tcPr>
          <w:p>
            <w:pPr>
              <w:spacing w:after="0"/>
              <w:rPr>
                <w:sz w:val="17"/>
                <w:szCs w:val="17"/>
                <w:color w:val="auto"/>
              </w:rPr>
            </w:pPr>
          </w:p>
        </w:tc>
      </w:tr>
      <w:tr>
        <w:trPr>
          <w:trHeight w:val="206"/>
        </w:trPr>
        <w:tc>
          <w:tcPr>
            <w:tcW w:w="64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FHLB Stock</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w:t>
            </w:r>
          </w:p>
        </w:tc>
        <w:tc>
          <w:tcPr>
            <w:tcW w:w="1520" w:type="dxa"/>
            <w:vAlign w:val="bottom"/>
            <w:shd w:val="clear" w:color="auto" w:fill="CCEEFF"/>
          </w:tcPr>
          <w:p>
            <w:pPr>
              <w:spacing w:after="0"/>
              <w:rPr>
                <w:sz w:val="17"/>
                <w:szCs w:val="17"/>
                <w:color w:val="auto"/>
              </w:rPr>
            </w:pPr>
          </w:p>
        </w:tc>
      </w:tr>
      <w:tr>
        <w:trPr>
          <w:trHeight w:val="208"/>
        </w:trPr>
        <w:tc>
          <w:tcPr>
            <w:tcW w:w="64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520" w:type="dxa"/>
            <w:vAlign w:val="bottom"/>
          </w:tcPr>
          <w:p>
            <w:pPr>
              <w:spacing w:after="0"/>
              <w:rPr>
                <w:sz w:val="18"/>
                <w:szCs w:val="18"/>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Loans and Leases and Allowance for Credit Losses</w:t>
      </w:r>
    </w:p>
    <w:p>
      <w:pPr>
        <w:spacing w:after="0" w:line="24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6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00" w:type="dxa"/>
            <w:vAlign w:val="bottom"/>
            <w:tcBorders>
              <w:bottom w:val="single" w:sz="8" w:color="CCEEFF"/>
            </w:tcBorders>
          </w:tcPr>
          <w:p>
            <w:pPr>
              <w:spacing w:after="0"/>
              <w:rPr>
                <w:sz w:val="17"/>
                <w:szCs w:val="17"/>
                <w:color w:val="auto"/>
              </w:rPr>
            </w:pPr>
          </w:p>
        </w:tc>
      </w:tr>
      <w:tr>
        <w:trPr>
          <w:trHeight w:val="206"/>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2,734,666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2,321,685</w:t>
            </w:r>
          </w:p>
        </w:tc>
        <w:tc>
          <w:tcPr>
            <w:tcW w:w="1300" w:type="dxa"/>
            <w:vAlign w:val="bottom"/>
            <w:shd w:val="clear" w:color="auto" w:fill="CCEEFF"/>
          </w:tcPr>
          <w:p>
            <w:pPr>
              <w:spacing w:after="0"/>
              <w:rPr>
                <w:sz w:val="17"/>
                <w:szCs w:val="17"/>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3,261,626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2,600,858</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1,910,162</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1,014,830</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1,083,021</w:t>
            </w:r>
          </w:p>
        </w:tc>
        <w:tc>
          <w:tcPr>
            <w:tcW w:w="1300" w:type="dxa"/>
            <w:vAlign w:val="bottom"/>
            <w:shd w:val="clear" w:color="auto" w:fill="CCEEFF"/>
          </w:tcPr>
          <w:p>
            <w:pPr>
              <w:spacing w:after="0"/>
              <w:rPr>
                <w:sz w:val="18"/>
                <w:szCs w:val="18"/>
                <w:color w:val="auto"/>
              </w:rPr>
            </w:pPr>
          </w:p>
        </w:tc>
      </w:tr>
      <w:tr>
        <w:trPr>
          <w:trHeight w:val="203"/>
        </w:trPr>
        <w:tc>
          <w:tcPr>
            <w:tcW w:w="65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11,220,713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8,930,556</w:t>
            </w:r>
          </w:p>
        </w:tc>
        <w:tc>
          <w:tcPr>
            <w:tcW w:w="1300" w:type="dxa"/>
            <w:vAlign w:val="bottom"/>
          </w:tcPr>
          <w:p>
            <w:pPr>
              <w:spacing w:after="0"/>
              <w:rPr>
                <w:sz w:val="17"/>
                <w:szCs w:val="17"/>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1,637,885</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694,034</w:t>
            </w:r>
          </w:p>
        </w:tc>
        <w:tc>
          <w:tcPr>
            <w:tcW w:w="1300" w:type="dxa"/>
            <w:vAlign w:val="bottom"/>
          </w:tcPr>
          <w:p>
            <w:pPr>
              <w:spacing w:after="0"/>
              <w:rPr>
                <w:sz w:val="18"/>
                <w:szCs w:val="18"/>
                <w:color w:val="auto"/>
              </w:rPr>
            </w:pP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359,815</w:t>
            </w:r>
          </w:p>
        </w:tc>
        <w:tc>
          <w:tcPr>
            <w:tcW w:w="1300" w:type="dxa"/>
            <w:vAlign w:val="bottom"/>
            <w:shd w:val="clear" w:color="auto" w:fill="CCEEFF"/>
          </w:tcPr>
          <w:p>
            <w:pPr>
              <w:spacing w:after="0"/>
              <w:rPr>
                <w:sz w:val="18"/>
                <w:szCs w:val="18"/>
                <w:color w:val="auto"/>
              </w:rPr>
            </w:pPr>
          </w:p>
        </w:tc>
      </w:tr>
      <w:tr>
        <w:trPr>
          <w:trHeight w:val="210"/>
        </w:trPr>
        <w:tc>
          <w:tcPr>
            <w:tcW w:w="6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gridSpan w:val="2"/>
          </w:tcPr>
          <w:p>
            <w:pPr>
              <w:jc w:val="right"/>
              <w:ind w:right="138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149,290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138,056</w:t>
            </w:r>
          </w:p>
        </w:tc>
        <w:tc>
          <w:tcPr>
            <w:tcW w:w="1300" w:type="dxa"/>
            <w:vAlign w:val="bottom"/>
            <w:shd w:val="clear" w:color="auto" w:fill="CCEEFF"/>
          </w:tcPr>
          <w:p>
            <w:pPr>
              <w:spacing w:after="0"/>
              <w:rPr>
                <w:sz w:val="18"/>
                <w:szCs w:val="18"/>
                <w:color w:val="auto"/>
              </w:rPr>
            </w:pPr>
          </w:p>
        </w:tc>
      </w:tr>
      <w:tr>
        <w:trPr>
          <w:trHeight w:val="203"/>
        </w:trPr>
        <w:tc>
          <w:tcPr>
            <w:tcW w:w="65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Total loans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11,760,346</w:t>
            </w:r>
          </w:p>
        </w:tc>
        <w:tc>
          <w:tcPr>
            <w:tcW w:w="1300" w:type="dxa"/>
            <w:vAlign w:val="bottom"/>
          </w:tcPr>
          <w:p>
            <w:pPr>
              <w:spacing w:after="0"/>
              <w:rPr>
                <w:sz w:val="17"/>
                <w:szCs w:val="17"/>
                <w:color w:val="auto"/>
              </w:rPr>
            </w:pPr>
          </w:p>
        </w:tc>
      </w:tr>
      <w:tr>
        <w:trPr>
          <w:trHeight w:val="212"/>
        </w:trPr>
        <w:tc>
          <w:tcPr>
            <w:tcW w:w="6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Less ACL - loans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300" w:type="dxa"/>
            <w:vAlign w:val="bottom"/>
            <w:shd w:val="clear" w:color="auto" w:fill="CCEEFF"/>
          </w:tcPr>
          <w:p>
            <w:pPr>
              <w:spacing w:after="0"/>
              <w:rPr>
                <w:sz w:val="18"/>
                <w:szCs w:val="18"/>
                <w:color w:val="auto"/>
              </w:rPr>
            </w:pPr>
          </w:p>
        </w:tc>
      </w:tr>
      <w:tr>
        <w:trPr>
          <w:trHeight w:val="207"/>
        </w:trPr>
        <w:tc>
          <w:tcPr>
            <w:tcW w:w="65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Loans,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11,657,814</w:t>
            </w:r>
          </w:p>
        </w:tc>
        <w:tc>
          <w:tcPr>
            <w:tcW w:w="13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2022 and 2021, $2.04 million and $1.01 million, respectively, in overdrawn deposit accounts were reclassified as consumer loans.</w:t>
      </w:r>
    </w:p>
    <w:p>
      <w:pPr>
        <w:spacing w:after="0" w:line="244"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Accrued interest receivable related to loans totaled $52.0 million and $28.5 million at December 31, 2022 and 2021, respectively, and was reported in accrued interest receivable on the consolidated balance sheets.</w:t>
      </w:r>
    </w:p>
    <w:p>
      <w:pPr>
        <w:spacing w:after="0" w:line="190"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At December 31, 2022, the loan portfolio was subject to blanket pledges on certain qualifying loan types with the FHLB to secure advances outstanding and contingent funding sources.</w:t>
      </w:r>
    </w:p>
    <w:p>
      <w:pPr>
        <w:spacing w:after="0" w:line="188" w:lineRule="exact"/>
        <w:rPr>
          <w:sz w:val="20"/>
          <w:szCs w:val="20"/>
          <w:color w:val="auto"/>
        </w:rPr>
      </w:pPr>
    </w:p>
    <w:p>
      <w:pPr>
        <w:ind w:left="320"/>
        <w:spacing w:after="0" w:line="271" w:lineRule="auto"/>
        <w:rPr>
          <w:sz w:val="20"/>
          <w:szCs w:val="20"/>
          <w:color w:val="auto"/>
        </w:rPr>
      </w:pPr>
      <w:r>
        <w:rPr>
          <w:rFonts w:ascii="Times New Roman" w:cs="Times New Roman" w:eastAsia="Times New Roman" w:hAnsi="Times New Roman"/>
          <w:sz w:val="18"/>
          <w:szCs w:val="18"/>
          <w:color w:val="auto"/>
        </w:rPr>
        <w:t xml:space="preserve">The following table presents loans held for investment that were sold in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The gains and losses on these loan sales were included in noninterest income on the consolidated statements of income.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07"/>
        </w:trPr>
        <w:tc>
          <w:tcPr>
            <w:tcW w:w="4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780" w:type="dxa"/>
            <w:vAlign w:val="bottom"/>
            <w:tcBorders>
              <w:bottom w:val="single" w:sz="8" w:color="CCEEFF"/>
            </w:tcBorders>
          </w:tcPr>
          <w:p>
            <w:pPr>
              <w:spacing w:after="0"/>
              <w:rPr>
                <w:sz w:val="17"/>
                <w:szCs w:val="17"/>
                <w:color w:val="auto"/>
              </w:rPr>
            </w:pPr>
          </w:p>
        </w:tc>
      </w:tr>
      <w:tr>
        <w:trPr>
          <w:trHeight w:val="206"/>
        </w:trPr>
        <w:tc>
          <w:tcPr>
            <w:tcW w:w="49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48,385</w:t>
            </w:r>
          </w:p>
        </w:tc>
        <w:tc>
          <w:tcPr>
            <w:tcW w:w="1780" w:type="dxa"/>
            <w:vAlign w:val="bottom"/>
            <w:shd w:val="clear" w:color="auto" w:fill="CCEEFF"/>
          </w:tcPr>
          <w:p>
            <w:pPr>
              <w:spacing w:after="0"/>
              <w:rPr>
                <w:sz w:val="17"/>
                <w:szCs w:val="17"/>
                <w:color w:val="auto"/>
              </w:rPr>
            </w:pPr>
          </w:p>
        </w:tc>
      </w:tr>
      <w:tr>
        <w:trPr>
          <w:trHeight w:val="210"/>
        </w:trPr>
        <w:tc>
          <w:tcPr>
            <w:tcW w:w="496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27,018</w:t>
            </w:r>
          </w:p>
        </w:tc>
        <w:tc>
          <w:tcPr>
            <w:tcW w:w="1780" w:type="dxa"/>
            <w:vAlign w:val="bottom"/>
            <w:tcBorders>
              <w:bottom w:val="single" w:sz="8" w:color="CCEEFF"/>
            </w:tcBorders>
          </w:tcPr>
          <w:p>
            <w:pPr>
              <w:spacing w:after="0"/>
              <w:rPr>
                <w:sz w:val="18"/>
                <w:szCs w:val="18"/>
                <w:color w:val="auto"/>
              </w:rPr>
            </w:pPr>
          </w:p>
        </w:tc>
      </w:tr>
      <w:tr>
        <w:trPr>
          <w:trHeight w:val="230"/>
        </w:trPr>
        <w:tc>
          <w:tcPr>
            <w:tcW w:w="4960" w:type="dxa"/>
            <w:vAlign w:val="bottom"/>
            <w:tcBorders>
              <w:bottom w:val="single" w:sz="8" w:color="CCEEFF"/>
            </w:tcBorders>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75,403</w:t>
            </w:r>
          </w:p>
        </w:tc>
        <w:tc>
          <w:tcPr>
            <w:tcW w:w="178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3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At December 31, 2022 and 2021, equipment financing assets included leases of $46.0 million and $37.7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180" w:type="dxa"/>
            <w:vAlign w:val="bottom"/>
            <w:tcBorders>
              <w:bottom w:val="single" w:sz="8" w:color="CCEEFF"/>
            </w:tcBorders>
          </w:tcPr>
          <w:p>
            <w:pPr>
              <w:spacing w:after="0"/>
              <w:rPr>
                <w:sz w:val="17"/>
                <w:szCs w:val="17"/>
                <w:color w:val="auto"/>
              </w:rPr>
            </w:pPr>
          </w:p>
        </w:tc>
      </w:tr>
      <w:tr>
        <w:trPr>
          <w:trHeight w:val="206"/>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49,723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39,962</w:t>
            </w:r>
          </w:p>
        </w:tc>
        <w:tc>
          <w:tcPr>
            <w:tcW w:w="2180" w:type="dxa"/>
            <w:vAlign w:val="bottom"/>
            <w:shd w:val="clear" w:color="auto" w:fill="CCEEFF"/>
          </w:tcPr>
          <w:p>
            <w:pPr>
              <w:spacing w:after="0"/>
              <w:rPr>
                <w:sz w:val="17"/>
                <w:szCs w:val="17"/>
                <w:color w:val="auto"/>
              </w:rPr>
            </w:pPr>
          </w:p>
        </w:tc>
      </w:tr>
      <w:tr>
        <w:trPr>
          <w:trHeight w:val="210"/>
        </w:trPr>
        <w:tc>
          <w:tcPr>
            <w:tcW w:w="586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3,216</w:t>
            </w:r>
          </w:p>
        </w:tc>
        <w:tc>
          <w:tcPr>
            <w:tcW w:w="2180" w:type="dxa"/>
            <w:vAlign w:val="bottom"/>
          </w:tcPr>
          <w:p>
            <w:pPr>
              <w:spacing w:after="0"/>
              <w:rPr>
                <w:sz w:val="18"/>
                <w:szCs w:val="18"/>
                <w:color w:val="auto"/>
              </w:rPr>
            </w:pPr>
          </w:p>
        </w:tc>
      </w:tr>
      <w:tr>
        <w:trPr>
          <w:trHeight w:val="214"/>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Initial direct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669</w:t>
            </w:r>
          </w:p>
        </w:tc>
        <w:tc>
          <w:tcPr>
            <w:tcW w:w="2180" w:type="dxa"/>
            <w:vAlign w:val="bottom"/>
            <w:shd w:val="clear" w:color="auto" w:fill="CCEEFF"/>
          </w:tcPr>
          <w:p>
            <w:pPr>
              <w:spacing w:after="0"/>
              <w:rPr>
                <w:sz w:val="18"/>
                <w:szCs w:val="18"/>
                <w:color w:val="auto"/>
              </w:rPr>
            </w:pPr>
          </w:p>
        </w:tc>
      </w:tr>
      <w:tr>
        <w:trPr>
          <w:trHeight w:val="210"/>
        </w:trPr>
        <w:tc>
          <w:tcPr>
            <w:tcW w:w="586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180" w:type="dxa"/>
            <w:vAlign w:val="bottom"/>
          </w:tcPr>
          <w:p>
            <w:pPr>
              <w:spacing w:after="0"/>
              <w:rPr>
                <w:sz w:val="18"/>
                <w:szCs w:val="18"/>
                <w:color w:val="auto"/>
              </w:rPr>
            </w:pPr>
          </w:p>
        </w:tc>
      </w:tr>
      <w:tr>
        <w:trPr>
          <w:trHeight w:val="212"/>
        </w:trPr>
        <w:tc>
          <w:tcPr>
            <w:tcW w:w="58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2180" w:type="dxa"/>
            <w:vAlign w:val="bottom"/>
            <w:shd w:val="clear" w:color="auto" w:fill="CCEEFF"/>
          </w:tcPr>
          <w:p>
            <w:pPr>
              <w:spacing w:after="0"/>
              <w:rPr>
                <w:sz w:val="18"/>
                <w:szCs w:val="18"/>
                <w:color w:val="auto"/>
              </w:rPr>
            </w:pPr>
          </w:p>
        </w:tc>
      </w:tr>
      <w:tr>
        <w:trPr>
          <w:trHeight w:val="207"/>
        </w:trPr>
        <w:tc>
          <w:tcPr>
            <w:tcW w:w="586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45,988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37,728</w:t>
            </w:r>
          </w:p>
        </w:tc>
        <w:tc>
          <w:tcPr>
            <w:tcW w:w="21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71"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December 31, 2022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920" w:type="dxa"/>
            <w:vAlign w:val="bottom"/>
            <w:tcBorders>
              <w:bottom w:val="single" w:sz="8" w:color="CCEEFF"/>
            </w:tcBorders>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r>
      <w:tr>
        <w:trPr>
          <w:trHeight w:val="208"/>
        </w:trPr>
        <w:tc>
          <w:tcPr>
            <w:tcW w:w="2920" w:type="dxa"/>
            <w:vAlign w:val="bottom"/>
            <w:shd w:val="clear" w:color="auto" w:fill="CCEEFF"/>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17,531</w:t>
            </w:r>
          </w:p>
        </w:tc>
        <w:tc>
          <w:tcPr>
            <w:tcW w:w="2940" w:type="dxa"/>
            <w:vAlign w:val="bottom"/>
            <w:shd w:val="clear" w:color="auto" w:fill="CCEEFF"/>
          </w:tcPr>
          <w:p>
            <w:pPr>
              <w:spacing w:after="0"/>
              <w:rPr>
                <w:sz w:val="18"/>
                <w:szCs w:val="18"/>
                <w:color w:val="auto"/>
              </w:rPr>
            </w:pPr>
          </w:p>
        </w:tc>
      </w:tr>
      <w:tr>
        <w:trPr>
          <w:trHeight w:val="210"/>
        </w:trPr>
        <w:tc>
          <w:tcPr>
            <w:tcW w:w="6000" w:type="dxa"/>
            <w:vAlign w:val="bottom"/>
            <w:gridSpan w:val="2"/>
          </w:tcPr>
          <w:p>
            <w:pPr>
              <w:ind w:left="2940"/>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13,356</w:t>
            </w:r>
          </w:p>
        </w:tc>
        <w:tc>
          <w:tcPr>
            <w:tcW w:w="2940" w:type="dxa"/>
            <w:vAlign w:val="bottom"/>
          </w:tcPr>
          <w:p>
            <w:pPr>
              <w:spacing w:after="0"/>
              <w:rPr>
                <w:sz w:val="18"/>
                <w:szCs w:val="18"/>
                <w:color w:val="auto"/>
              </w:rPr>
            </w:pPr>
          </w:p>
        </w:tc>
      </w:tr>
      <w:tr>
        <w:trPr>
          <w:trHeight w:val="214"/>
        </w:trPr>
        <w:tc>
          <w:tcPr>
            <w:tcW w:w="600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2940" w:type="dxa"/>
            <w:vAlign w:val="bottom"/>
            <w:shd w:val="clear" w:color="auto" w:fill="CCEEFF"/>
          </w:tcPr>
          <w:p>
            <w:pPr>
              <w:spacing w:after="0"/>
              <w:rPr>
                <w:sz w:val="18"/>
                <w:szCs w:val="18"/>
                <w:color w:val="auto"/>
              </w:rPr>
            </w:pPr>
          </w:p>
        </w:tc>
      </w:tr>
      <w:tr>
        <w:trPr>
          <w:trHeight w:val="210"/>
        </w:trPr>
        <w:tc>
          <w:tcPr>
            <w:tcW w:w="6000" w:type="dxa"/>
            <w:vAlign w:val="bottom"/>
            <w:gridSpan w:val="2"/>
          </w:tcPr>
          <w:p>
            <w:pPr>
              <w:ind w:left="2940"/>
              <w:spacing w:after="0"/>
              <w:rPr>
                <w:sz w:val="20"/>
                <w:szCs w:val="20"/>
                <w:color w:val="auto"/>
              </w:rPr>
            </w:pPr>
            <w:r>
              <w:rPr>
                <w:rFonts w:ascii="Times New Roman" w:cs="Times New Roman" w:eastAsia="Times New Roman" w:hAnsi="Times New Roman"/>
                <w:sz w:val="16"/>
                <w:szCs w:val="16"/>
                <w:color w:val="auto"/>
              </w:rPr>
              <w:t>2026</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2940" w:type="dxa"/>
            <w:vAlign w:val="bottom"/>
          </w:tcPr>
          <w:p>
            <w:pPr>
              <w:spacing w:after="0"/>
              <w:rPr>
                <w:sz w:val="18"/>
                <w:szCs w:val="18"/>
                <w:color w:val="auto"/>
              </w:rPr>
            </w:pPr>
          </w:p>
        </w:tc>
      </w:tr>
      <w:tr>
        <w:trPr>
          <w:trHeight w:val="214"/>
        </w:trPr>
        <w:tc>
          <w:tcPr>
            <w:tcW w:w="600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6"/>
                <w:szCs w:val="16"/>
                <w:color w:val="auto"/>
              </w:rPr>
              <w:t>2027</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2940" w:type="dxa"/>
            <w:vAlign w:val="bottom"/>
            <w:shd w:val="clear" w:color="auto" w:fill="CCEEFF"/>
          </w:tcPr>
          <w:p>
            <w:pPr>
              <w:spacing w:after="0"/>
              <w:rPr>
                <w:sz w:val="18"/>
                <w:szCs w:val="18"/>
                <w:color w:val="auto"/>
              </w:rPr>
            </w:pPr>
          </w:p>
        </w:tc>
      </w:tr>
      <w:tr>
        <w:trPr>
          <w:trHeight w:val="210"/>
        </w:trPr>
        <w:tc>
          <w:tcPr>
            <w:tcW w:w="292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940" w:type="dxa"/>
            <w:vAlign w:val="bottom"/>
            <w:tcBorders>
              <w:bottom w:val="single" w:sz="8" w:color="CCEEFF"/>
            </w:tcBorders>
          </w:tcPr>
          <w:p>
            <w:pPr>
              <w:spacing w:after="0"/>
              <w:rPr>
                <w:sz w:val="18"/>
                <w:szCs w:val="18"/>
                <w:color w:val="auto"/>
              </w:rPr>
            </w:pPr>
          </w:p>
        </w:tc>
      </w:tr>
      <w:tr>
        <w:trPr>
          <w:trHeight w:val="232"/>
        </w:trPr>
        <w:tc>
          <w:tcPr>
            <w:tcW w:w="29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49,723</w:t>
            </w:r>
          </w:p>
        </w:tc>
        <w:tc>
          <w:tcPr>
            <w:tcW w:w="2940" w:type="dxa"/>
            <w:vAlign w:val="bottom"/>
            <w:tcBorders>
              <w:bottom w:val="single" w:sz="8" w:color="CCEEFF"/>
            </w:tcBorders>
            <w:shd w:val="clear" w:color="auto" w:fill="CCEEFF"/>
          </w:tcPr>
          <w:p>
            <w:pPr>
              <w:spacing w:after="0"/>
              <w:rPr>
                <w:sz w:val="19"/>
                <w:szCs w:val="19"/>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The following table presents the amortized cost basis in loans by aging category and accrual status as of December 31, 2022 and 2021 </w:t>
      </w:r>
      <w:r>
        <w:rPr>
          <w:rFonts w:ascii="Times New Roman" w:cs="Times New Roman" w:eastAsia="Times New Roman" w:hAnsi="Times New Roman"/>
          <w:sz w:val="17"/>
          <w:szCs w:val="17"/>
          <w:i w:val="1"/>
          <w:iCs w:val="1"/>
          <w:color w:val="auto"/>
        </w:rPr>
        <w:t>(in thousands).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8"/>
              </w:rPr>
              <w:t>Nonaccrual</w:t>
            </w:r>
          </w:p>
        </w:tc>
        <w:tc>
          <w:tcPr>
            <w:tcW w:w="120" w:type="dxa"/>
            <w:vAlign w:val="bottom"/>
          </w:tcPr>
          <w:p>
            <w:pPr>
              <w:spacing w:after="0"/>
              <w:rPr>
                <w:sz w:val="12"/>
                <w:szCs w:val="12"/>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As of December 31, 2022</w:t>
            </w:r>
          </w:p>
        </w:tc>
        <w:tc>
          <w:tcPr>
            <w:tcW w:w="16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2,731,574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2,734,666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3,257,232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3,261,626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2,234,284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2,252,322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1,597,268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1,597,848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1,362,622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1,374,251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11,182,980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11,220,713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2,342,196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2,355,061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844,888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442,553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316,741</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148,943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149,290</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15,263,066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44,232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15,334,627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16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2,318,944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2,321,685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2,593,124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2,600,858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1,903,730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1,910,162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1,079,180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1,083,021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8,909,189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8,930,556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1,622,754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1,637,885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691,814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694,034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359,815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138,056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11,720,062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32,812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320" w:top="119" w:right="6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nonaccrual loans by loan class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21"/>
              <w:spacing w:after="0" w:line="154"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3"/>
                <w:szCs w:val="13"/>
                <w:color w:val="auto"/>
              </w:rPr>
            </w:pPr>
          </w:p>
        </w:tc>
        <w:tc>
          <w:tcPr>
            <w:tcW w:w="980" w:type="dxa"/>
            <w:vAlign w:val="bottom"/>
          </w:tcPr>
          <w:p>
            <w:pPr>
              <w:jc w:val="right"/>
              <w:ind w:right="221"/>
              <w:spacing w:after="0" w:line="154"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2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7,588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5,429</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5,353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17,815</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13,313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5"/>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23,184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32,812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44"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3"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 reliable secondary source of full repayment.</w:t>
      </w:r>
    </w:p>
    <w:p>
      <w:pPr>
        <w:spacing w:after="0" w:line="160"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w:t>
      </w:r>
    </w:p>
    <w:p>
      <w:pPr>
        <w:spacing w:after="0" w:line="16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Equipment Financing Receivables and Consumer Purpose Loans</w:t>
      </w:r>
      <w:r>
        <w:rPr>
          <w:rFonts w:ascii="Times New Roman" w:cs="Times New Roman" w:eastAsia="Times New Roman" w:hAnsi="Times New Roman"/>
          <w:sz w:val="18"/>
          <w:szCs w:val="18"/>
          <w:color w:val="auto"/>
        </w:rPr>
        <w:t>. United applies a pass / fail grading system to all equipment financing 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consumer purpose loans. Under this system, loans that are on nonaccrual status, become past due 90 days or are in bankruptcy are classified as “fail” and all other loans are classified as “pass”. For reporting purposes, loans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3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tables present the risk category of term loans by vintage year, which is the year of origination or most recent renewal, as of the date indicated </w:t>
      </w:r>
      <w:r>
        <w:rPr>
          <w:rFonts w:ascii="Times New Roman" w:cs="Times New Roman" w:eastAsia="Times New Roman" w:hAnsi="Times New Roman"/>
          <w:sz w:val="18"/>
          <w:szCs w:val="18"/>
          <w:i w:val="1"/>
          <w:iCs w:val="1"/>
          <w:color w:val="auto"/>
        </w:rPr>
        <w:t>(in thousands).</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8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restart"/>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Pr>
          <w:p>
            <w:pPr>
              <w:spacing w:after="0"/>
              <w:rPr>
                <w:sz w:val="4"/>
                <w:szCs w:val="4"/>
                <w:color w:val="auto"/>
              </w:rPr>
            </w:pP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4"/>
                <w:szCs w:val="4"/>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669,451</w:t>
            </w:r>
          </w:p>
        </w:tc>
        <w:tc>
          <w:tcPr>
            <w:tcW w:w="100" w:type="dxa"/>
            <w:vAlign w:val="bottom"/>
          </w:tcPr>
          <w:p>
            <w:pPr>
              <w:spacing w:after="0"/>
              <w:rPr>
                <w:sz w:val="11"/>
                <w:szCs w:val="11"/>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671,395</w:t>
            </w:r>
          </w:p>
        </w:tc>
        <w:tc>
          <w:tcPr>
            <w:tcW w:w="100" w:type="dxa"/>
            <w:vAlign w:val="bottom"/>
          </w:tcPr>
          <w:p>
            <w:pPr>
              <w:spacing w:after="0"/>
              <w:rPr>
                <w:sz w:val="11"/>
                <w:szCs w:val="11"/>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611,900</w:t>
            </w:r>
          </w:p>
        </w:tc>
        <w:tc>
          <w:tcPr>
            <w:tcW w:w="10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204,990</w:t>
            </w:r>
          </w:p>
        </w:tc>
        <w:tc>
          <w:tcPr>
            <w:tcW w:w="12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127,738</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253,890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114,975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2,660,118</w:t>
            </w:r>
          </w:p>
        </w:tc>
        <w:tc>
          <w:tcPr>
            <w:tcW w:w="0" w:type="dxa"/>
            <w:vAlign w:val="bottom"/>
          </w:tcPr>
          <w:p>
            <w:pPr>
              <w:spacing w:after="0"/>
              <w:rPr>
                <w:sz w:val="1"/>
                <w:szCs w:val="1"/>
                <w:color w:val="auto"/>
              </w:rPr>
            </w:pPr>
          </w:p>
        </w:tc>
      </w:tr>
      <w:tr>
        <w:trPr>
          <w:trHeight w:val="189"/>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Income producing</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3,035,517</w:t>
            </w: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2,122,617</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1,563,177</w:t>
            </w:r>
          </w:p>
        </w:tc>
        <w:tc>
          <w:tcPr>
            <w:tcW w:w="0" w:type="dxa"/>
            <w:vAlign w:val="bottom"/>
          </w:tcPr>
          <w:p>
            <w:pPr>
              <w:spacing w:after="0"/>
              <w:rPr>
                <w:sz w:val="1"/>
                <w:szCs w:val="1"/>
                <w:color w:val="auto"/>
              </w:rPr>
            </w:pPr>
          </w:p>
        </w:tc>
      </w:tr>
      <w:tr>
        <w:trPr>
          <w:trHeight w:val="192"/>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1,368,194</w:t>
            </w:r>
          </w:p>
        </w:tc>
        <w:tc>
          <w:tcPr>
            <w:tcW w:w="0" w:type="dxa"/>
            <w:vAlign w:val="bottom"/>
          </w:tcPr>
          <w:p>
            <w:pPr>
              <w:spacing w:after="0"/>
              <w:rPr>
                <w:sz w:val="1"/>
                <w:szCs w:val="1"/>
                <w:color w:val="auto"/>
              </w:rPr>
            </w:pPr>
          </w:p>
        </w:tc>
      </w:tr>
      <w:tr>
        <w:trPr>
          <w:trHeight w:val="199"/>
        </w:trPr>
        <w:tc>
          <w:tcPr>
            <w:tcW w:w="1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3,464,040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2,580,175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1,950,688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760,506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10,749,623</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2,341,615</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848,101</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442,077</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309,025</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25,963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149,128</w:t>
            </w:r>
          </w:p>
        </w:tc>
        <w:tc>
          <w:tcPr>
            <w:tcW w:w="0" w:type="dxa"/>
            <w:vAlign w:val="bottom"/>
          </w:tcPr>
          <w:p>
            <w:pPr>
              <w:spacing w:after="0"/>
              <w:rPr>
                <w:sz w:val="1"/>
                <w:szCs w:val="1"/>
                <w:color w:val="auto"/>
              </w:rPr>
            </w:pPr>
          </w:p>
        </w:tc>
      </w:tr>
      <w:tr>
        <w:trPr>
          <w:trHeight w:val="199"/>
        </w:trPr>
        <w:tc>
          <w:tcPr>
            <w:tcW w:w="18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4,853,439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3,489,583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2,349,242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892,371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895,196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1,756,105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14,839,569</w:t>
            </w:r>
          </w:p>
        </w:tc>
        <w:tc>
          <w:tcPr>
            <w:tcW w:w="0" w:type="dxa"/>
            <w:vAlign w:val="bottom"/>
          </w:tcPr>
          <w:p>
            <w:pPr>
              <w:spacing w:after="0"/>
              <w:rPr>
                <w:sz w:val="1"/>
                <w:szCs w:val="1"/>
                <w:color w:val="auto"/>
              </w:rPr>
            </w:pPr>
          </w:p>
        </w:tc>
      </w:tr>
      <w:tr>
        <w:trPr>
          <w:trHeight w:val="172"/>
        </w:trPr>
        <w:tc>
          <w:tcPr>
            <w:tcW w:w="1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44,194</w:t>
            </w: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Income producing</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44,802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21,647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142,685</w:t>
            </w:r>
          </w:p>
        </w:tc>
        <w:tc>
          <w:tcPr>
            <w:tcW w:w="0" w:type="dxa"/>
            <w:vAlign w:val="bottom"/>
          </w:tcPr>
          <w:p>
            <w:pPr>
              <w:spacing w:after="0"/>
              <w:rPr>
                <w:sz w:val="1"/>
                <w:szCs w:val="1"/>
                <w:color w:val="auto"/>
              </w:rPr>
            </w:pPr>
          </w:p>
        </w:tc>
      </w:tr>
      <w:tr>
        <w:trPr>
          <w:trHeight w:val="189"/>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39,342</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20,679</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246,900</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246,900</w:t>
            </w: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89"/>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Income producing</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83,424</w:t>
            </w: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90,363</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13,992</w:t>
            </w:r>
          </w:p>
        </w:tc>
        <w:tc>
          <w:tcPr>
            <w:tcW w:w="0" w:type="dxa"/>
            <w:vAlign w:val="bottom"/>
          </w:tcPr>
          <w:p>
            <w:pPr>
              <w:spacing w:after="0"/>
              <w:rPr>
                <w:sz w:val="1"/>
                <w:szCs w:val="1"/>
                <w:color w:val="auto"/>
              </w:rPr>
            </w:pPr>
          </w:p>
        </w:tc>
      </w:tr>
      <w:tr>
        <w:trPr>
          <w:trHeight w:val="192"/>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199"/>
        </w:trPr>
        <w:tc>
          <w:tcPr>
            <w:tcW w:w="18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224,190</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13,446</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1"/>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7,716</w:t>
            </w:r>
          </w:p>
        </w:tc>
        <w:tc>
          <w:tcPr>
            <w:tcW w:w="0" w:type="dxa"/>
            <w:vAlign w:val="bottom"/>
          </w:tcPr>
          <w:p>
            <w:pPr>
              <w:spacing w:after="0"/>
              <w:rPr>
                <w:sz w:val="1"/>
                <w:szCs w:val="1"/>
                <w:color w:val="auto"/>
              </w:rPr>
            </w:pPr>
          </w:p>
        </w:tc>
      </w:tr>
      <w:tr>
        <w:trPr>
          <w:trHeight w:val="192"/>
        </w:trPr>
        <w:tc>
          <w:tcPr>
            <w:tcW w:w="1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248,158</w:t>
            </w:r>
          </w:p>
        </w:tc>
        <w:tc>
          <w:tcPr>
            <w:tcW w:w="0" w:type="dxa"/>
            <w:vAlign w:val="bottom"/>
          </w:tcPr>
          <w:p>
            <w:pPr>
              <w:spacing w:after="0"/>
              <w:rPr>
                <w:sz w:val="1"/>
                <w:szCs w:val="1"/>
                <w:color w:val="auto"/>
              </w:rPr>
            </w:pPr>
          </w:p>
        </w:tc>
      </w:tr>
      <w:tr>
        <w:trPr>
          <w:trHeight w:val="199"/>
        </w:trPr>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4,978,428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3,546,181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2,415,804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15,334,627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converted to</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643,151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674,124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278,702</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153,233</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139,584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267,460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2,241,758</w:t>
            </w:r>
          </w:p>
        </w:tc>
        <w:tc>
          <w:tcPr>
            <w:tcW w:w="0" w:type="dxa"/>
            <w:vAlign w:val="bottom"/>
          </w:tcPr>
          <w:p>
            <w:pPr>
              <w:spacing w:after="0"/>
              <w:rPr>
                <w:sz w:val="1"/>
                <w:szCs w:val="1"/>
                <w:color w:val="auto"/>
              </w:rPr>
            </w:pPr>
          </w:p>
        </w:tc>
      </w:tr>
      <w:tr>
        <w:trPr>
          <w:trHeight w:val="195"/>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668,322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678,487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333,911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221,218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165,563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219,459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2,339,947</w:t>
            </w:r>
          </w:p>
        </w:tc>
        <w:tc>
          <w:tcPr>
            <w:tcW w:w="0" w:type="dxa"/>
            <w:vAlign w:val="bottom"/>
          </w:tcPr>
          <w:p>
            <w:pPr>
              <w:spacing w:after="0"/>
              <w:rPr>
                <w:sz w:val="1"/>
                <w:szCs w:val="1"/>
                <w:color w:val="auto"/>
              </w:rPr>
            </w:pPr>
          </w:p>
        </w:tc>
      </w:tr>
      <w:tr>
        <w:trPr>
          <w:trHeight w:val="189"/>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1,866,524</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922,704</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167,904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1,080,737</w:t>
            </w:r>
          </w:p>
        </w:tc>
        <w:tc>
          <w:tcPr>
            <w:tcW w:w="0" w:type="dxa"/>
            <w:vAlign w:val="bottom"/>
          </w:tcPr>
          <w:p>
            <w:pPr>
              <w:spacing w:after="0"/>
              <w:rPr>
                <w:sz w:val="1"/>
                <w:szCs w:val="1"/>
                <w:color w:val="auto"/>
              </w:rPr>
            </w:pPr>
          </w:p>
        </w:tc>
      </w:tr>
      <w:tr>
        <w:trPr>
          <w:trHeight w:val="185"/>
        </w:trPr>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2,892,353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2,197,828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1,109,201</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614,611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391,842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573,932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636,889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8,451,670</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1,620,143</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691,539</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359,021</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57,530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137,859</w:t>
            </w:r>
          </w:p>
        </w:tc>
        <w:tc>
          <w:tcPr>
            <w:tcW w:w="0" w:type="dxa"/>
            <w:vAlign w:val="bottom"/>
          </w:tcPr>
          <w:p>
            <w:pPr>
              <w:spacing w:after="0"/>
              <w:rPr>
                <w:sz w:val="1"/>
                <w:szCs w:val="1"/>
                <w:color w:val="auto"/>
              </w:rPr>
            </w:pPr>
          </w:p>
        </w:tc>
      </w:tr>
      <w:tr>
        <w:trPr>
          <w:trHeight w:val="199"/>
        </w:trPr>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4,056,001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2,613,439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1,230,851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686,372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467,977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1,345,755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11,260,232</w:t>
            </w:r>
          </w:p>
        </w:tc>
        <w:tc>
          <w:tcPr>
            <w:tcW w:w="0" w:type="dxa"/>
            <w:vAlign w:val="bottom"/>
          </w:tcPr>
          <w:p>
            <w:pPr>
              <w:spacing w:after="0"/>
              <w:rPr>
                <w:sz w:val="1"/>
                <w:szCs w:val="1"/>
                <w:color w:val="auto"/>
              </w:rPr>
            </w:pPr>
          </w:p>
        </w:tc>
      </w:tr>
      <w:tr>
        <w:trPr>
          <w:trHeight w:val="158"/>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Special Mention</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40,946</w:t>
            </w:r>
          </w:p>
        </w:tc>
        <w:tc>
          <w:tcPr>
            <w:tcW w:w="0" w:type="dxa"/>
            <w:vAlign w:val="bottom"/>
          </w:tcPr>
          <w:p>
            <w:pPr>
              <w:spacing w:after="0"/>
              <w:rPr>
                <w:sz w:val="1"/>
                <w:szCs w:val="1"/>
                <w:color w:val="auto"/>
              </w:rPr>
            </w:pPr>
          </w:p>
        </w:tc>
      </w:tr>
      <w:tr>
        <w:trPr>
          <w:trHeight w:val="195"/>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21,875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176,476</w:t>
            </w:r>
          </w:p>
        </w:tc>
        <w:tc>
          <w:tcPr>
            <w:tcW w:w="0" w:type="dxa"/>
            <w:vAlign w:val="bottom"/>
          </w:tcPr>
          <w:p>
            <w:pPr>
              <w:spacing w:after="0"/>
              <w:rPr>
                <w:sz w:val="1"/>
                <w:szCs w:val="1"/>
                <w:color w:val="auto"/>
              </w:rPr>
            </w:pPr>
          </w:p>
        </w:tc>
      </w:tr>
      <w:tr>
        <w:trPr>
          <w:trHeight w:val="189"/>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58"/>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Substandard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Owner occupied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38,981</w:t>
            </w:r>
          </w:p>
        </w:tc>
        <w:tc>
          <w:tcPr>
            <w:tcW w:w="0" w:type="dxa"/>
            <w:vAlign w:val="bottom"/>
          </w:tcPr>
          <w:p>
            <w:pPr>
              <w:spacing w:after="0"/>
              <w:rPr>
                <w:sz w:val="1"/>
                <w:szCs w:val="1"/>
                <w:color w:val="auto"/>
              </w:rPr>
            </w:pPr>
          </w:p>
        </w:tc>
      </w:tr>
      <w:tr>
        <w:trPr>
          <w:trHeight w:val="195"/>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84,435</w:t>
            </w:r>
          </w:p>
        </w:tc>
        <w:tc>
          <w:tcPr>
            <w:tcW w:w="0" w:type="dxa"/>
            <w:vAlign w:val="bottom"/>
          </w:tcPr>
          <w:p>
            <w:pPr>
              <w:spacing w:after="0"/>
              <w:rPr>
                <w:sz w:val="1"/>
                <w:szCs w:val="1"/>
                <w:color w:val="auto"/>
              </w:rPr>
            </w:pPr>
          </w:p>
        </w:tc>
      </w:tr>
      <w:tr>
        <w:trPr>
          <w:trHeight w:val="189"/>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185"/>
        </w:trPr>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14,227</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46,123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174,475</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17,742</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206"/>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195,703</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4,181,120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2,679,991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1,302,346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529,286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1,352,903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11,760,346</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119" w:right="7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Troubled Debt Restructurings and Other Modifications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As of December 31, 2022 and 2021, United had TDRs totaling $41.2 million and $52.4 million, respectively. Loans modified under the terms of a TDR during the years ended December 31 are presented in the table below. In addition, the following table presents loans modified under the terms of a TDR that defaulted (became 90 days or more delinquent) during the years ended December 31 that were initially restructured within one year prior to default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New TDRs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11"/>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Post-Modification Outstanding Recorded Investment</w:t>
            </w:r>
          </w:p>
        </w:tc>
        <w:tc>
          <w:tcPr>
            <w:tcW w:w="220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TDRs Modified Within the Year</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by Type of Modification</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That Have Subsequently Defaulted</w:t>
            </w:r>
          </w:p>
        </w:tc>
        <w:tc>
          <w:tcPr>
            <w:tcW w:w="0" w:type="dxa"/>
            <w:vAlign w:val="bottom"/>
          </w:tcPr>
          <w:p>
            <w:pPr>
              <w:spacing w:after="0"/>
              <w:rPr>
                <w:sz w:val="1"/>
                <w:szCs w:val="1"/>
                <w:color w:val="auto"/>
              </w:rPr>
            </w:pPr>
          </w:p>
        </w:tc>
      </w:tr>
      <w:tr>
        <w:trPr>
          <w:trHeight w:val="15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14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96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20" w:type="dxa"/>
            <w:vAlign w:val="bottom"/>
          </w:tcPr>
          <w:p>
            <w:pPr>
              <w:jc w:val="right"/>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92"/>
        </w:trPr>
        <w:tc>
          <w:tcPr>
            <w:tcW w:w="2980" w:type="dxa"/>
            <w:vAlign w:val="bottom"/>
            <w:gridSpan w:val="2"/>
            <w:vMerge w:val="continue"/>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98"/>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5"/>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18,795</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21,025</w:t>
            </w:r>
          </w:p>
        </w:tc>
        <w:tc>
          <w:tcPr>
            <w:tcW w:w="1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5,998</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21,248</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7,761</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25,932</w:t>
            </w:r>
          </w:p>
        </w:tc>
        <w:tc>
          <w:tcPr>
            <w:tcW w:w="1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7,969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Initial ACL- PCD</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6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3"/>
                <w:szCs w:val="13"/>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9"/>
        </w:trPr>
        <w:tc>
          <w:tcPr>
            <w:tcW w:w="3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7"/>
                <w:szCs w:val="17"/>
                <w:color w:val="auto"/>
              </w:rPr>
            </w:pPr>
          </w:p>
        </w:tc>
        <w:tc>
          <w:tcPr>
            <w:tcW w:w="1020" w:type="dxa"/>
            <w:vAlign w:val="bottom"/>
            <w:gridSpan w:val="2"/>
          </w:tcPr>
          <w:p>
            <w:pPr>
              <w:ind w:left="120"/>
              <w:spacing w:after="0" w:line="199" w:lineRule="exact"/>
              <w:rPr>
                <w:sz w:val="20"/>
                <w:szCs w:val="20"/>
                <w:color w:val="auto"/>
              </w:rPr>
            </w:pP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19,834</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32,082</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23,504</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20,120</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23,395</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20,809</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8,707</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99"/>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102,532</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159,357</w:t>
            </w:r>
          </w:p>
        </w:tc>
        <w:tc>
          <w:tcPr>
            <w:tcW w:w="0" w:type="dxa"/>
            <w:vAlign w:val="bottom"/>
          </w:tcPr>
          <w:p>
            <w:pPr>
              <w:spacing w:after="0"/>
              <w:rPr>
                <w:sz w:val="1"/>
                <w:szCs w:val="1"/>
                <w:color w:val="auto"/>
              </w:rPr>
            </w:pPr>
          </w:p>
        </w:tc>
      </w:tr>
      <w:tr>
        <w:trPr>
          <w:trHeight w:val="192"/>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21,163</w:t>
            </w:r>
          </w:p>
        </w:tc>
        <w:tc>
          <w:tcPr>
            <w:tcW w:w="0" w:type="dxa"/>
            <w:vAlign w:val="bottom"/>
          </w:tcPr>
          <w:p>
            <w:pPr>
              <w:spacing w:after="0"/>
              <w:rPr>
                <w:sz w:val="1"/>
                <w:szCs w:val="1"/>
                <w:color w:val="auto"/>
              </w:rPr>
            </w:pPr>
          </w:p>
        </w:tc>
      </w:tr>
      <w:tr>
        <w:trPr>
          <w:trHeight w:val="224"/>
        </w:trPr>
        <w:tc>
          <w:tcPr>
            <w:tcW w:w="31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180,520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60" w:hanging="136"/>
        <w:spacing w:after="0"/>
        <w:tabs>
          <w:tab w:leader="none" w:pos="46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initial ACL related to PCD loans acquired in the Reliant transaction.</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Initial ACL- PCD</w:t>
            </w: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8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8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3"/>
                <w:szCs w:val="13"/>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8"/>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12,390</w:t>
            </w: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0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5"/>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137,010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102,532</w:t>
            </w:r>
          </w:p>
        </w:tc>
        <w:tc>
          <w:tcPr>
            <w:tcW w:w="0" w:type="dxa"/>
            <w:vAlign w:val="bottom"/>
          </w:tcPr>
          <w:p>
            <w:pPr>
              <w:spacing w:after="0"/>
              <w:rPr>
                <w:sz w:val="1"/>
                <w:szCs w:val="1"/>
                <w:color w:val="auto"/>
              </w:rPr>
            </w:pPr>
          </w:p>
        </w:tc>
      </w:tr>
      <w:tr>
        <w:trPr>
          <w:trHeight w:val="199"/>
        </w:trPr>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0" w:type="dxa"/>
            <w:vAlign w:val="bottom"/>
          </w:tcPr>
          <w:p>
            <w:pPr>
              <w:spacing w:after="0"/>
              <w:rPr>
                <w:sz w:val="1"/>
                <w:szCs w:val="1"/>
                <w:color w:val="auto"/>
              </w:rPr>
            </w:pPr>
          </w:p>
        </w:tc>
      </w:tr>
      <w:tr>
        <w:trPr>
          <w:trHeight w:val="199"/>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147,568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113,524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460" w:hanging="136"/>
        <w:spacing w:after="0"/>
        <w:tabs>
          <w:tab w:leader="none" w:pos="4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initial ACL related to PCD loans acquired in the Aquesta transaction.</w:t>
      </w:r>
    </w:p>
    <w:p>
      <w:pPr>
        <w:spacing w:after="0" w:line="1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Adoption of</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 1, 2020</w:t>
            </w: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Initial ACL-</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40" w:type="dxa"/>
            <w:vAlign w:val="bottom"/>
          </w:tcPr>
          <w:p>
            <w:pPr>
              <w:spacing w:after="0"/>
              <w:rPr>
                <w:sz w:val="13"/>
                <w:szCs w:val="13"/>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2"/>
        </w:trPr>
        <w:tc>
          <w:tcPr>
            <w:tcW w:w="2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CECL</w:t>
            </w:r>
          </w:p>
        </w:tc>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PCD loans</w:t>
            </w:r>
            <w:r>
              <w:rPr>
                <w:rFonts w:ascii="Times New Roman" w:cs="Times New Roman" w:eastAsia="Times New Roman" w:hAnsi="Times New Roman"/>
                <w:sz w:val="9"/>
                <w:szCs w:val="9"/>
                <w:b w:val="1"/>
                <w:bCs w:val="1"/>
                <w:color w:val="auto"/>
              </w:rPr>
              <w:t>(1)</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32"/>
        </w:trPr>
        <w:tc>
          <w:tcPr>
            <w:tcW w:w="26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Owner occupied commercial</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20,673</w:t>
            </w:r>
          </w:p>
        </w:tc>
        <w:tc>
          <w:tcPr>
            <w:tcW w:w="0" w:type="dxa"/>
            <w:vAlign w:val="bottom"/>
          </w:tcPr>
          <w:p>
            <w:pPr>
              <w:spacing w:after="0"/>
              <w:rPr>
                <w:sz w:val="1"/>
                <w:szCs w:val="1"/>
                <w:color w:val="auto"/>
              </w:rPr>
            </w:pPr>
          </w:p>
        </w:tc>
      </w:tr>
      <w:tr>
        <w:trPr>
          <w:trHeight w:val="199"/>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7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33,137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41,737</w:t>
            </w:r>
          </w:p>
        </w:tc>
        <w:tc>
          <w:tcPr>
            <w:tcW w:w="0" w:type="dxa"/>
            <w:vAlign w:val="bottom"/>
          </w:tcPr>
          <w:p>
            <w:pPr>
              <w:spacing w:after="0"/>
              <w:rPr>
                <w:sz w:val="1"/>
                <w:szCs w:val="1"/>
                <w:color w:val="auto"/>
              </w:rPr>
            </w:pPr>
          </w:p>
        </w:tc>
      </w:tr>
      <w:tr>
        <w:trPr>
          <w:trHeight w:val="191"/>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22,019</w:t>
            </w:r>
          </w:p>
        </w:tc>
        <w:tc>
          <w:tcPr>
            <w:tcW w:w="0" w:type="dxa"/>
            <w:vAlign w:val="bottom"/>
          </w:tcPr>
          <w:p>
            <w:pPr>
              <w:spacing w:after="0"/>
              <w:rPr>
                <w:sz w:val="1"/>
                <w:szCs w:val="1"/>
                <w:color w:val="auto"/>
              </w:rPr>
            </w:pPr>
          </w:p>
        </w:tc>
      </w:tr>
      <w:tr>
        <w:trPr>
          <w:trHeight w:val="19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10,952</w:t>
            </w: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16,820</w:t>
            </w:r>
          </w:p>
        </w:tc>
        <w:tc>
          <w:tcPr>
            <w:tcW w:w="0" w:type="dxa"/>
            <w:vAlign w:val="bottom"/>
          </w:tcPr>
          <w:p>
            <w:pPr>
              <w:spacing w:after="0"/>
              <w:rPr>
                <w:sz w:val="1"/>
                <w:szCs w:val="1"/>
                <w:color w:val="auto"/>
              </w:rPr>
            </w:pPr>
          </w:p>
        </w:tc>
      </w:tr>
      <w:tr>
        <w:trPr>
          <w:trHeight w:val="19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15,341</w:t>
            </w: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8,417</w:t>
            </w:r>
          </w:p>
        </w:tc>
        <w:tc>
          <w:tcPr>
            <w:tcW w:w="0" w:type="dxa"/>
            <w:vAlign w:val="bottom"/>
          </w:tcPr>
          <w:p>
            <w:pPr>
              <w:spacing w:after="0"/>
              <w:rPr>
                <w:sz w:val="1"/>
                <w:szCs w:val="1"/>
                <w:color w:val="auto"/>
              </w:rPr>
            </w:pPr>
          </w:p>
        </w:tc>
      </w:tr>
      <w:tr>
        <w:trPr>
          <w:trHeight w:val="19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5"/>
        </w:trPr>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ACL - loans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137,010</w:t>
            </w:r>
          </w:p>
        </w:tc>
        <w:tc>
          <w:tcPr>
            <w:tcW w:w="0" w:type="dxa"/>
            <w:vAlign w:val="bottom"/>
          </w:tcPr>
          <w:p>
            <w:pPr>
              <w:spacing w:after="0"/>
              <w:rPr>
                <w:sz w:val="1"/>
                <w:szCs w:val="1"/>
                <w:color w:val="auto"/>
              </w:rPr>
            </w:pPr>
          </w:p>
        </w:tc>
      </w:tr>
      <w:tr>
        <w:trPr>
          <w:trHeight w:val="199"/>
        </w:trPr>
        <w:tc>
          <w:tcPr>
            <w:tcW w:w="2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ACL - unfunded commitments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10,558</w:t>
            </w:r>
          </w:p>
        </w:tc>
        <w:tc>
          <w:tcPr>
            <w:tcW w:w="0" w:type="dxa"/>
            <w:vAlign w:val="bottom"/>
          </w:tcPr>
          <w:p>
            <w:pPr>
              <w:spacing w:after="0"/>
              <w:rPr>
                <w:sz w:val="1"/>
                <w:szCs w:val="1"/>
                <w:color w:val="auto"/>
              </w:rPr>
            </w:pPr>
          </w:p>
        </w:tc>
      </w:tr>
      <w:tr>
        <w:trPr>
          <w:trHeight w:val="199"/>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ACL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80,434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147,568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460" w:hanging="136"/>
        <w:spacing w:after="0"/>
        <w:tabs>
          <w:tab w:leader="none" w:pos="46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initial ACL related to PCD loans acquired in the Three Shores transaction.</w:t>
      </w:r>
    </w:p>
    <w:p>
      <w:pPr>
        <w:spacing w:after="0" w:line="241" w:lineRule="exact"/>
        <w:rPr>
          <w:sz w:val="20"/>
          <w:szCs w:val="20"/>
          <w:color w:val="auto"/>
        </w:rPr>
      </w:pPr>
    </w:p>
    <w:p>
      <w:pPr>
        <w:jc w:val="both"/>
        <w:ind w:left="320"/>
        <w:spacing w:after="0" w:line="227" w:lineRule="auto"/>
        <w:rPr>
          <w:sz w:val="20"/>
          <w:szCs w:val="20"/>
          <w:color w:val="auto"/>
        </w:rPr>
      </w:pPr>
      <w:r>
        <w:rPr>
          <w:rFonts w:ascii="Times New Roman" w:cs="Times New Roman" w:eastAsia="Times New Roman" w:hAnsi="Times New Roman"/>
          <w:sz w:val="18"/>
          <w:szCs w:val="18"/>
          <w:color w:val="auto"/>
        </w:rPr>
        <w:t>At December 31, 2022, 2021 and 2020, United used a one-year reasonable and supportable forecast period. Expected credit losses were estimated using a regression model for each segment based on historical data from peer banks combined with a third party vendor’s economic forecast to predict the change in credit losses. These estimates were then combined with a starting value that was based on United’s recent default experience to produce an expected default rate, with the results subject to a floor. In the case of residential construction, at December 31, 2022, the expected default rate was adjusted by a model overlay based on expectations of future performance. At December 31, 2022, the third party vendor’s forecast, which was representative of a baseline scenario, worsened compared to December 31, 2021, including the unemployment rate which has a significant impact on our models and contributed to increased provision expense in 2022. At December 31, 2022, United applied qualitative factors to</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Loans and Leases and Allowance for Credit Losses, continued</w:t>
      </w:r>
    </w:p>
    <w:p>
      <w:pPr>
        <w:spacing w:after="0" w:line="365" w:lineRule="exact"/>
        <w:rPr>
          <w:sz w:val="20"/>
          <w:szCs w:val="20"/>
          <w:color w:val="auto"/>
        </w:rPr>
      </w:pPr>
    </w:p>
    <w:p>
      <w:pPr>
        <w:jc w:val="both"/>
        <w:ind w:left="320"/>
        <w:spacing w:after="0" w:line="243" w:lineRule="auto"/>
        <w:rPr>
          <w:sz w:val="20"/>
          <w:szCs w:val="20"/>
          <w:color w:val="auto"/>
        </w:rPr>
      </w:pPr>
      <w:r>
        <w:rPr>
          <w:rFonts w:ascii="Times New Roman" w:cs="Times New Roman" w:eastAsia="Times New Roman" w:hAnsi="Times New Roman"/>
          <w:sz w:val="18"/>
          <w:szCs w:val="18"/>
          <w:color w:val="auto"/>
        </w:rPr>
        <w:t>the model output for commercial construction, HELOC, residential mortgage and equipment finance portfolios to reflect management’s approximation of long-term losses.</w:t>
      </w:r>
    </w:p>
    <w:p>
      <w:pPr>
        <w:spacing w:after="0" w:line="204" w:lineRule="exact"/>
        <w:rPr>
          <w:sz w:val="20"/>
          <w:szCs w:val="20"/>
          <w:color w:val="auto"/>
        </w:rPr>
      </w:pPr>
    </w:p>
    <w:p>
      <w:pPr>
        <w:jc w:val="both"/>
        <w:ind w:left="320"/>
        <w:spacing w:after="0" w:line="228"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mortgage crisis.</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Premises and Equipment</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Premises and equipment are summarized as follows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7"/>
        </w:trPr>
        <w:tc>
          <w:tcPr>
            <w:tcW w:w="5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60" w:type="dxa"/>
            <w:vAlign w:val="bottom"/>
            <w:tcBorders>
              <w:bottom w:val="single" w:sz="8" w:color="CCEEFF"/>
            </w:tcBorders>
          </w:tcPr>
          <w:p>
            <w:pPr>
              <w:spacing w:after="0"/>
              <w:rPr>
                <w:sz w:val="17"/>
                <w:szCs w:val="17"/>
                <w:color w:val="auto"/>
              </w:rPr>
            </w:pPr>
          </w:p>
        </w:tc>
      </w:tr>
      <w:tr>
        <w:trPr>
          <w:trHeight w:val="206"/>
        </w:trPr>
        <w:tc>
          <w:tcPr>
            <w:tcW w:w="5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95,029</w:t>
            </w:r>
          </w:p>
        </w:tc>
        <w:tc>
          <w:tcPr>
            <w:tcW w:w="1560" w:type="dxa"/>
            <w:vAlign w:val="bottom"/>
            <w:shd w:val="clear" w:color="auto" w:fill="CCEEFF"/>
          </w:tcPr>
          <w:p>
            <w:pPr>
              <w:spacing w:after="0"/>
              <w:rPr>
                <w:sz w:val="17"/>
                <w:szCs w:val="17"/>
                <w:color w:val="auto"/>
              </w:rPr>
            </w:pPr>
          </w:p>
        </w:tc>
      </w:tr>
      <w:tr>
        <w:trPr>
          <w:trHeight w:val="210"/>
        </w:trPr>
        <w:tc>
          <w:tcPr>
            <w:tcW w:w="574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189,339</w:t>
            </w:r>
          </w:p>
        </w:tc>
        <w:tc>
          <w:tcPr>
            <w:tcW w:w="1560" w:type="dxa"/>
            <w:vAlign w:val="bottom"/>
          </w:tcPr>
          <w:p>
            <w:pPr>
              <w:spacing w:after="0"/>
              <w:rPr>
                <w:sz w:val="18"/>
                <w:szCs w:val="18"/>
                <w:color w:val="auto"/>
              </w:rPr>
            </w:pPr>
          </w:p>
        </w:tc>
      </w:tr>
      <w:tr>
        <w:trPr>
          <w:trHeight w:val="214"/>
        </w:trPr>
        <w:tc>
          <w:tcPr>
            <w:tcW w:w="57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Furniture and equipment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100,205</w:t>
            </w:r>
          </w:p>
        </w:tc>
        <w:tc>
          <w:tcPr>
            <w:tcW w:w="1560" w:type="dxa"/>
            <w:vAlign w:val="bottom"/>
            <w:shd w:val="clear" w:color="auto" w:fill="CCEEFF"/>
          </w:tcPr>
          <w:p>
            <w:pPr>
              <w:spacing w:after="0"/>
              <w:rPr>
                <w:sz w:val="18"/>
                <w:szCs w:val="18"/>
                <w:color w:val="auto"/>
              </w:rPr>
            </w:pPr>
          </w:p>
        </w:tc>
      </w:tr>
      <w:tr>
        <w:trPr>
          <w:trHeight w:val="210"/>
        </w:trPr>
        <w:tc>
          <w:tcPr>
            <w:tcW w:w="57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1560" w:type="dxa"/>
            <w:vAlign w:val="bottom"/>
            <w:tcBorders>
              <w:bottom w:val="single" w:sz="8" w:color="CCEEFF"/>
            </w:tcBorders>
          </w:tcPr>
          <w:p>
            <w:pPr>
              <w:spacing w:after="0"/>
              <w:rPr>
                <w:sz w:val="18"/>
                <w:szCs w:val="18"/>
                <w:color w:val="auto"/>
              </w:rPr>
            </w:pPr>
          </w:p>
        </w:tc>
      </w:tr>
      <w:tr>
        <w:trPr>
          <w:trHeight w:val="207"/>
        </w:trPr>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394,661</w:t>
            </w:r>
          </w:p>
        </w:tc>
        <w:tc>
          <w:tcPr>
            <w:tcW w:w="1560" w:type="dxa"/>
            <w:vAlign w:val="bottom"/>
            <w:shd w:val="clear" w:color="auto" w:fill="CCEEFF"/>
          </w:tcPr>
          <w:p>
            <w:pPr>
              <w:spacing w:after="0"/>
              <w:rPr>
                <w:sz w:val="18"/>
                <w:szCs w:val="18"/>
                <w:color w:val="auto"/>
              </w:rPr>
            </w:pPr>
          </w:p>
        </w:tc>
      </w:tr>
      <w:tr>
        <w:trPr>
          <w:trHeight w:val="210"/>
        </w:trPr>
        <w:tc>
          <w:tcPr>
            <w:tcW w:w="57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(162,987)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(149,365)</w:t>
            </w:r>
          </w:p>
        </w:tc>
        <w:tc>
          <w:tcPr>
            <w:tcW w:w="1560" w:type="dxa"/>
            <w:vAlign w:val="bottom"/>
            <w:tcBorders>
              <w:bottom w:val="single" w:sz="8" w:color="CCEEFF"/>
            </w:tcBorders>
          </w:tcPr>
          <w:p>
            <w:pPr>
              <w:spacing w:after="0"/>
              <w:rPr>
                <w:sz w:val="18"/>
                <w:szCs w:val="18"/>
                <w:color w:val="auto"/>
              </w:rPr>
            </w:pPr>
          </w:p>
        </w:tc>
      </w:tr>
      <w:tr>
        <w:trPr>
          <w:trHeight w:val="232"/>
        </w:trPr>
        <w:tc>
          <w:tcPr>
            <w:tcW w:w="57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1560" w:type="dxa"/>
            <w:vAlign w:val="bottom"/>
            <w:tcBorders>
              <w:bottom w:val="single" w:sz="8" w:color="CCEEFF"/>
            </w:tcBorders>
            <w:shd w:val="clear" w:color="auto" w:fill="CCEEFF"/>
          </w:tcPr>
          <w:p>
            <w:pPr>
              <w:spacing w:after="0"/>
              <w:rPr>
                <w:sz w:val="19"/>
                <w:szCs w:val="19"/>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$17.0 million, $15.7 million and $15.6 million for 2022, 2021 and 2020, respectively.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w:t>
      </w:r>
    </w:p>
    <w:p>
      <w:pPr>
        <w:spacing w:after="0" w:line="24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as of the dates indicated as well as their classification on the consolidated balance sheets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32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80" w:type="dxa"/>
            <w:vAlign w:val="bottom"/>
            <w:tcBorders>
              <w:bottom w:val="single" w:sz="8" w:color="auto"/>
            </w:tcBorders>
          </w:tcPr>
          <w:p>
            <w:pPr>
              <w:spacing w:after="0"/>
              <w:rPr>
                <w:sz w:val="18"/>
                <w:szCs w:val="18"/>
                <w:color w:val="auto"/>
              </w:rPr>
            </w:pPr>
          </w:p>
        </w:tc>
      </w:tr>
      <w:tr>
        <w:trPr>
          <w:trHeight w:val="232"/>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1"/>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120" w:type="dxa"/>
            <w:vAlign w:val="bottom"/>
          </w:tcPr>
          <w:p>
            <w:pPr>
              <w:spacing w:after="0"/>
              <w:rPr>
                <w:sz w:val="15"/>
                <w:szCs w:val="15"/>
                <w:color w:val="auto"/>
              </w:rPr>
            </w:pPr>
          </w:p>
        </w:tc>
        <w:tc>
          <w:tcPr>
            <w:tcW w:w="880" w:type="dxa"/>
            <w:vAlign w:val="bottom"/>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140" w:type="dxa"/>
            <w:vAlign w:val="bottom"/>
          </w:tcPr>
          <w:p>
            <w:pPr>
              <w:spacing w:after="0"/>
              <w:rPr>
                <w:sz w:val="15"/>
                <w:szCs w:val="15"/>
                <w:color w:val="auto"/>
              </w:rPr>
            </w:pPr>
          </w:p>
        </w:tc>
        <w:tc>
          <w:tcPr>
            <w:tcW w:w="88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w w:val="98"/>
              </w:rPr>
              <w:t>Derivative</w:t>
            </w:r>
          </w:p>
        </w:tc>
      </w:tr>
      <w:tr>
        <w:trPr>
          <w:trHeight w:val="211"/>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hedge of brokered CDs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16,191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Risk participations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05"/>
        </w:trPr>
        <w:tc>
          <w:tcPr>
            <w:tcW w:w="38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2,457,047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2,922,601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2,577,047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3,052,601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r>
      <w:tr>
        <w:trPr>
          <w:trHeight w:val="205"/>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w:t>
            </w: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4" w:lineRule="exact"/>
        <w:rPr>
          <w:sz w:val="20"/>
          <w:szCs w:val="20"/>
          <w:color w:val="auto"/>
        </w:rPr>
      </w:pPr>
    </w:p>
    <w:p>
      <w:pPr>
        <w:jc w:val="both"/>
        <w:ind w:left="320"/>
        <w:spacing w:after="0" w:line="236" w:lineRule="auto"/>
        <w:rPr>
          <w:sz w:val="20"/>
          <w:szCs w:val="20"/>
          <w:color w:val="auto"/>
        </w:rPr>
      </w:pPr>
      <w:r>
        <w:rPr>
          <w:rFonts w:ascii="Times New Roman" w:cs="Times New Roman" w:eastAsia="Times New Roman" w:hAnsi="Times New Roman"/>
          <w:sz w:val="18"/>
          <w:szCs w:val="18"/>
          <w:color w:val="auto"/>
        </w:rPr>
        <w:t>United enters into cash flow hedges to mitigate exposure to the variability of future cash flows or other forecasted transactions. At December 31, 2022 and 2021,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financial statement line as the hedged item over the term of the hedge. Over the next twelve months, United expects to reclassify $4.51 million of gains from AOCI into earnings related to these agreements.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4"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4"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At December 31, 2021, United had an interest rate swap that was designated as a fair value hedge of fixed-rate brokered time deposits. During the first quarter of 2022, the hedged brokered deposit and the associated swap matured. The swap involved the receipt of fixed-rate amounts from a counterparty in exchange for United making variable rate payments over the life of the agreement. As of December 31, 2021, the carrying amount of the hedged fixed-rate brokered time deposit and the positive cumulative fair value hedging adjustment included in the carrying amount of the hedged liability were $10.0 million and $28,000,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table below presents the effect of derivatives in hedging relationships on the consolidated statements of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7"/>
        </w:trPr>
        <w:tc>
          <w:tcPr>
            <w:tcW w:w="6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 presented in the consolidated statements of income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(29,760)</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(56,237)</w:t>
            </w:r>
          </w:p>
        </w:tc>
      </w:tr>
      <w:tr>
        <w:trPr>
          <w:trHeight w:val="212"/>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hedging relationships on interest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recognized on fair value hedges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210</w:t>
            </w:r>
          </w:p>
        </w:tc>
        <w:tc>
          <w:tcPr>
            <w:tcW w:w="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w:t>
            </w:r>
          </w:p>
        </w:tc>
      </w:tr>
      <w:tr>
        <w:trPr>
          <w:trHeight w:val="214"/>
        </w:trPr>
        <w:tc>
          <w:tcPr>
            <w:tcW w:w="6800" w:type="dxa"/>
            <w:vAlign w:val="bottom"/>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 xml:space="preserve">Net expense recognized on cash flow hedges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bl>
    <w:p>
      <w:pPr>
        <w:spacing w:after="0" w:line="66" w:lineRule="exact"/>
        <w:rPr>
          <w:sz w:val="20"/>
          <w:szCs w:val="20"/>
          <w:color w:val="auto"/>
        </w:rPr>
      </w:pPr>
    </w:p>
    <w:p>
      <w:pPr>
        <w:ind w:left="320" w:firstLine="4"/>
        <w:spacing w:after="0" w:line="233" w:lineRule="auto"/>
        <w:tabs>
          <w:tab w:leader="none" w:pos="49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Includes $472,000, $472,000 and $329,000 of premium amortization expense excluded from the assessment of hedge effectiveness for the years ended December 31, 2022, </w:t>
      </w:r>
      <w:r>
        <w:rPr>
          <w:rFonts w:ascii="Times New Roman" w:cs="Times New Roman" w:eastAsia="Times New Roman" w:hAnsi="Times New Roman"/>
          <w:sz w:val="17"/>
          <w:szCs w:val="17"/>
          <w:color w:val="auto"/>
        </w:rPr>
        <w:t>2021 and 2020, respectively</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but are not designated as hedging instruments.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and therefore provide an economic hedge.</w:t>
      </w:r>
    </w:p>
    <w:p>
      <w:pPr>
        <w:spacing w:after="0" w:line="207"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related fees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 continued</w:t>
      </w:r>
    </w:p>
    <w:p>
      <w:pPr>
        <w:spacing w:after="0" w:line="376"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26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w:t>
            </w:r>
          </w:p>
        </w:tc>
      </w:tr>
      <w:tr>
        <w:trPr>
          <w:trHeight w:val="21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32"/>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gains and losses</w:t>
            </w:r>
          </w:p>
        </w:tc>
        <w:tc>
          <w:tcPr>
            <w:tcW w:w="2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manages its credit exposure on derivative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pacing w:after="0" w:line="200" w:lineRule="exact"/>
        <w:rPr>
          <w:sz w:val="20"/>
          <w:szCs w:val="20"/>
          <w:color w:val="auto"/>
        </w:rPr>
      </w:pPr>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is summarized below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69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160" w:type="dxa"/>
            <w:vAlign w:val="bottom"/>
            <w:tcBorders>
              <w:bottom w:val="single" w:sz="8" w:color="CCEEFF"/>
            </w:tcBorders>
          </w:tcPr>
          <w:p>
            <w:pPr>
              <w:spacing w:after="0"/>
              <w:rPr>
                <w:sz w:val="17"/>
                <w:szCs w:val="17"/>
                <w:color w:val="auto"/>
              </w:rPr>
            </w:pPr>
          </w:p>
        </w:tc>
      </w:tr>
      <w:tr>
        <w:trPr>
          <w:trHeight w:val="206"/>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Core deposit intangible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46,900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w:t>
            </w:r>
          </w:p>
        </w:tc>
        <w:tc>
          <w:tcPr>
            <w:tcW w:w="1160" w:type="dxa"/>
            <w:vAlign w:val="bottom"/>
            <w:shd w:val="clear" w:color="auto" w:fill="CCEEFF"/>
          </w:tcPr>
          <w:p>
            <w:pPr>
              <w:spacing w:after="0"/>
              <w:rPr>
                <w:sz w:val="17"/>
                <w:szCs w:val="17"/>
                <w:color w:val="auto"/>
              </w:rPr>
            </w:pPr>
          </w:p>
        </w:tc>
      </w:tr>
      <w:tr>
        <w:trPr>
          <w:trHeight w:val="210"/>
        </w:trPr>
        <w:tc>
          <w:tcPr>
            <w:tcW w:w="69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(25,870)</w:t>
            </w:r>
          </w:p>
        </w:tc>
        <w:tc>
          <w:tcPr>
            <w:tcW w:w="1160" w:type="dxa"/>
            <w:vAlign w:val="bottom"/>
            <w:tcBorders>
              <w:bottom w:val="single" w:sz="8" w:color="CCEEFF"/>
            </w:tcBorders>
          </w:tcPr>
          <w:p>
            <w:pPr>
              <w:spacing w:after="0"/>
              <w:rPr>
                <w:sz w:val="18"/>
                <w:szCs w:val="18"/>
                <w:color w:val="auto"/>
              </w:rPr>
            </w:pPr>
          </w:p>
        </w:tc>
      </w:tr>
      <w:tr>
        <w:trPr>
          <w:trHeight w:val="207"/>
        </w:trPr>
        <w:tc>
          <w:tcPr>
            <w:tcW w:w="6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1160" w:type="dxa"/>
            <w:vAlign w:val="bottom"/>
            <w:shd w:val="clear" w:color="auto" w:fill="CCEEFF"/>
          </w:tcPr>
          <w:p>
            <w:pPr>
              <w:spacing w:after="0"/>
              <w:rPr>
                <w:sz w:val="18"/>
                <w:szCs w:val="18"/>
                <w:color w:val="auto"/>
              </w:rPr>
            </w:pPr>
          </w:p>
        </w:tc>
      </w:tr>
      <w:tr>
        <w:trPr>
          <w:trHeight w:val="210"/>
        </w:trPr>
        <w:tc>
          <w:tcPr>
            <w:tcW w:w="69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160" w:type="dxa"/>
            <w:vAlign w:val="bottom"/>
          </w:tcPr>
          <w:p>
            <w:pPr>
              <w:spacing w:after="0"/>
              <w:rPr>
                <w:sz w:val="18"/>
                <w:szCs w:val="18"/>
                <w:color w:val="auto"/>
              </w:rPr>
            </w:pPr>
          </w:p>
        </w:tc>
      </w:tr>
      <w:tr>
        <w:trPr>
          <w:trHeight w:val="214"/>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160" w:type="dxa"/>
            <w:vAlign w:val="bottom"/>
            <w:shd w:val="clear" w:color="auto" w:fill="CCEEFF"/>
          </w:tcPr>
          <w:p>
            <w:pPr>
              <w:spacing w:after="0"/>
              <w:rPr>
                <w:sz w:val="18"/>
                <w:szCs w:val="18"/>
                <w:color w:val="auto"/>
              </w:rPr>
            </w:pPr>
          </w:p>
        </w:tc>
      </w:tr>
      <w:tr>
        <w:trPr>
          <w:trHeight w:val="203"/>
        </w:trPr>
        <w:tc>
          <w:tcPr>
            <w:tcW w:w="690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160" w:type="dxa"/>
            <w:vAlign w:val="bottom"/>
            <w:tcBorders>
              <w:bottom w:val="single" w:sz="8" w:color="CCEEFF"/>
            </w:tcBorders>
          </w:tcPr>
          <w:p>
            <w:pPr>
              <w:spacing w:after="0"/>
              <w:rPr>
                <w:sz w:val="17"/>
                <w:szCs w:val="17"/>
                <w:color w:val="auto"/>
              </w:rPr>
            </w:pPr>
          </w:p>
        </w:tc>
      </w:tr>
      <w:tr>
        <w:trPr>
          <w:trHeight w:val="207"/>
        </w:trPr>
        <w:tc>
          <w:tcPr>
            <w:tcW w:w="6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intangibles subject to amortization,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1160" w:type="dxa"/>
            <w:vAlign w:val="bottom"/>
            <w:shd w:val="clear" w:color="auto" w:fill="CCEEFF"/>
          </w:tcPr>
          <w:p>
            <w:pPr>
              <w:spacing w:after="0"/>
              <w:rPr>
                <w:sz w:val="18"/>
                <w:szCs w:val="18"/>
                <w:color w:val="auto"/>
              </w:rPr>
            </w:pPr>
          </w:p>
        </w:tc>
      </w:tr>
      <w:tr>
        <w:trPr>
          <w:trHeight w:val="210"/>
        </w:trPr>
        <w:tc>
          <w:tcPr>
            <w:tcW w:w="69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751,174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1160" w:type="dxa"/>
            <w:vAlign w:val="bottom"/>
            <w:tcBorders>
              <w:bottom w:val="single" w:sz="8" w:color="CCEEFF"/>
            </w:tcBorders>
          </w:tcPr>
          <w:p>
            <w:pPr>
              <w:spacing w:after="0"/>
              <w:rPr>
                <w:sz w:val="18"/>
                <w:szCs w:val="18"/>
                <w:color w:val="auto"/>
              </w:rPr>
            </w:pPr>
          </w:p>
        </w:tc>
      </w:tr>
      <w:tr>
        <w:trPr>
          <w:trHeight w:val="232"/>
        </w:trPr>
        <w:tc>
          <w:tcPr>
            <w:tcW w:w="690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779,248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In addition to the FinTrust customer relationship intangible discussed in Note 3, during 2021 United purchased the customer lists of two financial advisory firms for an aggregate purchase price of $870,000. All consideration paid was allocated to a customer relationship intangible.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for the years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Goodwill </w:t>
            </w:r>
            <w:r>
              <w:rPr>
                <w:rFonts w:ascii="Times New Roman" w:cs="Times New Roman" w:eastAsia="Times New Roman" w:hAnsi="Times New Roman"/>
                <w:sz w:val="20"/>
                <w:szCs w:val="20"/>
                <w:b w:val="1"/>
                <w:bCs w:val="1"/>
                <w:color w:val="auto"/>
                <w:vertAlign w:val="superscript"/>
              </w:rPr>
              <w:t>(1)</w:t>
            </w:r>
          </w:p>
        </w:tc>
      </w:tr>
      <w:tr>
        <w:trPr>
          <w:trHeight w:val="205"/>
        </w:trPr>
        <w:tc>
          <w:tcPr>
            <w:tcW w:w="754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367,809</w:t>
            </w:r>
          </w:p>
        </w:tc>
        <w:tc>
          <w:tcPr>
            <w:tcW w:w="1500" w:type="dxa"/>
            <w:vAlign w:val="bottom"/>
            <w:tcBorders>
              <w:top w:val="single" w:sz="8" w:color="CCEEFF"/>
            </w:tcBorders>
            <w:shd w:val="clear" w:color="auto" w:fill="CCEEFF"/>
          </w:tcPr>
          <w:p>
            <w:pPr>
              <w:spacing w:after="0"/>
              <w:rPr>
                <w:sz w:val="17"/>
                <w:szCs w:val="17"/>
                <w:color w:val="auto"/>
              </w:rPr>
            </w:pPr>
          </w:p>
        </w:tc>
      </w:tr>
      <w:tr>
        <w:trPr>
          <w:trHeight w:val="210"/>
        </w:trPr>
        <w:tc>
          <w:tcPr>
            <w:tcW w:w="754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Acquisition of FinTrust</w:t>
            </w:r>
          </w:p>
        </w:tc>
        <w:tc>
          <w:tcPr>
            <w:tcW w:w="24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14,163</w:t>
            </w:r>
          </w:p>
        </w:tc>
        <w:tc>
          <w:tcPr>
            <w:tcW w:w="1500" w:type="dxa"/>
            <w:vAlign w:val="bottom"/>
          </w:tcPr>
          <w:p>
            <w:pPr>
              <w:spacing w:after="0"/>
              <w:rPr>
                <w:sz w:val="18"/>
                <w:szCs w:val="18"/>
                <w:color w:val="auto"/>
              </w:rPr>
            </w:pPr>
          </w:p>
        </w:tc>
      </w:tr>
      <w:tr>
        <w:trPr>
          <w:trHeight w:val="214"/>
        </w:trPr>
        <w:tc>
          <w:tcPr>
            <w:tcW w:w="75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Acquisition of Aquesta</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70,035</w:t>
            </w:r>
          </w:p>
        </w:tc>
        <w:tc>
          <w:tcPr>
            <w:tcW w:w="1500" w:type="dxa"/>
            <w:vAlign w:val="bottom"/>
            <w:shd w:val="clear" w:color="auto" w:fill="CCEEFF"/>
          </w:tcPr>
          <w:p>
            <w:pPr>
              <w:spacing w:after="0"/>
              <w:rPr>
                <w:sz w:val="18"/>
                <w:szCs w:val="18"/>
                <w:color w:val="auto"/>
              </w:rPr>
            </w:pPr>
          </w:p>
        </w:tc>
      </w:tr>
      <w:tr>
        <w:trPr>
          <w:trHeight w:val="203"/>
        </w:trPr>
        <w:tc>
          <w:tcPr>
            <w:tcW w:w="75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452,007</w:t>
            </w:r>
          </w:p>
        </w:tc>
        <w:tc>
          <w:tcPr>
            <w:tcW w:w="1500" w:type="dxa"/>
            <w:vAlign w:val="bottom"/>
          </w:tcPr>
          <w:p>
            <w:pPr>
              <w:spacing w:after="0"/>
              <w:rPr>
                <w:sz w:val="17"/>
                <w:szCs w:val="17"/>
                <w:color w:val="auto"/>
              </w:rPr>
            </w:pPr>
          </w:p>
        </w:tc>
      </w:tr>
      <w:tr>
        <w:trPr>
          <w:trHeight w:val="212"/>
        </w:trPr>
        <w:tc>
          <w:tcPr>
            <w:tcW w:w="75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Acquisition of Reliant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299,167</w:t>
            </w:r>
          </w:p>
        </w:tc>
        <w:tc>
          <w:tcPr>
            <w:tcW w:w="1500" w:type="dxa"/>
            <w:vAlign w:val="bottom"/>
            <w:shd w:val="clear" w:color="auto" w:fill="CCEEFF"/>
          </w:tcPr>
          <w:p>
            <w:pPr>
              <w:spacing w:after="0"/>
              <w:rPr>
                <w:sz w:val="18"/>
                <w:szCs w:val="18"/>
                <w:color w:val="auto"/>
              </w:rPr>
            </w:pPr>
          </w:p>
        </w:tc>
      </w:tr>
      <w:tr>
        <w:trPr>
          <w:trHeight w:val="207"/>
        </w:trPr>
        <w:tc>
          <w:tcPr>
            <w:tcW w:w="75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751,174</w:t>
            </w:r>
          </w:p>
        </w:tc>
        <w:tc>
          <w:tcPr>
            <w:tcW w:w="15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57" w:lineRule="exact"/>
        <w:rPr>
          <w:sz w:val="20"/>
          <w:szCs w:val="20"/>
          <w:color w:val="auto"/>
        </w:rPr>
      </w:pPr>
    </w:p>
    <w:p>
      <w:pPr>
        <w:ind w:left="480" w:hanging="156"/>
        <w:spacing w:after="0"/>
        <w:tabs>
          <w:tab w:leader="none" w:pos="48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Goodwill balances presented are shown net of accumulated impairment losses of $306 million incurred prior to 2020.</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continued</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finite lived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84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r>
      <w:tr>
        <w:trPr>
          <w:trHeight w:val="208"/>
        </w:trPr>
        <w:tc>
          <w:tcPr>
            <w:tcW w:w="284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2840" w:type="dxa"/>
            <w:vAlign w:val="bottom"/>
            <w:shd w:val="clear" w:color="auto" w:fill="CCEEFF"/>
          </w:tcPr>
          <w:p>
            <w:pPr>
              <w:spacing w:after="0"/>
              <w:rPr>
                <w:sz w:val="18"/>
                <w:szCs w:val="18"/>
                <w:color w:val="auto"/>
              </w:rPr>
            </w:pPr>
          </w:p>
        </w:tc>
      </w:tr>
      <w:tr>
        <w:trPr>
          <w:trHeight w:val="210"/>
        </w:trPr>
        <w:tc>
          <w:tcPr>
            <w:tcW w:w="6280" w:type="dxa"/>
            <w:vAlign w:val="bottom"/>
            <w:gridSpan w:val="2"/>
          </w:tcPr>
          <w:p>
            <w:pPr>
              <w:ind w:left="286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28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2840" w:type="dxa"/>
            <w:vAlign w:val="bottom"/>
            <w:shd w:val="clear" w:color="auto" w:fill="CCEEFF"/>
          </w:tcPr>
          <w:p>
            <w:pPr>
              <w:spacing w:after="0"/>
              <w:rPr>
                <w:sz w:val="18"/>
                <w:szCs w:val="18"/>
                <w:color w:val="auto"/>
              </w:rPr>
            </w:pPr>
          </w:p>
        </w:tc>
      </w:tr>
      <w:tr>
        <w:trPr>
          <w:trHeight w:val="210"/>
        </w:trPr>
        <w:tc>
          <w:tcPr>
            <w:tcW w:w="6280" w:type="dxa"/>
            <w:vAlign w:val="bottom"/>
            <w:gridSpan w:val="2"/>
          </w:tcPr>
          <w:p>
            <w:pPr>
              <w:ind w:left="286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8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2840" w:type="dxa"/>
            <w:vAlign w:val="bottom"/>
            <w:shd w:val="clear" w:color="auto" w:fill="CCEEFF"/>
          </w:tcPr>
          <w:p>
            <w:pPr>
              <w:spacing w:after="0"/>
              <w:rPr>
                <w:sz w:val="18"/>
                <w:szCs w:val="18"/>
                <w:color w:val="auto"/>
              </w:rPr>
            </w:pPr>
          </w:p>
        </w:tc>
      </w:tr>
      <w:tr>
        <w:trPr>
          <w:trHeight w:val="210"/>
        </w:trPr>
        <w:tc>
          <w:tcPr>
            <w:tcW w:w="284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7,244</w:t>
            </w:r>
          </w:p>
        </w:tc>
        <w:tc>
          <w:tcPr>
            <w:tcW w:w="2840" w:type="dxa"/>
            <w:vAlign w:val="bottom"/>
            <w:tcBorders>
              <w:bottom w:val="single" w:sz="8" w:color="CCEEFF"/>
            </w:tcBorders>
          </w:tcPr>
          <w:p>
            <w:pPr>
              <w:spacing w:after="0"/>
              <w:rPr>
                <w:sz w:val="18"/>
                <w:szCs w:val="18"/>
                <w:color w:val="auto"/>
              </w:rPr>
            </w:pPr>
          </w:p>
        </w:tc>
      </w:tr>
      <w:tr>
        <w:trPr>
          <w:trHeight w:val="232"/>
        </w:trPr>
        <w:tc>
          <w:tcPr>
            <w:tcW w:w="284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28,074</w:t>
            </w:r>
          </w:p>
        </w:tc>
        <w:tc>
          <w:tcPr>
            <w:tcW w:w="2840" w:type="dxa"/>
            <w:vAlign w:val="bottom"/>
            <w:tcBorders>
              <w:bottom w:val="single" w:sz="8" w:color="CCEEFF"/>
            </w:tcBorders>
            <w:shd w:val="clear" w:color="auto" w:fill="CCEEFF"/>
          </w:tcPr>
          <w:p>
            <w:pPr>
              <w:spacing w:after="0"/>
              <w:rPr>
                <w:sz w:val="19"/>
                <w:szCs w:val="19"/>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Servicing Assets and Liabilities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 for SBA/USDA Loans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accounts for servicing rights for SBA/USDA loans at fair value. The following table summarizes the changes in SBA/USDA servicing rights for the years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6,794</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servicing rights</w:t>
            </w:r>
          </w:p>
        </w:tc>
        <w:tc>
          <w:tcPr>
            <w:tcW w:w="8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1,114</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2"/>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fair value due to change in inputs or assumptions used in the valuation</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(1,377)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6,462</w:t>
            </w:r>
          </w:p>
        </w:tc>
      </w:tr>
      <w:tr>
        <w:trPr>
          <w:trHeight w:val="20"/>
        </w:trPr>
        <w:tc>
          <w:tcPr>
            <w:tcW w:w="6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portfolio of SBA/USDA loans serviced for others, which is not included in the accompanying balance sheets, was $426 million and $428 million, respectively, at December 31, 2022 and 2021. The amount of contractually specified servicing fees earned by United on these servicing rights during the years ended December 31, 2022, 2021 and 2020 was $4.05 million, $3.90 million and $3.77 million, respectively.</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 xml:space="preserve">A summary of the key characteristics, inputs, and economic assumptions used in the discounted cash flow method utilized to estimate the fair value of the servicing asset for SBA/USDA loans and the sensitivity of the fair values to immediate adverse changes in those assumptions are shown in the table below as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07"/>
        </w:trPr>
        <w:tc>
          <w:tcPr>
            <w:tcW w:w="5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160" w:type="dxa"/>
            <w:vAlign w:val="bottom"/>
            <w:tcBorders>
              <w:bottom w:val="single" w:sz="8" w:color="CCEEFF"/>
            </w:tcBorders>
          </w:tcPr>
          <w:p>
            <w:pPr>
              <w:spacing w:after="0"/>
              <w:rPr>
                <w:sz w:val="17"/>
                <w:szCs w:val="17"/>
                <w:color w:val="auto"/>
              </w:rPr>
            </w:pPr>
          </w:p>
        </w:tc>
      </w:tr>
      <w:tr>
        <w:trPr>
          <w:trHeight w:val="206"/>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Fair value of retained servicing assets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6,513</w:t>
            </w:r>
          </w:p>
        </w:tc>
        <w:tc>
          <w:tcPr>
            <w:tcW w:w="2160" w:type="dxa"/>
            <w:vAlign w:val="bottom"/>
            <w:shd w:val="clear" w:color="auto" w:fill="CCEEFF"/>
          </w:tcPr>
          <w:p>
            <w:pPr>
              <w:spacing w:after="0"/>
              <w:rPr>
                <w:sz w:val="17"/>
                <w:szCs w:val="17"/>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- 31.3%</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10% adverse change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(309)</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20% adverse change</w:t>
            </w:r>
          </w:p>
        </w:tc>
        <w:tc>
          <w:tcPr>
            <w:tcW w:w="300" w:type="dxa"/>
            <w:vAlign w:val="bottom"/>
          </w:tcPr>
          <w:p>
            <w:pPr>
              <w:spacing w:after="0"/>
              <w:rPr>
                <w:sz w:val="18"/>
                <w:szCs w:val="18"/>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(591)</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Discount rate: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- 25.0%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- 45.4%</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100 bps adverse change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(166)</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200 bps adverse change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(323)</w:t>
            </w:r>
          </w:p>
        </w:tc>
        <w:tc>
          <w:tcPr>
            <w:tcW w:w="2160" w:type="dxa"/>
            <w:vAlign w:val="bottom"/>
            <w:shd w:val="clear" w:color="auto" w:fill="CCEEFF"/>
          </w:tcPr>
          <w:p>
            <w:pPr>
              <w:spacing w:after="0"/>
              <w:rPr>
                <w:sz w:val="18"/>
                <w:szCs w:val="18"/>
                <w:color w:val="auto"/>
              </w:rPr>
            </w:pPr>
          </w:p>
        </w:tc>
      </w:tr>
    </w:tbl>
    <w:p>
      <w:pPr>
        <w:spacing w:after="0" w:line="28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Servicing Assets and Liabilities,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Residential Mortgage Servicing Rights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accounts for residential mortgage servicing rights at fair value. The following table summarizes the changes in residential mortgage servicing rights for the years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25,161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13,565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Originated servicing rights capitalized upon sale of loans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12,510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11,911</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(2,360)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fair value due to change in inputs or assumptions used in the valuation</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(6,392)</w:t>
            </w:r>
          </w:p>
        </w:tc>
      </w:tr>
      <w:tr>
        <w:trPr>
          <w:trHeight w:val="23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36,559</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25,161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16,216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portfolio of residential mortgage loans serviced for others, which is not included in the consolidated balance sheets, was $2.88 billion and $2.82 billion, respectively, at December 31, 2022 and 2021. The amount of contractually specified servicing fees earned by United on these servicing rights during the years ended December 31, 2022, 2021 and 2020 was $7.24 million, $6.48 million and $4.82 million, respectively.</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 xml:space="preserve">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07"/>
        </w:trPr>
        <w:tc>
          <w:tcPr>
            <w:tcW w:w="5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160" w:type="dxa"/>
            <w:vAlign w:val="bottom"/>
            <w:tcBorders>
              <w:bottom w:val="single" w:sz="8" w:color="CCEEFF"/>
            </w:tcBorders>
          </w:tcPr>
          <w:p>
            <w:pPr>
              <w:spacing w:after="0"/>
              <w:rPr>
                <w:sz w:val="17"/>
                <w:szCs w:val="17"/>
                <w:color w:val="auto"/>
              </w:rPr>
            </w:pPr>
          </w:p>
        </w:tc>
      </w:tr>
      <w:tr>
        <w:trPr>
          <w:trHeight w:val="206"/>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Fair value of retained servicing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36,559</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25,161</w:t>
            </w:r>
          </w:p>
        </w:tc>
        <w:tc>
          <w:tcPr>
            <w:tcW w:w="2160" w:type="dxa"/>
            <w:vAlign w:val="bottom"/>
            <w:shd w:val="clear" w:color="auto" w:fill="CCEEFF"/>
          </w:tcPr>
          <w:p>
            <w:pPr>
              <w:spacing w:after="0"/>
              <w:rPr>
                <w:sz w:val="17"/>
                <w:szCs w:val="17"/>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- 31.2%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- 77.6%</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10% adverse change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(1,236)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(1,229)</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20% adverse change</w:t>
            </w:r>
          </w:p>
        </w:tc>
        <w:tc>
          <w:tcPr>
            <w:tcW w:w="32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(2,404)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(2,367)</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Discount rate: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Weighted 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Range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- 11.5%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- 10.5%</w:t>
            </w:r>
          </w:p>
        </w:tc>
        <w:tc>
          <w:tcPr>
            <w:tcW w:w="2160" w:type="dxa"/>
            <w:vAlign w:val="bottom"/>
            <w:shd w:val="clear" w:color="auto" w:fill="CCEEFF"/>
          </w:tcPr>
          <w:p>
            <w:pPr>
              <w:spacing w:after="0"/>
              <w:rPr>
                <w:sz w:val="18"/>
                <w:szCs w:val="18"/>
                <w:color w:val="auto"/>
              </w:rPr>
            </w:pPr>
          </w:p>
        </w:tc>
      </w:tr>
      <w:tr>
        <w:trPr>
          <w:trHeight w:val="210"/>
        </w:trPr>
        <w:tc>
          <w:tcPr>
            <w:tcW w:w="54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100 bps adverse change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(1,488)</w:t>
            </w:r>
          </w:p>
        </w:tc>
        <w:tc>
          <w:tcPr>
            <w:tcW w:w="14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(877)</w:t>
            </w:r>
          </w:p>
        </w:tc>
        <w:tc>
          <w:tcPr>
            <w:tcW w:w="2160" w:type="dxa"/>
            <w:vAlign w:val="bottom"/>
          </w:tcPr>
          <w:p>
            <w:pPr>
              <w:spacing w:after="0"/>
              <w:rPr>
                <w:sz w:val="18"/>
                <w:szCs w:val="18"/>
                <w:color w:val="auto"/>
              </w:rPr>
            </w:pPr>
          </w:p>
        </w:tc>
      </w:tr>
      <w:tr>
        <w:trPr>
          <w:trHeight w:val="214"/>
        </w:trPr>
        <w:tc>
          <w:tcPr>
            <w:tcW w:w="54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200 bps adverse change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(2,865)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(1,693)</w:t>
            </w:r>
          </w:p>
        </w:tc>
        <w:tc>
          <w:tcPr>
            <w:tcW w:w="2160" w:type="dxa"/>
            <w:vAlign w:val="bottom"/>
            <w:shd w:val="clear" w:color="auto" w:fill="CCEEFF"/>
          </w:tcPr>
          <w:p>
            <w:pPr>
              <w:spacing w:after="0"/>
              <w:rPr>
                <w:sz w:val="18"/>
                <w:szCs w:val="18"/>
                <w:color w:val="auto"/>
              </w:rPr>
            </w:pPr>
          </w:p>
        </w:tc>
      </w:tr>
    </w:tbl>
    <w:p>
      <w:pPr>
        <w:spacing w:after="0" w:line="28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Liabilities for Equipment Financing Loans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accounts for servicing liabilities associated with sold equipment finance loans using the amortization method. The portfolio of equipment financing loans serviced for others, which is not included in the accompanying balance sheets, was $125.3 million and $78.8 million at December 31, 2022 and 2021, respectively. The servicing liabilities related to these loans totaled $1.12 million and $675,000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Time Deposits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At December 31, 2022, the contractual maturities of time deposits, including brokered time deposits,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1,251,483</w:t>
            </w: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460,975</w:t>
            </w:r>
          </w:p>
        </w:tc>
        <w:tc>
          <w:tcPr>
            <w:tcW w:w="2280" w:type="dxa"/>
            <w:vAlign w:val="bottom"/>
          </w:tcPr>
          <w:p>
            <w:pPr>
              <w:spacing w:after="0"/>
              <w:rPr>
                <w:sz w:val="18"/>
                <w:szCs w:val="18"/>
                <w:color w:val="auto"/>
              </w:rPr>
            </w:pPr>
          </w:p>
        </w:tc>
      </w:tr>
      <w:tr>
        <w:trPr>
          <w:trHeight w:val="214"/>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36,811</w:t>
            </w: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2280" w:type="dxa"/>
            <w:vAlign w:val="bottom"/>
          </w:tcPr>
          <w:p>
            <w:pPr>
              <w:spacing w:after="0"/>
              <w:rPr>
                <w:sz w:val="18"/>
                <w:szCs w:val="18"/>
                <w:color w:val="auto"/>
              </w:rPr>
            </w:pPr>
          </w:p>
        </w:tc>
      </w:tr>
      <w:tr>
        <w:trPr>
          <w:trHeight w:val="214"/>
        </w:trPr>
        <w:tc>
          <w:tcPr>
            <w:tcW w:w="68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280" w:type="dxa"/>
            <w:vAlign w:val="bottom"/>
            <w:shd w:val="clear" w:color="auto" w:fill="CCEEFF"/>
          </w:tcPr>
          <w:p>
            <w:pPr>
              <w:spacing w:after="0"/>
              <w:rPr>
                <w:sz w:val="18"/>
                <w:szCs w:val="18"/>
                <w:color w:val="auto"/>
              </w:rPr>
            </w:pPr>
          </w:p>
        </w:tc>
      </w:tr>
      <w:tr>
        <w:trPr>
          <w:trHeight w:val="210"/>
        </w:trPr>
        <w:tc>
          <w:tcPr>
            <w:tcW w:w="682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50,630</w:t>
            </w:r>
          </w:p>
        </w:tc>
        <w:tc>
          <w:tcPr>
            <w:tcW w:w="2280" w:type="dxa"/>
            <w:vAlign w:val="bottom"/>
            <w:tcBorders>
              <w:bottom w:val="single" w:sz="8" w:color="CCEEFF"/>
            </w:tcBorders>
          </w:tcPr>
          <w:p>
            <w:pPr>
              <w:spacing w:after="0"/>
              <w:rPr>
                <w:sz w:val="18"/>
                <w:szCs w:val="18"/>
                <w:color w:val="auto"/>
              </w:rPr>
            </w:pPr>
          </w:p>
        </w:tc>
      </w:tr>
      <w:tr>
        <w:trPr>
          <w:trHeight w:val="232"/>
        </w:trPr>
        <w:tc>
          <w:tcPr>
            <w:tcW w:w="682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Total time deposits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1,832,564</w:t>
            </w:r>
          </w:p>
        </w:tc>
        <w:tc>
          <w:tcPr>
            <w:tcW w:w="228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At December 31, 2022 and 2021, time deposits, excluding brokered time deposits, that met or exceeded the FDIC insurance limit of $250,000 totaled $454 million and $269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Federal Home Loan Bank Advances</w:t>
      </w:r>
    </w:p>
    <w:p>
      <w:pPr>
        <w:spacing w:after="0" w:line="24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 xml:space="preserve">At December 31, 2022, short-term borrowings consisted of repurchase agreements, which are borrowings secured by investment securities. The following table presents the remaining contractual maturity of repurchase agreements by collateral pledged as of the date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32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8"/>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Remaining Contractual Maturity of the Agreements</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55"/>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Overnight and</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Continuous</w:t>
            </w: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Up to 30 Days</w:t>
            </w:r>
          </w:p>
        </w:tc>
        <w:tc>
          <w:tcPr>
            <w:tcW w:w="24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Greater than 90 days</w:t>
            </w:r>
          </w:p>
        </w:tc>
        <w:tc>
          <w:tcPr>
            <w:tcW w:w="200" w:type="dxa"/>
            <w:vAlign w:val="bottom"/>
          </w:tcPr>
          <w:p>
            <w:pPr>
              <w:spacing w:after="0"/>
              <w:rPr>
                <w:sz w:val="19"/>
                <w:szCs w:val="19"/>
                <w:color w:val="auto"/>
              </w:rPr>
            </w:pP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3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158,933</w:t>
            </w:r>
          </w:p>
        </w:tc>
      </w:tr>
      <w:tr>
        <w:trPr>
          <w:trHeight w:val="19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158,933</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 At December 31, 2022, repurchase agreements were collateralized by securities with a carrying amount of $163 million.</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At December 31, 2022, United had FHLB advances totaling $550 million with maturities in 2023 and interest rates ranging from 4.11% to 4.17%. The FHLB advances are collateralized by a blanket lien on owner occupied and income producing commercial real estate and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Long-term debt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9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6"/>
                <w:szCs w:val="16"/>
                <w:b w:val="1"/>
                <w:bCs w:val="1"/>
                <w:color w:val="auto"/>
                <w:w w:val="97"/>
              </w:rPr>
              <w:t>Earliest</w:t>
            </w: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Issue Date</w:t>
            </w:r>
          </w:p>
        </w:tc>
        <w:tc>
          <w:tcPr>
            <w:tcW w:w="100" w:type="dxa"/>
            <w:vAlign w:val="bottom"/>
            <w:vMerge w:val="restart"/>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94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1"/>
        </w:trPr>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Call Date</w:t>
            </w: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senior debentures</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80" w:type="dxa"/>
            <w:vAlign w:val="bottom"/>
            <w:gridSpan w:val="2"/>
            <w:vMerge w:val="restart"/>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2015</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13"/>
                <w:szCs w:val="13"/>
                <w:color w:val="auto"/>
              </w:rPr>
            </w:pPr>
          </w:p>
        </w:tc>
        <w:tc>
          <w:tcPr>
            <w:tcW w:w="29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5.500% through August 2025, 3-month</w:t>
            </w:r>
          </w:p>
        </w:tc>
        <w:tc>
          <w:tcPr>
            <w:tcW w:w="0" w:type="dxa"/>
            <w:vAlign w:val="bottom"/>
          </w:tcPr>
          <w:p>
            <w:pPr>
              <w:spacing w:after="0"/>
              <w:rPr>
                <w:sz w:val="1"/>
                <w:szCs w:val="1"/>
                <w:color w:val="auto"/>
              </w:rPr>
            </w:pPr>
          </w:p>
        </w:tc>
      </w:tr>
      <w:tr>
        <w:trPr>
          <w:trHeight w:val="212"/>
        </w:trPr>
        <w:tc>
          <w:tcPr>
            <w:tcW w:w="2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LIBOR plus 3.71% thereafter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59"/>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2030 senior debentures</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3"/>
                <w:szCs w:val="13"/>
                <w:color w:val="auto"/>
              </w:rPr>
            </w:pPr>
          </w:p>
        </w:tc>
        <w:tc>
          <w:tcPr>
            <w:tcW w:w="29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5.00% through June 2025, 3-month SOFR</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plus 4.87% thereafter</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senior debentures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subordinated debentures</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gridSpan w:val="2"/>
            <w:vMerge w:val="restart"/>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2018</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3"/>
                <w:szCs w:val="13"/>
                <w:color w:val="auto"/>
              </w:rPr>
            </w:pPr>
          </w:p>
        </w:tc>
        <w:tc>
          <w:tcPr>
            <w:tcW w:w="29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4.500% through January 2023, 3-month</w:t>
            </w:r>
          </w:p>
        </w:tc>
        <w:tc>
          <w:tcPr>
            <w:tcW w:w="0" w:type="dxa"/>
            <w:vAlign w:val="bottom"/>
          </w:tcPr>
          <w:p>
            <w:pPr>
              <w:spacing w:after="0"/>
              <w:rPr>
                <w:sz w:val="1"/>
                <w:szCs w:val="1"/>
                <w:color w:val="auto"/>
              </w:rPr>
            </w:pPr>
          </w:p>
        </w:tc>
      </w:tr>
      <w:tr>
        <w:trPr>
          <w:trHeight w:val="212"/>
        </w:trPr>
        <w:tc>
          <w:tcPr>
            <w:tcW w:w="2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LIBOR plus 2.12% thereafter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59"/>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2029 subordinated debentures</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6"/>
                <w:szCs w:val="16"/>
                <w:color w:val="auto"/>
                <w:w w:val="99"/>
              </w:rPr>
              <w:t>2019</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3"/>
                <w:szCs w:val="13"/>
                <w:color w:val="auto"/>
              </w:rPr>
            </w:pPr>
          </w:p>
        </w:tc>
        <w:tc>
          <w:tcPr>
            <w:tcW w:w="29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5.125% until December 2024, then 3-month</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SOFR + 3.765% thereafter</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subordinated debentures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Tidelands Statutory Trust I</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8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3-month LIBOR plus 1.38%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12"/>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Oaks Statutory Trust I</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8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2006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94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3-month LIBOR plus 1.35%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+ 0.50%</w:t>
            </w:r>
          </w:p>
        </w:tc>
        <w:tc>
          <w:tcPr>
            <w:tcW w:w="0" w:type="dxa"/>
            <w:vAlign w:val="bottom"/>
          </w:tcPr>
          <w:p>
            <w:pPr>
              <w:spacing w:after="0"/>
              <w:rPr>
                <w:sz w:val="1"/>
                <w:szCs w:val="1"/>
                <w:color w:val="auto"/>
              </w:rPr>
            </w:pPr>
          </w:p>
        </w:tc>
      </w:tr>
      <w:tr>
        <w:trPr>
          <w:trHeight w:val="212"/>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2005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94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3-month LIBOR +1.50%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III</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3-month LIBOR plus 3.00%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trust preferred securities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20,620</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discount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Indicates currently redeemable</w:t>
      </w:r>
    </w:p>
    <w:p>
      <w:pPr>
        <w:ind w:left="520" w:hanging="170"/>
        <w:spacing w:after="0" w:line="221" w:lineRule="auto"/>
        <w:tabs>
          <w:tab w:leader="none" w:pos="5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Transitions to an alternative benchmark rate plus a comparable spread adjustment in the event that 3-month LIBOR is no longer published on a future adjustment date.</w:t>
      </w:r>
    </w:p>
    <w:p>
      <w:pPr>
        <w:spacing w:after="0" w:line="185"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8"/>
          <w:szCs w:val="18"/>
          <w:color w:val="auto"/>
        </w:rPr>
        <w:t>Interest is currently paid at least semiannually for all senior and subordinated debentures and trust preferred securities. All debt instruments reported above are obligations of the Holding Company.</w:t>
      </w: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During the first quarter of 2022, United assumed subordinated debentures and trust preferred securities with an acquisition date fair value totaling $76.7 million as part of the Reliant acquisition. See Note 3 for further detail.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Operating Leases</w:t>
      </w:r>
    </w:p>
    <w:p>
      <w:pPr>
        <w:spacing w:after="0" w:line="24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 presents the balances of the ROU asset and corresponding operating lease liability and supplemental lease information as of the dates indicated </w:t>
      </w:r>
      <w:r>
        <w:rPr>
          <w:rFonts w:ascii="Times New Roman" w:cs="Times New Roman" w:eastAsia="Times New Roman" w:hAnsi="Times New Roman"/>
          <w:sz w:val="18"/>
          <w:szCs w:val="18"/>
          <w:i w:val="1"/>
          <w:iCs w:val="1"/>
          <w:color w:val="auto"/>
        </w:rPr>
        <w:t>(in thousands).</w:t>
      </w:r>
    </w:p>
    <w:tbl>
      <w:tblPr>
        <w:tblLayout w:type="fixed"/>
        <w:tblInd w:w="32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1880" w:type="dxa"/>
            <w:vAlign w:val="bottom"/>
          </w:tcPr>
          <w:p>
            <w:pPr>
              <w:spacing w:after="0"/>
              <w:rPr>
                <w:sz w:val="18"/>
                <w:szCs w:val="18"/>
                <w:color w:val="auto"/>
              </w:rPr>
            </w:pPr>
          </w:p>
        </w:tc>
      </w:tr>
      <w:tr>
        <w:trPr>
          <w:trHeight w:val="207"/>
        </w:trPr>
        <w:tc>
          <w:tcPr>
            <w:tcW w:w="49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80" w:type="dxa"/>
            <w:vAlign w:val="bottom"/>
            <w:tcBorders>
              <w:bottom w:val="single" w:sz="8" w:color="CCEEFF"/>
            </w:tcBorders>
          </w:tcPr>
          <w:p>
            <w:pPr>
              <w:spacing w:after="0"/>
              <w:rPr>
                <w:sz w:val="17"/>
                <w:szCs w:val="17"/>
                <w:color w:val="auto"/>
              </w:rPr>
            </w:pPr>
          </w:p>
        </w:tc>
      </w:tr>
      <w:tr>
        <w:trPr>
          <w:trHeight w:val="206"/>
        </w:trPr>
        <w:tc>
          <w:tcPr>
            <w:tcW w:w="49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ROU asset</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40,003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29,421</w:t>
            </w:r>
          </w:p>
        </w:tc>
        <w:tc>
          <w:tcPr>
            <w:tcW w:w="1880" w:type="dxa"/>
            <w:vAlign w:val="bottom"/>
            <w:shd w:val="clear" w:color="auto" w:fill="CCEEFF"/>
          </w:tcPr>
          <w:p>
            <w:pPr>
              <w:spacing w:after="0"/>
              <w:rPr>
                <w:sz w:val="17"/>
                <w:szCs w:val="17"/>
                <w:color w:val="auto"/>
              </w:rPr>
            </w:pPr>
          </w:p>
        </w:tc>
      </w:tr>
      <w:tr>
        <w:trPr>
          <w:trHeight w:val="210"/>
        </w:trPr>
        <w:tc>
          <w:tcPr>
            <w:tcW w:w="49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80" w:type="dxa"/>
            <w:vAlign w:val="bottom"/>
          </w:tcPr>
          <w:p>
            <w:pPr>
              <w:spacing w:after="0"/>
              <w:rPr>
                <w:sz w:val="18"/>
                <w:szCs w:val="18"/>
                <w:color w:val="auto"/>
              </w:rPr>
            </w:pPr>
          </w:p>
        </w:tc>
        <w:tc>
          <w:tcPr>
            <w:tcW w:w="7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41,688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31,072</w:t>
            </w:r>
          </w:p>
        </w:tc>
        <w:tc>
          <w:tcPr>
            <w:tcW w:w="1880" w:type="dxa"/>
            <w:vAlign w:val="bottom"/>
          </w:tcPr>
          <w:p>
            <w:pPr>
              <w:spacing w:after="0"/>
              <w:rPr>
                <w:sz w:val="18"/>
                <w:szCs w:val="18"/>
                <w:color w:val="auto"/>
              </w:rPr>
            </w:pPr>
          </w:p>
        </w:tc>
      </w:tr>
      <w:tr>
        <w:trPr>
          <w:trHeight w:val="214"/>
        </w:trPr>
        <w:tc>
          <w:tcPr>
            <w:tcW w:w="4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0"/>
        </w:trPr>
        <w:tc>
          <w:tcPr>
            <w:tcW w:w="49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18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5.1 years</w:t>
            </w:r>
          </w:p>
        </w:tc>
        <w:tc>
          <w:tcPr>
            <w:tcW w:w="500" w:type="dxa"/>
            <w:vAlign w:val="bottom"/>
          </w:tcPr>
          <w:p>
            <w:pPr>
              <w:spacing w:after="0"/>
              <w:rPr>
                <w:sz w:val="18"/>
                <w:szCs w:val="18"/>
                <w:color w:val="auto"/>
              </w:rPr>
            </w:pPr>
          </w:p>
        </w:tc>
        <w:tc>
          <w:tcPr>
            <w:tcW w:w="3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5.4 years</w:t>
            </w:r>
          </w:p>
        </w:tc>
      </w:tr>
      <w:tr>
        <w:trPr>
          <w:trHeight w:val="214"/>
        </w:trPr>
        <w:tc>
          <w:tcPr>
            <w:tcW w:w="49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880" w:type="dxa"/>
            <w:vAlign w:val="bottom"/>
            <w:shd w:val="clear" w:color="auto" w:fill="CCEEFF"/>
          </w:tcPr>
          <w:p>
            <w:pPr>
              <w:spacing w:after="0"/>
              <w:rPr>
                <w:sz w:val="18"/>
                <w:szCs w:val="18"/>
                <w:color w:val="auto"/>
              </w:rPr>
            </w:pPr>
          </w:p>
        </w:tc>
      </w:tr>
    </w:tbl>
    <w:p>
      <w:pPr>
        <w:spacing w:after="0" w:line="31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During 2022, ROU assets obtained in exchange for an increase in the lease liability totaled $23.9 million, including leases assumed as part of the Reliant transaction of $14.3 million. During 2022, cash payments for amounts related to the lease liability totaled $13.2 million. During 2021, ROU assets obtained in exchange for an increase in the lease liability totaled $4.49 million, including leases assumed as part of the FinTrust and Aquesta transactions of $2.87 million. During 2020, ROU assets obtained in exchange for an increase in the lease liability totaled $17.4 million, including leases assumed as part of the Three Shores transaction of $15.1 million.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Leases, continued</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table below presents the operating lease income and expense recognized for the periods indicated </w:t>
      </w:r>
      <w:r>
        <w:rPr>
          <w:rFonts w:ascii="Times New Roman" w:cs="Times New Roman" w:eastAsia="Times New Roman" w:hAnsi="Times New Roman"/>
          <w:sz w:val="18"/>
          <w:szCs w:val="18"/>
          <w:i w:val="1"/>
          <w:iCs w:val="1"/>
          <w:color w:val="auto"/>
        </w:rPr>
        <w:t>(in thousands).</w:t>
      </w:r>
    </w:p>
    <w:p>
      <w:pPr>
        <w:spacing w:after="0" w:line="28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Operating lease cost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6,449</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Variable lease cost</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Short-term lease cost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Total lease cost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13,913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7,306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540"/>
              <w:spacing w:after="0" w:line="159" w:lineRule="exact"/>
              <w:rPr>
                <w:sz w:val="20"/>
                <w:szCs w:val="20"/>
                <w:color w:val="auto"/>
              </w:rPr>
            </w:pPr>
            <w:r>
              <w:rPr>
                <w:rFonts w:ascii="Times New Roman" w:cs="Times New Roman" w:eastAsia="Times New Roman" w:hAnsi="Times New Roman"/>
                <w:sz w:val="16"/>
                <w:szCs w:val="16"/>
                <w:color w:val="auto"/>
              </w:rPr>
              <w:t>Sublease income and rental income from owned</w:t>
            </w: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1,372</w:t>
            </w:r>
          </w:p>
        </w:tc>
        <w:tc>
          <w:tcPr>
            <w:tcW w:w="80" w:type="dxa"/>
            <w:vAlign w:val="bottom"/>
          </w:tcPr>
          <w:p>
            <w:pPr>
              <w:spacing w:after="0"/>
              <w:rPr>
                <w:sz w:val="13"/>
                <w:szCs w:val="13"/>
                <w:color w:val="auto"/>
              </w:rPr>
            </w:pPr>
          </w:p>
        </w:tc>
        <w:tc>
          <w:tcPr>
            <w:tcW w:w="2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Pr>
          <w:p>
            <w:pPr>
              <w:spacing w:after="0"/>
              <w:rPr>
                <w:sz w:val="13"/>
                <w:szCs w:val="13"/>
                <w:color w:val="auto"/>
              </w:rPr>
            </w:pP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1,022</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properties under operating leases</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As of December 31, 2022, future minimum lease payments under operating leases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r>
      <w:tr>
        <w:trPr>
          <w:trHeight w:val="208"/>
        </w:trPr>
        <w:tc>
          <w:tcPr>
            <w:tcW w:w="266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11,716</w:t>
            </w:r>
          </w:p>
        </w:tc>
        <w:tc>
          <w:tcPr>
            <w:tcW w:w="2680" w:type="dxa"/>
            <w:vAlign w:val="bottom"/>
            <w:shd w:val="clear" w:color="auto" w:fill="CCEEFF"/>
          </w:tcPr>
          <w:p>
            <w:pPr>
              <w:spacing w:after="0"/>
              <w:rPr>
                <w:sz w:val="18"/>
                <w:szCs w:val="18"/>
                <w:color w:val="auto"/>
              </w:rPr>
            </w:pPr>
          </w:p>
        </w:tc>
      </w:tr>
      <w:tr>
        <w:trPr>
          <w:trHeight w:val="210"/>
        </w:trPr>
        <w:tc>
          <w:tcPr>
            <w:tcW w:w="6040" w:type="dxa"/>
            <w:vAlign w:val="bottom"/>
            <w:gridSpan w:val="2"/>
          </w:tcPr>
          <w:p>
            <w:pPr>
              <w:ind w:left="2680"/>
              <w:spacing w:after="0"/>
              <w:rPr>
                <w:sz w:val="20"/>
                <w:szCs w:val="20"/>
                <w:color w:val="auto"/>
              </w:rPr>
            </w:pPr>
            <w:r>
              <w:rPr>
                <w:rFonts w:ascii="Times New Roman" w:cs="Times New Roman" w:eastAsia="Times New Roman" w:hAnsi="Times New Roman"/>
                <w:sz w:val="16"/>
                <w:szCs w:val="16"/>
                <w:color w:val="auto"/>
              </w:rPr>
              <w:t>2024</w:t>
            </w:r>
          </w:p>
        </w:tc>
        <w:tc>
          <w:tcPr>
            <w:tcW w:w="7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8,660</w:t>
            </w:r>
          </w:p>
        </w:tc>
        <w:tc>
          <w:tcPr>
            <w:tcW w:w="2680" w:type="dxa"/>
            <w:vAlign w:val="bottom"/>
          </w:tcPr>
          <w:p>
            <w:pPr>
              <w:spacing w:after="0"/>
              <w:rPr>
                <w:sz w:val="18"/>
                <w:szCs w:val="18"/>
                <w:color w:val="auto"/>
              </w:rPr>
            </w:pPr>
          </w:p>
        </w:tc>
      </w:tr>
      <w:tr>
        <w:trPr>
          <w:trHeight w:val="214"/>
        </w:trPr>
        <w:tc>
          <w:tcPr>
            <w:tcW w:w="604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6"/>
                <w:szCs w:val="16"/>
                <w:color w:val="auto"/>
              </w:rPr>
              <w:t>2025</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6,490</w:t>
            </w:r>
          </w:p>
        </w:tc>
        <w:tc>
          <w:tcPr>
            <w:tcW w:w="2680" w:type="dxa"/>
            <w:vAlign w:val="bottom"/>
            <w:shd w:val="clear" w:color="auto" w:fill="CCEEFF"/>
          </w:tcPr>
          <w:p>
            <w:pPr>
              <w:spacing w:after="0"/>
              <w:rPr>
                <w:sz w:val="18"/>
                <w:szCs w:val="18"/>
                <w:color w:val="auto"/>
              </w:rPr>
            </w:pPr>
          </w:p>
        </w:tc>
      </w:tr>
      <w:tr>
        <w:trPr>
          <w:trHeight w:val="210"/>
        </w:trPr>
        <w:tc>
          <w:tcPr>
            <w:tcW w:w="6040" w:type="dxa"/>
            <w:vAlign w:val="bottom"/>
            <w:gridSpan w:val="2"/>
          </w:tcPr>
          <w:p>
            <w:pPr>
              <w:ind w:left="2680"/>
              <w:spacing w:after="0"/>
              <w:rPr>
                <w:sz w:val="20"/>
                <w:szCs w:val="20"/>
                <w:color w:val="auto"/>
              </w:rPr>
            </w:pPr>
            <w:r>
              <w:rPr>
                <w:rFonts w:ascii="Times New Roman" w:cs="Times New Roman" w:eastAsia="Times New Roman" w:hAnsi="Times New Roman"/>
                <w:sz w:val="16"/>
                <w:szCs w:val="16"/>
                <w:color w:val="auto"/>
              </w:rPr>
              <w:t>2026</w:t>
            </w:r>
          </w:p>
        </w:tc>
        <w:tc>
          <w:tcPr>
            <w:tcW w:w="7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5,665</w:t>
            </w:r>
          </w:p>
        </w:tc>
        <w:tc>
          <w:tcPr>
            <w:tcW w:w="2680" w:type="dxa"/>
            <w:vAlign w:val="bottom"/>
          </w:tcPr>
          <w:p>
            <w:pPr>
              <w:spacing w:after="0"/>
              <w:rPr>
                <w:sz w:val="18"/>
                <w:szCs w:val="18"/>
                <w:color w:val="auto"/>
              </w:rPr>
            </w:pPr>
          </w:p>
        </w:tc>
      </w:tr>
      <w:tr>
        <w:trPr>
          <w:trHeight w:val="214"/>
        </w:trPr>
        <w:tc>
          <w:tcPr>
            <w:tcW w:w="604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6"/>
                <w:szCs w:val="16"/>
                <w:color w:val="auto"/>
              </w:rPr>
              <w:t>2027</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4,791</w:t>
            </w:r>
          </w:p>
        </w:tc>
        <w:tc>
          <w:tcPr>
            <w:tcW w:w="2680" w:type="dxa"/>
            <w:vAlign w:val="bottom"/>
            <w:shd w:val="clear" w:color="auto" w:fill="CCEEFF"/>
          </w:tcPr>
          <w:p>
            <w:pPr>
              <w:spacing w:after="0"/>
              <w:rPr>
                <w:sz w:val="18"/>
                <w:szCs w:val="18"/>
                <w:color w:val="auto"/>
              </w:rPr>
            </w:pPr>
          </w:p>
        </w:tc>
      </w:tr>
      <w:tr>
        <w:trPr>
          <w:trHeight w:val="210"/>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6,397</w:t>
            </w:r>
          </w:p>
        </w:tc>
        <w:tc>
          <w:tcPr>
            <w:tcW w:w="2680" w:type="dxa"/>
            <w:vAlign w:val="bottom"/>
            <w:tcBorders>
              <w:bottom w:val="single" w:sz="8" w:color="CCEEFF"/>
            </w:tcBorders>
          </w:tcPr>
          <w:p>
            <w:pPr>
              <w:spacing w:after="0"/>
              <w:rPr>
                <w:sz w:val="18"/>
                <w:szCs w:val="18"/>
                <w:color w:val="auto"/>
              </w:rPr>
            </w:pPr>
          </w:p>
        </w:tc>
      </w:tr>
      <w:tr>
        <w:trPr>
          <w:trHeight w:val="207"/>
        </w:trPr>
        <w:tc>
          <w:tcPr>
            <w:tcW w:w="266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43,719</w:t>
            </w:r>
          </w:p>
        </w:tc>
        <w:tc>
          <w:tcPr>
            <w:tcW w:w="2680" w:type="dxa"/>
            <w:vAlign w:val="bottom"/>
            <w:shd w:val="clear" w:color="auto" w:fill="CCEEFF"/>
          </w:tcPr>
          <w:p>
            <w:pPr>
              <w:spacing w:after="0"/>
              <w:rPr>
                <w:sz w:val="18"/>
                <w:szCs w:val="18"/>
                <w:color w:val="auto"/>
              </w:rPr>
            </w:pPr>
          </w:p>
        </w:tc>
      </w:tr>
      <w:tr>
        <w:trPr>
          <w:trHeight w:val="210"/>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discount</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680" w:type="dxa"/>
            <w:vAlign w:val="bottom"/>
            <w:tcBorders>
              <w:bottom w:val="single" w:sz="8" w:color="CCEEFF"/>
            </w:tcBorders>
          </w:tcPr>
          <w:p>
            <w:pPr>
              <w:spacing w:after="0"/>
              <w:rPr>
                <w:sz w:val="18"/>
                <w:szCs w:val="18"/>
                <w:color w:val="auto"/>
              </w:rPr>
            </w:pPr>
          </w:p>
        </w:tc>
      </w:tr>
      <w:tr>
        <w:trPr>
          <w:trHeight w:val="232"/>
        </w:trPr>
        <w:tc>
          <w:tcPr>
            <w:tcW w:w="266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liability</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41,688</w:t>
            </w:r>
          </w:p>
        </w:tc>
        <w:tc>
          <w:tcPr>
            <w:tcW w:w="2680" w:type="dxa"/>
            <w:vAlign w:val="bottom"/>
            <w:tcBorders>
              <w:bottom w:val="single" w:sz="8" w:color="CCEEFF"/>
            </w:tcBorders>
            <w:shd w:val="clear" w:color="auto" w:fill="CCEEFF"/>
          </w:tcPr>
          <w:p>
            <w:pPr>
              <w:spacing w:after="0"/>
              <w:rPr>
                <w:sz w:val="19"/>
                <w:szCs w:val="19"/>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4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Valuation is based upon quoted prices (unadjusted) in active markets for identical assets or liabilities that United has the ability to access.</w:t>
      </w:r>
    </w:p>
    <w:p>
      <w:pPr>
        <w:spacing w:after="0" w:line="207" w:lineRule="exact"/>
        <w:rPr>
          <w:sz w:val="20"/>
          <w:szCs w:val="20"/>
          <w:color w:val="auto"/>
        </w:rPr>
      </w:pPr>
    </w:p>
    <w:p>
      <w:pPr>
        <w:jc w:val="both"/>
        <w:ind w:left="320" w:firstLine="636"/>
        <w:spacing w:after="0" w:line="306"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liability (other than quoted prices), such as interest rates, foreign exchange rates, and yield curves that are observable at commonly quoted intervals.</w:t>
      </w:r>
    </w:p>
    <w:p>
      <w:pPr>
        <w:spacing w:after="0" w:line="138" w:lineRule="exact"/>
        <w:rPr>
          <w:sz w:val="20"/>
          <w:szCs w:val="20"/>
          <w:color w:val="auto"/>
        </w:rPr>
      </w:pPr>
    </w:p>
    <w:p>
      <w:pPr>
        <w:jc w:val="both"/>
        <w:ind w:left="3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which are typically based on an entity’s own assumptions, as there is little, if any, related market activity.</w:t>
      </w:r>
    </w:p>
    <w:p>
      <w:pPr>
        <w:spacing w:after="0" w:line="16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continued</w:t>
      </w:r>
    </w:p>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Securities</w:t>
      </w:r>
    </w:p>
    <w:p>
      <w:pPr>
        <w:spacing w:after="0" w:line="5"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7"/>
          <w:szCs w:val="17"/>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Compensation Plan Assets and Liabilities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Included in other assets in the consolidated balance sheets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Mortgage Loans Held for Sale</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In connection with the Reliant acquisition, United acquired certain mortgage loans held for sale for which the fair value option was not elected; these loans are carried at the lower of aggregate cost or fair value.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6"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7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continued</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Servicing Rights for Residential Mortgage and SBA/USDA Loans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mortgage and SBA/USDA loans sold with servicing retained. Management has elected to carry these assets at fair value. Given the nature of the assets, the key valuation inputs are unobservable and management considers these Level 3 assets. For disclosure regarding the fair value of servicing rights, see Note 10.</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26" w:lineRule="exact"/>
        <w:rPr>
          <w:sz w:val="20"/>
          <w:szCs w:val="20"/>
          <w:color w:val="auto"/>
        </w:rPr>
      </w:pPr>
    </w:p>
    <w:p>
      <w:pPr>
        <w:ind w:left="320" w:right="420"/>
        <w:spacing w:after="0" w:line="251"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149,352</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250,116</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303,748</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1,795,481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1,795,481</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671,912</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212,452</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231,272</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13,637</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11,794</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11,436</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5,188</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36,559</w:t>
            </w:r>
          </w:p>
        </w:tc>
      </w:tr>
      <w:tr>
        <w:trPr>
          <w:trHeight w:val="212"/>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50,636</w:t>
            </w:r>
          </w:p>
        </w:tc>
      </w:tr>
      <w:tr>
        <w:trPr>
          <w:trHeight w:val="207"/>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173,066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3,515,045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3,743,583</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4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1"/>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11,460</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99,543</w:t>
            </w:r>
          </w:p>
        </w:tc>
      </w:tr>
      <w:tr>
        <w:trPr>
          <w:trHeight w:val="232"/>
        </w:trPr>
        <w:tc>
          <w:tcPr>
            <w:tcW w:w="49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111,003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217,520</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187,032</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275,844</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2,145,134</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873,851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873,851</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193,166</w:t>
            </w:r>
          </w:p>
        </w:tc>
      </w:tr>
      <w:tr>
        <w:trPr>
          <w:trHeight w:val="21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604,277</w:t>
            </w:r>
          </w:p>
        </w:tc>
      </w:tr>
      <w:tr>
        <w:trPr>
          <w:trHeight w:val="210"/>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1,302</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44,109</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11,769</w:t>
            </w:r>
          </w:p>
        </w:tc>
      </w:tr>
      <w:tr>
        <w:trPr>
          <w:trHeight w:val="214"/>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6,513</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25,161</w:t>
            </w:r>
          </w:p>
        </w:tc>
      </w:tr>
      <w:tr>
        <w:trPr>
          <w:trHeight w:val="212"/>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42,480</w:t>
            </w:r>
          </w:p>
        </w:tc>
      </w:tr>
      <w:tr>
        <w:trPr>
          <w:trHeight w:val="207"/>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229,289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4,358,042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40,827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4,628,158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4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1"/>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11,795</w:t>
            </w:r>
          </w:p>
        </w:tc>
      </w:tr>
      <w:tr>
        <w:trPr>
          <w:trHeight w:val="21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25,145</w:t>
            </w:r>
          </w:p>
        </w:tc>
      </w:tr>
      <w:tr>
        <w:trPr>
          <w:trHeight w:val="232"/>
        </w:trPr>
        <w:tc>
          <w:tcPr>
            <w:tcW w:w="49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36,940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continued</w:t>
      </w:r>
    </w:p>
    <w:p>
      <w:pPr>
        <w:spacing w:after="0" w:line="3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 xml:space="preserve">For disclosure regarding the fair value of servicing rights, see Note 10. The following table shows a reconciliation of the beginning and ending balances for all other assets and liabilities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7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2500" w:type="dxa"/>
            <w:vAlign w:val="bottom"/>
            <w:gridSpan w:val="4"/>
            <w:vMerge w:val="restart"/>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Corporate Bonds</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Liability</w:t>
            </w:r>
          </w:p>
        </w:tc>
        <w:tc>
          <w:tcPr>
            <w:tcW w:w="25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8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8,559</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1140"/>
              <w:spacing w:after="0" w:line="212" w:lineRule="exact"/>
              <w:rPr>
                <w:sz w:val="20"/>
                <w:szCs w:val="20"/>
                <w:color w:val="auto"/>
              </w:rPr>
            </w:pPr>
            <w:r>
              <w:rPr>
                <w:rFonts w:ascii="Times New Roman" w:cs="Times New Roman" w:eastAsia="Times New Roman" w:hAnsi="Times New Roman"/>
                <w:sz w:val="16"/>
                <w:szCs w:val="16"/>
                <w:color w:val="auto"/>
              </w:rPr>
              <w:t xml:space="preserve">Transfers into Level 3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900" w:type="dxa"/>
            <w:vAlign w:val="bottom"/>
            <w:gridSpan w:val="2"/>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Sales and settlements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1140"/>
              <w:spacing w:after="0" w:line="212" w:lineRule="exact"/>
              <w:rPr>
                <w:sz w:val="20"/>
                <w:szCs w:val="20"/>
                <w:color w:val="auto"/>
              </w:rPr>
            </w:pPr>
            <w:r>
              <w:rPr>
                <w:rFonts w:ascii="Times New Roman" w:cs="Times New Roman" w:eastAsia="Times New Roman" w:hAnsi="Times New Roman"/>
                <w:sz w:val="16"/>
                <w:szCs w:val="16"/>
                <w:color w:val="auto"/>
              </w:rPr>
              <w:t xml:space="preserve">Transfers into Level 3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900" w:type="dxa"/>
            <w:vAlign w:val="bottom"/>
            <w:gridSpan w:val="2"/>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140"/>
              <w:spacing w:after="0" w:line="216" w:lineRule="exact"/>
              <w:rPr>
                <w:sz w:val="20"/>
                <w:szCs w:val="20"/>
                <w:color w:val="auto"/>
              </w:rPr>
            </w:pPr>
            <w:r>
              <w:rPr>
                <w:rFonts w:ascii="Times New Roman" w:cs="Times New Roman" w:eastAsia="Times New Roman" w:hAnsi="Times New Roman"/>
                <w:sz w:val="16"/>
                <w:szCs w:val="16"/>
                <w:color w:val="auto"/>
              </w:rPr>
              <w:t xml:space="preserve">Transfers from Level 3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Sales and settlements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OCI</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Fair value adjustments included in earnings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12,840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Certain derivative assets were transferred between Level 2 and Level 3 of the fair value hierarchy due to a change in the assessment of significance of the CVA.</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excluding servicing rights which are detailed in</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69850</wp:posOffset>
            </wp:positionV>
            <wp:extent cx="2843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43530" cy="8255"/>
                    </a:xfrm>
                    <a:prstGeom prst="rect">
                      <a:avLst/>
                    </a:prstGeom>
                    <a:noFill/>
                  </pic:spPr>
                </pic:pic>
              </a:graphicData>
            </a:graphic>
          </wp:anchor>
        </w:drawing>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40" w:type="dxa"/>
            <w:vAlign w:val="bottom"/>
            <w:gridSpan w:val="2"/>
            <w:vMerge w:val="continue"/>
          </w:tcPr>
          <w:p>
            <w:pPr>
              <w:spacing w:after="0" w:line="20" w:lineRule="exact"/>
              <w:rPr>
                <w:sz w:val="1"/>
                <w:szCs w:val="1"/>
                <w:color w:val="auto"/>
              </w:rPr>
            </w:pPr>
          </w:p>
        </w:tc>
        <w:tc>
          <w:tcPr>
            <w:tcW w:w="2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1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00" w:type="dxa"/>
            <w:vAlign w:val="bottom"/>
            <w:gridSpan w:val="2"/>
            <w:vMerge w:val="continue"/>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7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Range</w:t>
            </w:r>
          </w:p>
        </w:tc>
        <w:tc>
          <w:tcPr>
            <w:tcW w:w="860" w:type="dxa"/>
            <w:vAlign w:val="bottom"/>
            <w:tcBorders>
              <w:top w:val="single" w:sz="8" w:color="auto"/>
            </w:tcBorders>
          </w:tcPr>
          <w:p>
            <w:pPr>
              <w:jc w:val="center"/>
              <w:ind w:right="21"/>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88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3"/>
            <w:vMerge w:val="continue"/>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0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26.5% - 100%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w w:val="96"/>
              </w:rPr>
              <w:t>90.7%</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45.9% - 100%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59"/>
        </w:trPr>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Derivative assets - customer</w:t>
            </w:r>
          </w:p>
        </w:tc>
        <w:tc>
          <w:tcPr>
            <w:tcW w:w="134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Internal model</w:t>
            </w:r>
          </w:p>
        </w:tc>
        <w:tc>
          <w:tcPr>
            <w:tcW w:w="27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Estimated loss rate</w:t>
            </w:r>
          </w:p>
        </w:tc>
        <w:tc>
          <w:tcPr>
            <w:tcW w:w="132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6"/>
                <w:szCs w:val="16"/>
                <w:color w:val="auto"/>
                <w:w w:val="94"/>
              </w:rPr>
              <w:t>N/A</w:t>
            </w: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33.4 - 44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19"/>
              <w:spacing w:after="0" w:line="159"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positions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0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Derivative assets &amp; liabilities -</w:t>
            </w:r>
          </w:p>
        </w:tc>
        <w:tc>
          <w:tcPr>
            <w:tcW w:w="13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Dealer priced</w:t>
            </w:r>
          </w:p>
        </w:tc>
        <w:tc>
          <w:tcPr>
            <w:tcW w:w="27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Dealer priced</w:t>
            </w:r>
          </w:p>
        </w:tc>
        <w:tc>
          <w:tcPr>
            <w:tcW w:w="1320" w:type="dxa"/>
            <w:vAlign w:val="bottom"/>
            <w:gridSpan w:val="3"/>
            <w:shd w:val="clear" w:color="auto" w:fill="CCEEFF"/>
          </w:tcPr>
          <w:p>
            <w:pPr>
              <w:jc w:val="center"/>
              <w:ind w:right="180"/>
              <w:spacing w:after="0" w:line="161" w:lineRule="exact"/>
              <w:rPr>
                <w:sz w:val="20"/>
                <w:szCs w:val="20"/>
                <w:color w:val="auto"/>
              </w:rPr>
            </w:pPr>
            <w:r>
              <w:rPr>
                <w:rFonts w:ascii="Times New Roman" w:cs="Times New Roman" w:eastAsia="Times New Roman" w:hAnsi="Times New Roman"/>
                <w:sz w:val="16"/>
                <w:szCs w:val="16"/>
                <w:color w:val="auto"/>
                <w:w w:val="94"/>
              </w:rPr>
              <w:t>N/A</w:t>
            </w:r>
          </w:p>
        </w:tc>
        <w:tc>
          <w:tcPr>
            <w:tcW w:w="980" w:type="dxa"/>
            <w:vAlign w:val="bottom"/>
            <w:gridSpan w:val="2"/>
            <w:shd w:val="clear" w:color="auto" w:fill="CCEEFF"/>
          </w:tcPr>
          <w:p>
            <w:pPr>
              <w:jc w:val="center"/>
              <w:ind w:right="220"/>
              <w:spacing w:after="0" w:line="161" w:lineRule="exact"/>
              <w:rPr>
                <w:sz w:val="20"/>
                <w:szCs w:val="20"/>
                <w:color w:val="auto"/>
              </w:rPr>
            </w:pPr>
            <w:r>
              <w:rPr>
                <w:rFonts w:ascii="Times New Roman" w:cs="Times New Roman" w:eastAsia="Times New Roman" w:hAnsi="Times New Roman"/>
                <w:sz w:val="16"/>
                <w:szCs w:val="16"/>
                <w:color w:val="auto"/>
              </w:rPr>
              <w:t>N/A</w:t>
            </w:r>
          </w:p>
        </w:tc>
        <w:tc>
          <w:tcPr>
            <w:tcW w:w="1300" w:type="dxa"/>
            <w:vAlign w:val="bottom"/>
            <w:gridSpan w:val="3"/>
            <w:shd w:val="clear" w:color="auto" w:fill="CCEEFF"/>
          </w:tcPr>
          <w:p>
            <w:pPr>
              <w:jc w:val="center"/>
              <w:ind w:right="180"/>
              <w:spacing w:after="0" w:line="161" w:lineRule="exact"/>
              <w:rPr>
                <w:sz w:val="20"/>
                <w:szCs w:val="20"/>
                <w:color w:val="auto"/>
              </w:rPr>
            </w:pPr>
            <w:r>
              <w:rPr>
                <w:rFonts w:ascii="Times New Roman" w:cs="Times New Roman" w:eastAsia="Times New Roman" w:hAnsi="Times New Roman"/>
                <w:sz w:val="16"/>
                <w:szCs w:val="16"/>
                <w:color w:val="auto"/>
              </w:rPr>
              <w:t>N/A</w:t>
            </w:r>
          </w:p>
        </w:tc>
        <w:tc>
          <w:tcPr>
            <w:tcW w:w="880" w:type="dxa"/>
            <w:vAlign w:val="bottom"/>
            <w:shd w:val="clear" w:color="auto" w:fill="CCEEFF"/>
          </w:tcPr>
          <w:p>
            <w:pPr>
              <w:jc w:val="center"/>
              <w:ind w:right="19"/>
              <w:spacing w:after="0" w:line="161" w:lineRule="exact"/>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212"/>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2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Discounted cash</w:t>
            </w:r>
          </w:p>
        </w:tc>
        <w:tc>
          <w:tcPr>
            <w:tcW w:w="27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Discount rate</w:t>
            </w:r>
          </w:p>
        </w:tc>
        <w:tc>
          <w:tcPr>
            <w:tcW w:w="1140" w:type="dxa"/>
            <w:vAlign w:val="bottom"/>
          </w:tcPr>
          <w:p>
            <w:pPr>
              <w:jc w:val="right"/>
              <w:ind w:right="221"/>
              <w:spacing w:after="0" w:line="172" w:lineRule="exact"/>
              <w:rPr>
                <w:sz w:val="20"/>
                <w:szCs w:val="20"/>
                <w:color w:val="auto"/>
              </w:rPr>
            </w:pPr>
            <w:r>
              <w:rPr>
                <w:rFonts w:ascii="Times New Roman" w:cs="Times New Roman" w:eastAsia="Times New Roman" w:hAnsi="Times New Roman"/>
                <w:sz w:val="16"/>
                <w:szCs w:val="16"/>
                <w:color w:val="auto"/>
              </w:rPr>
              <w:t>6.1 - 6.4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4"/>
                <w:szCs w:val="14"/>
                <w:color w:val="auto"/>
              </w:rPr>
            </w:pPr>
          </w:p>
        </w:tc>
        <w:tc>
          <w:tcPr>
            <w:tcW w:w="11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3.6 - 3.8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flow</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 xml:space="preserve">United generally records mortgage loans held for sale at fair value under the fair value option. Interest income on these loans is calculated based on the note rate of the loan and is recorded in interest revenue. In connection with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w w:val="98"/>
              </w:rPr>
              <w:t>Mortgage Loans Held for Sale</w:t>
            </w:r>
          </w:p>
        </w:tc>
        <w:tc>
          <w:tcPr>
            <w:tcW w:w="72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07"/>
        </w:trPr>
        <w:tc>
          <w:tcPr>
            <w:tcW w:w="46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right="6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2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05"/>
        </w:trPr>
        <w:tc>
          <w:tcPr>
            <w:tcW w:w="46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Borders>
              <w:bottom w:val="single" w:sz="8" w:color="auto"/>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r>
      <w:tr>
        <w:trPr>
          <w:trHeight w:val="206"/>
        </w:trPr>
        <w:tc>
          <w:tcPr>
            <w:tcW w:w="46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146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w:t>
            </w:r>
          </w:p>
        </w:tc>
        <w:tc>
          <w:tcPr>
            <w:tcW w:w="1500" w:type="dxa"/>
            <w:vAlign w:val="bottom"/>
            <w:shd w:val="clear" w:color="auto" w:fill="CCEEFF"/>
          </w:tcPr>
          <w:p>
            <w:pPr>
              <w:spacing w:after="0"/>
              <w:rPr>
                <w:sz w:val="17"/>
                <w:szCs w:val="17"/>
                <w:color w:val="auto"/>
              </w:rPr>
            </w:pPr>
          </w:p>
        </w:tc>
      </w:tr>
      <w:tr>
        <w:trPr>
          <w:trHeight w:val="208"/>
        </w:trPr>
        <w:tc>
          <w:tcPr>
            <w:tcW w:w="46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Fair value</w:t>
            </w:r>
          </w:p>
        </w:tc>
        <w:tc>
          <w:tcPr>
            <w:tcW w:w="1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15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continued</w:t>
      </w:r>
    </w:p>
    <w:p>
      <w:pPr>
        <w:spacing w:after="0" w:line="200" w:lineRule="exact"/>
        <w:rPr>
          <w:sz w:val="20"/>
          <w:szCs w:val="20"/>
          <w:color w:val="auto"/>
        </w:rPr>
      </w:pPr>
    </w:p>
    <w:p>
      <w:pPr>
        <w:spacing w:after="0" w:line="21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Amount of Gain (Loss) Recognized on</w:t>
      </w:r>
    </w:p>
    <w:p>
      <w:pPr>
        <w:ind w:left="648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1280" w:type="dxa"/>
            <w:vAlign w:val="bottom"/>
            <w:tcBorders>
              <w:bottom w:val="single" w:sz="8" w:color="CCEEFF"/>
            </w:tcBorders>
          </w:tcPr>
          <w:p>
            <w:pPr>
              <w:spacing w:after="0"/>
              <w:rPr>
                <w:sz w:val="18"/>
                <w:szCs w:val="18"/>
                <w:color w:val="auto"/>
              </w:rPr>
            </w:pPr>
          </w:p>
        </w:tc>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06"/>
        </w:trPr>
        <w:tc>
          <w:tcPr>
            <w:tcW w:w="1280" w:type="dxa"/>
            <w:vAlign w:val="bottom"/>
            <w:shd w:val="clear" w:color="auto" w:fill="CCEEFF"/>
          </w:tcPr>
          <w:p>
            <w:pPr>
              <w:spacing w:after="0"/>
              <w:rPr>
                <w:sz w:val="17"/>
                <w:szCs w:val="17"/>
                <w:color w:val="auto"/>
              </w:rPr>
            </w:pP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bl>
    <w:p>
      <w:pPr>
        <w:spacing w:after="0" w:line="31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lower of amortized cost or fair value accounting or write-downs of individual assets due to impairment.</w:t>
      </w:r>
    </w:p>
    <w:p>
      <w:pPr>
        <w:spacing w:after="0" w:line="210"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 presents the fair value hierarchy and carrying value of all assets that were still held as of December 31, 2022 and 2021, for which a nonrecurring fair value adjustment was recorded during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32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17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7,808</w:t>
            </w:r>
          </w:p>
        </w:tc>
        <w:tc>
          <w:tcPr>
            <w:tcW w:w="1780" w:type="dxa"/>
            <w:vAlign w:val="bottom"/>
            <w:tcBorders>
              <w:top w:val="single" w:sz="8" w:color="CCEEFF"/>
            </w:tcBorders>
            <w:shd w:val="clear" w:color="auto" w:fill="CCEEFF"/>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1,806</w:t>
            </w:r>
          </w:p>
        </w:tc>
        <w:tc>
          <w:tcPr>
            <w:tcW w:w="1780" w:type="dxa"/>
            <w:vAlign w:val="bottom"/>
          </w:tcPr>
          <w:p>
            <w:pPr>
              <w:spacing w:after="0"/>
              <w:rPr>
                <w:sz w:val="18"/>
                <w:szCs w:val="18"/>
                <w:color w:val="auto"/>
              </w:rPr>
            </w:pPr>
          </w:p>
        </w:tc>
      </w:tr>
      <w:tr>
        <w:trPr>
          <w:trHeight w:val="214"/>
        </w:trPr>
        <w:tc>
          <w:tcPr>
            <w:tcW w:w="17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174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06"/>
        </w:trPr>
        <w:tc>
          <w:tcPr>
            <w:tcW w:w="1740" w:type="dxa"/>
            <w:vAlign w:val="bottom"/>
            <w:shd w:val="clear" w:color="auto" w:fill="CCEEFF"/>
          </w:tcPr>
          <w:p>
            <w:pPr>
              <w:spacing w:after="0"/>
              <w:rPr>
                <w:sz w:val="17"/>
                <w:szCs w:val="17"/>
                <w:color w:val="auto"/>
              </w:rPr>
            </w:pPr>
          </w:p>
        </w:tc>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2,536</w:t>
            </w:r>
          </w:p>
        </w:tc>
        <w:tc>
          <w:tcPr>
            <w:tcW w:w="1780" w:type="dxa"/>
            <w:vAlign w:val="bottom"/>
            <w:shd w:val="clear" w:color="auto" w:fill="CCEEFF"/>
          </w:tcPr>
          <w:p>
            <w:pPr>
              <w:spacing w:after="0"/>
              <w:rPr>
                <w:sz w:val="17"/>
                <w:szCs w:val="17"/>
                <w:color w:val="auto"/>
              </w:rPr>
            </w:pP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Mortgage loans held for sale that were acquired from Reliant were subject to a nonrecurring fair value adjustment resulting from the application of the lower of the amortized cost or fair value accounting. As of December 31, 2022, these loans were classified as nonrecurring Level 3 because the valuation of these loans was based on indicative bids provided by a broker, not corroborated by market transactions.</w:t>
      </w:r>
    </w:p>
    <w:p>
      <w:pPr>
        <w:spacing w:after="0" w:line="204"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Loans held for investment that are reported above as being measured at fair value on a nonrecurring basis are generally impaired loans that have either been partially charged off or have been assigned a specific reserve. Nonaccrual loans that are collateral dependent are generally written down to net realizable value, which reflects fair values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is further impaired below the appraised value and there is no observable market price, United records the impaired loan as nonrecurring Level 3.</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1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continued</w:t>
      </w:r>
    </w:p>
    <w:p>
      <w:pPr>
        <w:spacing w:after="0" w:line="3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wealth management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carrying amount and fair values for other financial instruments that are not measured at fair value on a recurring basis in United’s consolidated balance sheets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2,173,656</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2,191,073</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14,609,239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14,609,239</w:t>
            </w:r>
          </w:p>
        </w:tc>
      </w:tr>
      <w:tr>
        <w:trPr>
          <w:trHeight w:val="212"/>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19,863,380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19,863,380</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549,913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549,913</w:t>
            </w: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313,380</w:t>
            </w:r>
          </w:p>
        </w:tc>
      </w:tr>
      <w:tr>
        <w:trPr>
          <w:trHeight w:val="214"/>
        </w:trPr>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r>
      <w:tr>
        <w:trPr>
          <w:trHeight w:val="20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11,607,821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r>
      <w:tr>
        <w:trPr>
          <w:trHeight w:val="212"/>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r>
      <w:tr>
        <w:trPr>
          <w:trHeight w:val="21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Common and Preferred Stock</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In November of 2022, United’s Board re-authorized its common stock repurchase program to permit the repurchase of up to $50 million of its common stock. The program is scheduled to expire on the earlier of United’s repurchase of its common stock having an aggregate purchase price of $50 million or December 31, 2023. Under the program, shares may be repurchased in open market transactions or in privately negotiated transactions, from time to time, subject to market conditions. During 2022, no shares were repurchased under the program. During 2021 and 2020, 492,744 and 826,482 shares were repurchased under the program, respectively. As of December 31, 2022, United had remaining authorization to repurchase up to $50.0 million of outstanding common stock under the program.</w:t>
      </w:r>
    </w:p>
    <w:p>
      <w:pPr>
        <w:spacing w:after="0" w:line="21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United sponsors a DRIP that allows participants who already own United’s common stock to purchase additional shares directly from the Company. The DRIP also allows participants to automatically reinvest their quarterly dividends in additional shares of common stock without a commission. In 2022, 2021 and 2020, 8,941, 10,081 and 38,107 shares, respectively, were issued under the DRIP.</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During 2020, United issued $100 million, or 4,000 shares, of Series I perpetual non-cumulative preferred stock (“Preferred Stock”) with a dividend rate of 6.875% per annum for net proceeds of $96.4 million and corresponding depositary shares each representing a 1/1,000th interest in one share of Preferred Stock. If declared, dividends are payable quarterly in arrears. The Preferred Stock has no stated maturity and redemption is solely at the option of United in whole, but not in part, upon the occurrence of a regulatory capital treatment event, as defined. In addition, the Preferred Stock may be redeemed on or after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Common and Preferred Stock, continued</w:t>
      </w:r>
    </w:p>
    <w:p>
      <w:pPr>
        <w:spacing w:after="0" w:line="32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September 15, 2025 at a cash redemption price equal to $25,000 per share (equivalent to $25 per depositary share) plus any declared and unpaid dividends. As of December 31, 2022 and 2021, the Preferred Stock had a carrying amount of $96.4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 Compensation Plans</w:t>
      </w:r>
    </w:p>
    <w:p>
      <w:pPr>
        <w:spacing w:after="0" w:line="24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stock-based compensation. The general terms of the plan include a vesting period (usually four years) with an exercisable period not to exceed ten years. Certain options and restricted stock unit awards provide for accelerated vesting if there is a change in control of United or certain other conditions are met (as defined in the plan document). As of December 31, 2022, 2.79 million additional awards could be granted under the plan.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units and options outstanding and activity for the years ended December 31 consisted of the following:</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420" w:type="dxa"/>
            <w:vAlign w:val="bottom"/>
            <w:tcBorders>
              <w:bottom w:val="single" w:sz="8" w:color="auto"/>
            </w:tcBorders>
            <w:gridSpan w:val="7"/>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20" w:type="dxa"/>
            <w:vAlign w:val="bottom"/>
          </w:tcPr>
          <w:p>
            <w:pPr>
              <w:spacing w:after="0"/>
              <w:rPr>
                <w:sz w:val="13"/>
                <w:szCs w:val="13"/>
                <w:color w:val="auto"/>
              </w:rPr>
            </w:pPr>
          </w:p>
        </w:tc>
        <w:tc>
          <w:tcPr>
            <w:tcW w:w="112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7"/>
              </w:rPr>
              <w:t>Grant Date</w:t>
            </w: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Intrinsic Value</w:t>
            </w: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Value (000’s)</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Term (Yrs.)</w:t>
            </w:r>
          </w:p>
        </w:tc>
        <w:tc>
          <w:tcPr>
            <w:tcW w:w="16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(000’s)</w:t>
            </w:r>
          </w:p>
        </w:tc>
        <w:tc>
          <w:tcPr>
            <w:tcW w:w="0" w:type="dxa"/>
            <w:vAlign w:val="bottom"/>
          </w:tcPr>
          <w:p>
            <w:pPr>
              <w:spacing w:after="0"/>
              <w:rPr>
                <w:sz w:val="1"/>
                <w:szCs w:val="1"/>
                <w:color w:val="auto"/>
              </w:rPr>
            </w:pPr>
          </w:p>
        </w:tc>
      </w:tr>
      <w:tr>
        <w:trPr>
          <w:trHeight w:val="20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 / Exercised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Vested / Exercisable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at December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Options granted in 2022 and 2021 were related to the Reliant and Aquesta acquisitions, respectively, with the weighted average exercise price of the acquired institution’s fully vested converted options determined pursuant to the purchase agreement. The value of the options was determined using a Black-Scholes model and was included in each acquisition’s purchase price. No compensation expense relating to options was included in earnings for 2022, 2021 or 2020.</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Compensation expense for restricted stock units without market conditions is based on the market value of United’s common stock on the date of grant.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United recognizes the impact of forfeitures as they occur. The value of restricted stock unit awards is amortized into expense over the service period.</w:t>
      </w:r>
    </w:p>
    <w:p>
      <w:pPr>
        <w:spacing w:after="0" w:line="19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addition to time-based restricted stock unit awards, the Board has also approved PSUs, which vest based on achieving certain performance and market targets relative to a bank peer group. Achievement of the base-level performance and market targets for all applicable periods will result in the issuance of 133,716 shares, which are included in the outstanding balance as of December 31, 2022 in the table above. Additional shares may be issued if more stringent performance and market hurdles are met. The grant date per share fair market value of PSUs is estimated using the Monte Carlo Simulation valuation model.</w:t>
      </w:r>
    </w:p>
    <w:p>
      <w:pPr>
        <w:spacing w:after="0" w:line="212"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Compensation expense recognized in the consolidated statements of income for employee restricted stock unit awards in 2022, 2021 and 2020 was $8.17 million, $6.07 million and $7.40 million, respectively, which was recognized in salaries and employee benefits expense. In addition, in 2022, 2021 and 2020, $540,000, $489,000 and $484,000, respectively, was recognized in other operating expenses for restricted stock unit awards granted to members of the Board. Deferred income tax benefits related to stock-based compensation expense of $2.22 million, $1.67 million and $2.01 million were included in the determination of income tax expense in 2022, 2021 and 2020, respectively. As of December 31, 2022, there was $17.2 million of unrecognized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 Compensation Plans, continued</w:t>
      </w:r>
    </w:p>
    <w:p>
      <w:pPr>
        <w:spacing w:after="0" w:line="3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compensation cost related to restricted stock units granted under the plan. The cost is expected to be recognized over a weighted-average period of 2.7 years.</w:t>
      </w:r>
    </w:p>
    <w:p>
      <w:pPr>
        <w:spacing w:after="0" w:line="1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Reclassifications Out of AOCI</w:t>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The following presents the details regarding amounts reclassified out of AOCI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Amounts shown above in parentheses reduce earnings.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386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Reclassified from AOCI For the Years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12"/>
        </w:trPr>
        <w:tc>
          <w:tcPr>
            <w:tcW w:w="3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Affected Line Item in the Statement Where Net</w:t>
            </w:r>
          </w:p>
        </w:tc>
      </w:tr>
      <w:tr>
        <w:trPr>
          <w:trHeight w:val="204"/>
        </w:trPr>
        <w:tc>
          <w:tcPr>
            <w:tcW w:w="3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7"/>
                <w:szCs w:val="17"/>
                <w:color w:val="auto"/>
              </w:rPr>
            </w:pPr>
          </w:p>
        </w:tc>
        <w:tc>
          <w:tcPr>
            <w:tcW w:w="3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Income is Presented</w:t>
            </w: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gains (losses) on AFS securities: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14"/>
        </w:trPr>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gains (losses), net</w:t>
            </w:r>
          </w:p>
        </w:tc>
      </w:tr>
      <w:tr>
        <w:trPr>
          <w:trHeight w:val="210"/>
        </w:trPr>
        <w:tc>
          <w:tcPr>
            <w:tcW w:w="3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r>
      <w:tr>
        <w:trPr>
          <w:trHeight w:val="232"/>
        </w:trPr>
        <w:tc>
          <w:tcPr>
            <w:tcW w:w="3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r>
        <w:trPr>
          <w:trHeight w:val="158"/>
        </w:trPr>
        <w:tc>
          <w:tcPr>
            <w:tcW w:w="3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212"/>
        </w:trPr>
        <w:tc>
          <w:tcPr>
            <w:tcW w:w="59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4"/>
        </w:trPr>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05"/>
        </w:trPr>
        <w:tc>
          <w:tcPr>
            <w:tcW w:w="33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178"/>
        </w:trPr>
        <w:tc>
          <w:tcPr>
            <w:tcW w:w="3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210"/>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Losses on derivative instruments accounted for as cash flow hedges: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0"/>
        </w:trPr>
        <w:tc>
          <w:tcPr>
            <w:tcW w:w="3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2"/>
        </w:trPr>
        <w:tc>
          <w:tcPr>
            <w:tcW w:w="3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r>
        <w:trPr>
          <w:trHeight w:val="158"/>
        </w:trPr>
        <w:tc>
          <w:tcPr>
            <w:tcW w:w="3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212"/>
        </w:trPr>
        <w:tc>
          <w:tcPr>
            <w:tcW w:w="59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10"/>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Prior service cost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Actuarial losses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03"/>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2"/>
        </w:trPr>
        <w:tc>
          <w:tcPr>
            <w:tcW w:w="3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07"/>
        </w:trPr>
        <w:tc>
          <w:tcPr>
            <w:tcW w:w="33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179"/>
        </w:trPr>
        <w:tc>
          <w:tcPr>
            <w:tcW w:w="3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244"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net income per common share for the years indicated </w:t>
      </w:r>
      <w:r>
        <w:rPr>
          <w:rFonts w:ascii="Times New Roman" w:cs="Times New Roman" w:eastAsia="Times New Roman" w:hAnsi="Times New Roman"/>
          <w:sz w:val="18"/>
          <w:szCs w:val="18"/>
          <w:i w:val="1"/>
          <w:iCs w:val="1"/>
          <w:color w:val="auto"/>
        </w:rPr>
        <w:t>(in thousands, except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164,089</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269,135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159,269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9"/>
        </w:trPr>
        <w:tc>
          <w:tcPr>
            <w:tcW w:w="63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income per common share: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r>
      <w:tr>
        <w:trPr>
          <w:trHeight w:val="21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83,184</w:t>
            </w: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r>
      <w:tr>
        <w:trPr>
          <w:trHeight w:val="232"/>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106,778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83,248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2022, 2021 and 2020, United had no potentially dilutive instruments outstanding that were not included in the above analysis.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Income tax expense is as follows for the years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7"/>
        </w:trPr>
        <w:tc>
          <w:tcPr>
            <w:tcW w:w="63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67,612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42,688</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10,918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2,668</w:t>
            </w:r>
          </w:p>
        </w:tc>
      </w:tr>
      <w:tr>
        <w:trPr>
          <w:trHeight w:val="232"/>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78,530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differences between the provision for income taxes and the amount computed by applying the statutory federal income tax rate of 21% in 2022, 2021 and 2020 to income before income taxes are as follows for the years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7"/>
        </w:trPr>
        <w:tc>
          <w:tcPr>
            <w:tcW w:w="6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on pretax income at statutory rates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43,983</w:t>
            </w: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 earnings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to reserve for uncertain tax positions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Tax-exempt interest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credit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 surrender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07"/>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77,962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45,356</w:t>
            </w: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3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following summarizes the sources and expected tax consequences of future taxable deductions (revenue) which comprise the net DTA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7"/>
        </w:trPr>
        <w:tc>
          <w:tcPr>
            <w:tcW w:w="7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DTAs: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24,349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16,656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11,011</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purchase accounting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4,227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Nonqualified share 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1,374</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7,936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pension actuarial losses and prior service cost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1,442</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AFS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5,808</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gains on SBA/USDA loan sales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2,217</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7,501</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2,780</w:t>
            </w:r>
          </w:p>
        </w:tc>
      </w:tr>
      <w:tr>
        <w:trPr>
          <w:trHeight w:val="203"/>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DTAs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85,301</w:t>
            </w:r>
          </w:p>
        </w:tc>
      </w:tr>
      <w:tr>
        <w:trPr>
          <w:trHeight w:val="19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DTLs: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gains on cash flow hedges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2,412</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origination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6,466</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True tax leases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5,984</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6,779</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1,309</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7,102</w:t>
            </w: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purchase accounting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2,644</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surrender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Trust preferred securities debt issuance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1,673</w:t>
            </w:r>
          </w:p>
        </w:tc>
      </w:tr>
      <w:tr>
        <w:trPr>
          <w:trHeight w:val="21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Uncertain tax positions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1,945</w:t>
            </w:r>
          </w:p>
        </w:tc>
      </w:tr>
      <w:tr>
        <w:trPr>
          <w:trHeight w:val="21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r>
      <w:tr>
        <w:trPr>
          <w:trHeight w:val="207"/>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DTLs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43,068</w:t>
            </w:r>
          </w:p>
        </w:tc>
      </w:tr>
      <w:tr>
        <w:trPr>
          <w:trHeight w:val="203"/>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911</w:t>
            </w:r>
          </w:p>
        </w:tc>
      </w:tr>
      <w:tr>
        <w:trPr>
          <w:trHeight w:val="232"/>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DTA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the net DTA in 2022 includes an increase of $5.74 million due to current year merger and acquisition activity.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2022, United had:</w:t>
      </w:r>
    </w:p>
    <w:p>
      <w:pPr>
        <w:spacing w:after="0" w:line="230" w:lineRule="exact"/>
        <w:rPr>
          <w:sz w:val="20"/>
          <w:szCs w:val="20"/>
          <w:color w:val="auto"/>
        </w:rPr>
      </w:pPr>
    </w:p>
    <w:p>
      <w:pPr>
        <w:ind w:left="960" w:right="360" w:hanging="318"/>
        <w:spacing w:after="0" w:line="234"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of state net operating loss carryforwards subject to annual limitation under IRC Section 382 that begin to expire in 2026, if not previously utilized.</w:t>
      </w:r>
    </w:p>
    <w:p>
      <w:pPr>
        <w:spacing w:after="0" w:line="179"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million of state net operating loss carryforwards that begin to expire in 2025, if not previously utilized.</w:t>
      </w:r>
    </w:p>
    <w:p>
      <w:pPr>
        <w:spacing w:after="0" w:line="217" w:lineRule="exact"/>
        <w:rPr>
          <w:rFonts w:ascii="Times New Roman" w:cs="Times New Roman" w:eastAsia="Times New Roman" w:hAnsi="Times New Roman"/>
          <w:sz w:val="18"/>
          <w:szCs w:val="18"/>
          <w:color w:val="auto"/>
        </w:rPr>
      </w:pPr>
    </w:p>
    <w:p>
      <w:pPr>
        <w:ind w:left="960" w:right="200" w:hanging="318"/>
        <w:spacing w:after="0" w:line="234"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 million in federal net operating loss carryforwards subject to annual limitation under IRC Section 382 that begin to expire in 2027, if not previously utilized.</w:t>
      </w:r>
    </w:p>
    <w:p>
      <w:pPr>
        <w:spacing w:after="0" w:line="179"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 million of state tax credits that begin to expire in 2023, if not previously utilized.</w:t>
      </w:r>
    </w:p>
    <w:p>
      <w:pPr>
        <w:spacing w:after="0" w:line="20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Management assesses the valuation allowance recorded against DTAs at each reporting period. The determination of whether a valuation allowance for DTAs is appropriate is subject to considerable judgment and requires an evaluation of all the positive and negative evidence. ASC 740 requires that companies assess whether a valuation allowance should be established against their DTAs based on the consideration of all available evidence using a “more likely than not” standard.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3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At December 31, 2022 and 2021, based on the assessment of all the positive and negative evidence, management concluded that it is more likely than not that nearly all of the net DTA will be realized based upon future taxable income. The valuation allowance of $922,000 and $911,000, respectively, was related to specific state income tax credits that have short carryforward periods and certain acquired state net operating losses, both of which are expected to expire unused.</w:t>
      </w:r>
    </w:p>
    <w:p>
      <w:pPr>
        <w:spacing w:after="0" w:line="2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December 31, 2022 that it was more likely than not that the net DTA of $129.3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net DTA.</w:t>
      </w:r>
    </w:p>
    <w:p>
      <w:pPr>
        <w:spacing w:after="0" w:line="210"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8"/>
          <w:szCs w:val="18"/>
          <w:color w:val="auto"/>
        </w:rPr>
        <w:t xml:space="preserve">A reconciliation of the beginning and ending unrecognized tax benefit related to uncertain tax positions is as follows for the years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Decreases resulting from a lapse in the applicable statute of limitations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0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2,163</w:t>
            </w:r>
          </w:p>
        </w:tc>
      </w:tr>
      <w:tr>
        <w:trPr>
          <w:trHeight w:val="20"/>
        </w:trPr>
        <w:tc>
          <w:tcPr>
            <w:tcW w:w="6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Approximately $2.25 million of the unrecognized tax benefit at December 31, 2022 would increase income from continuing operations, and thus affect United’s effective tax rate, if ultimately recognized into income.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2022, 2021 or 2020. No amounts were accrued for interest and penalties on the balance sheet at December 31, 2022 or 2021.</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and its subsidiaries file a consolidated U.S. federal income tax return, as well as various state returns in the states where it operates. United’s federal and state income tax returns are no longer subject to examination by taxing authorities for years before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Benefit Plans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Benefit Plans</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401(k) Plan</w:t>
      </w:r>
    </w:p>
    <w:p>
      <w:pPr>
        <w:jc w:val="both"/>
        <w:ind w:left="320"/>
        <w:spacing w:after="0" w:line="255" w:lineRule="auto"/>
        <w:rPr>
          <w:sz w:val="20"/>
          <w:szCs w:val="20"/>
          <w:color w:val="auto"/>
        </w:rPr>
      </w:pPr>
      <w:r>
        <w:rPr>
          <w:rFonts w:ascii="Times New Roman" w:cs="Times New Roman" w:eastAsia="Times New Roman" w:hAnsi="Times New Roman"/>
          <w:sz w:val="17"/>
          <w:szCs w:val="17"/>
          <w:color w:val="auto"/>
        </w:rPr>
        <w:t>United offers a defined contribution safe harbor 401(k) plan (the “401(k) Plan”) that covers substantially all employees meeting certain minimum service requirements. The 401(k) Plan allows employees to make pre-tax contributions to the 401(k) Plan and United matches 100% of employee contributions up to 5% of eligible compensation. Employees begin to receive matching contributions after completing 90 days of service. Under safe harbor provisions, United is required to provide a matching contribution and participants are immediately 100% vested in safe harbor matching contributions.</w:t>
      </w:r>
    </w:p>
    <w:p>
      <w:pPr>
        <w:spacing w:after="0" w:line="209" w:lineRule="exact"/>
        <w:rPr>
          <w:sz w:val="20"/>
          <w:szCs w:val="20"/>
          <w:color w:val="auto"/>
        </w:rPr>
      </w:pPr>
    </w:p>
    <w:p>
      <w:pPr>
        <w:ind w:left="320" w:right="160"/>
        <w:spacing w:after="0" w:line="258" w:lineRule="auto"/>
        <w:rPr>
          <w:sz w:val="20"/>
          <w:szCs w:val="20"/>
          <w:color w:val="auto"/>
        </w:rPr>
      </w:pPr>
      <w:r>
        <w:rPr>
          <w:rFonts w:ascii="Times New Roman" w:cs="Times New Roman" w:eastAsia="Times New Roman" w:hAnsi="Times New Roman"/>
          <w:sz w:val="18"/>
          <w:szCs w:val="18"/>
          <w:color w:val="auto"/>
        </w:rPr>
        <w:t>United’s 401(k) Plan is administered in accordance with applicable laws and regulations. Compensation expense related to the 401(k) Plan totaled $9.60 million, $7.31 million and $6.16 million in 2022, 2021 and 2020, respectively.</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also sponsors a non-qualified deferred compensation plan for its executive officers, certain other key employees and members of the Board and its community banks’ advisory boards of directors. The deferred compensation plan provides for the pre-tax deferral of compensation, fees and other specified benefits. Specifically, the deferred compensation plan permits each employee participant to elect to defer a portion of base salary, bonus or vested restricted stock units and permits each eligible director participant to elect to defer all or a portion of director’s fees. Further, the deferred compensation plan allows for additional contributions by an employee, with matching contributions by United, for amounts that exceed the allowable amounts under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Benefit Plans, continued</w:t>
      </w:r>
    </w:p>
    <w:p>
      <w:pPr>
        <w:spacing w:after="0" w:line="3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2022, 2021 and 2020, United recognized $104,000, $73,000 and $49,000, respectively, in matching contributions for this provision of the deferred compensation plan. The Board may also elect to make a discretionary contribution to any or all participants. No discretionary contributions were made in 2022, 2021 or 2020.</w:t>
      </w:r>
    </w:p>
    <w:p>
      <w:pPr>
        <w:spacing w:after="0" w:line="204"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addition to common stock related to elected deferrals of vested restricted stock units, United offers its common stock as an investment option for cash contributions to the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At December 31, 2022 and 2021, United had 607,128 shares and 595,705 shares, respectively, of its common stock that were issuable under the deferred compensation plan.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Defined Benefit Pension Plan</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United has an unfunded noncontributory defined benefit pension plan, or the Modified Retirement Plan, that covers certain executive officers and other key employees. The Modified Retirement Plan provides a fixed annual retirement benefit to plan participants.</w:t>
      </w:r>
    </w:p>
    <w:p>
      <w:pPr>
        <w:spacing w:after="0" w:line="18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Weighted-average assumptions used to determine the pension benefit obligation of the Modified Retirement Plan at year end and net periodic pension cost are shown in the table below:</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40" w:type="dxa"/>
            <w:vAlign w:val="bottom"/>
            <w:tcBorders>
              <w:bottom w:val="single" w:sz="8" w:color="CCEEFF"/>
            </w:tcBorders>
          </w:tcPr>
          <w:p>
            <w:pPr>
              <w:spacing w:after="0"/>
              <w:rPr>
                <w:sz w:val="18"/>
                <w:szCs w:val="18"/>
                <w:color w:val="auto"/>
              </w:rPr>
            </w:pPr>
          </w:p>
        </w:tc>
      </w:tr>
      <w:tr>
        <w:trPr>
          <w:trHeight w:val="208"/>
        </w:trPr>
        <w:tc>
          <w:tcPr>
            <w:tcW w:w="62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Discount rate for disclosures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640" w:type="dxa"/>
            <w:vAlign w:val="bottom"/>
            <w:shd w:val="clear" w:color="auto" w:fill="CCEEFF"/>
          </w:tcPr>
          <w:p>
            <w:pPr>
              <w:spacing w:after="0"/>
              <w:rPr>
                <w:sz w:val="18"/>
                <w:szCs w:val="18"/>
                <w:color w:val="auto"/>
              </w:rPr>
            </w:pPr>
          </w:p>
        </w:tc>
      </w:tr>
      <w:tr>
        <w:trPr>
          <w:trHeight w:val="210"/>
        </w:trPr>
        <w:tc>
          <w:tcPr>
            <w:tcW w:w="62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Discount rate for net periodic benefit cost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640" w:type="dxa"/>
            <w:vAlign w:val="bottom"/>
          </w:tcPr>
          <w:p>
            <w:pPr>
              <w:spacing w:after="0"/>
              <w:rPr>
                <w:sz w:val="18"/>
                <w:szCs w:val="18"/>
                <w:color w:val="auto"/>
              </w:rPr>
            </w:pPr>
          </w:p>
        </w:tc>
      </w:tr>
      <w:tr>
        <w:trPr>
          <w:trHeight w:val="214"/>
        </w:trPr>
        <w:tc>
          <w:tcPr>
            <w:tcW w:w="62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Measurement date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12/31/2021</w:t>
            </w:r>
          </w:p>
        </w:tc>
        <w:tc>
          <w:tcPr>
            <w:tcW w:w="1640" w:type="dxa"/>
            <w:vAlign w:val="bottom"/>
            <w:shd w:val="clear" w:color="auto" w:fill="CCEEFF"/>
          </w:tcPr>
          <w:p>
            <w:pPr>
              <w:spacing w:after="0"/>
              <w:rPr>
                <w:sz w:val="18"/>
                <w:szCs w:val="18"/>
                <w:color w:val="auto"/>
              </w:rPr>
            </w:pPr>
          </w:p>
        </w:tc>
      </w:tr>
    </w:tbl>
    <w:p>
      <w:pPr>
        <w:spacing w:after="0" w:line="27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w:t>
      </w:r>
    </w:p>
    <w:p>
      <w:pPr>
        <w:spacing w:after="0" w:line="20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 xml:space="preserve">United recognizes the unfunded status of the Modified Retirement Plan as a liability in the consolidated balance sheets. Information about changes in obligations and plan assets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60" w:type="dxa"/>
            <w:vAlign w:val="bottom"/>
            <w:tcBorders>
              <w:bottom w:val="single" w:sz="8" w:color="CCEEFF"/>
            </w:tcBorders>
          </w:tcPr>
          <w:p>
            <w:pPr>
              <w:spacing w:after="0"/>
              <w:rPr>
                <w:sz w:val="18"/>
                <w:szCs w:val="18"/>
                <w:color w:val="auto"/>
              </w:rPr>
            </w:pPr>
          </w:p>
        </w:tc>
      </w:tr>
      <w:tr>
        <w:trPr>
          <w:trHeight w:val="208"/>
        </w:trPr>
        <w:tc>
          <w:tcPr>
            <w:tcW w:w="65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Accumulated benefit obligation - beginning of year</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26,261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27,099</w:t>
            </w:r>
          </w:p>
        </w:tc>
        <w:tc>
          <w:tcPr>
            <w:tcW w:w="1260" w:type="dxa"/>
            <w:vAlign w:val="bottom"/>
          </w:tcPr>
          <w:p>
            <w:pPr>
              <w:spacing w:after="0"/>
              <w:rPr>
                <w:sz w:val="18"/>
                <w:szCs w:val="18"/>
                <w:color w:val="auto"/>
              </w:rPr>
            </w:pP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Service cost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Interest cost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60" w:type="dxa"/>
            <w:vAlign w:val="bottom"/>
          </w:tcPr>
          <w:p>
            <w:pPr>
              <w:spacing w:after="0"/>
              <w:rPr>
                <w:sz w:val="18"/>
                <w:szCs w:val="18"/>
                <w:color w:val="auto"/>
              </w:rPr>
            </w:pP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Actuarial gains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138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60" w:type="dxa"/>
            <w:vAlign w:val="bottom"/>
            <w:tcBorders>
              <w:bottom w:val="single" w:sz="8" w:color="CCEEFF"/>
            </w:tcBorders>
          </w:tcPr>
          <w:p>
            <w:pPr>
              <w:spacing w:after="0"/>
              <w:rPr>
                <w:sz w:val="18"/>
                <w:szCs w:val="18"/>
                <w:color w:val="auto"/>
              </w:rPr>
            </w:pPr>
          </w:p>
        </w:tc>
      </w:tr>
      <w:tr>
        <w:trPr>
          <w:trHeight w:val="207"/>
        </w:trPr>
        <w:tc>
          <w:tcPr>
            <w:tcW w:w="6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Accumulated benefit obligation - end of year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26,261</w:t>
            </w:r>
          </w:p>
        </w:tc>
        <w:tc>
          <w:tcPr>
            <w:tcW w:w="1260" w:type="dxa"/>
            <w:vAlign w:val="bottom"/>
            <w:shd w:val="clear" w:color="auto" w:fill="CCEEFF"/>
          </w:tcPr>
          <w:p>
            <w:pPr>
              <w:spacing w:after="0"/>
              <w:rPr>
                <w:sz w:val="18"/>
                <w:szCs w:val="18"/>
                <w:color w:val="auto"/>
              </w:rPr>
            </w:pPr>
          </w:p>
        </w:tc>
      </w:tr>
      <w:tr>
        <w:trPr>
          <w:trHeight w:val="191"/>
        </w:trPr>
        <w:tc>
          <w:tcPr>
            <w:tcW w:w="65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Change in plan assets, at fair value: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3"/>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Beginning plan assets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3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Actual return</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280" w:type="dxa"/>
            <w:vAlign w:val="bottom"/>
            <w:gridSpan w:val="2"/>
          </w:tcPr>
          <w:p>
            <w:pPr>
              <w:jc w:val="right"/>
              <w:ind w:right="13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5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Employer contribution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60" w:type="dxa"/>
            <w:vAlign w:val="bottom"/>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138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60" w:type="dxa"/>
            <w:vAlign w:val="bottom"/>
            <w:tcBorders>
              <w:bottom w:val="single" w:sz="8" w:color="CCEEFF"/>
            </w:tcBorders>
          </w:tcPr>
          <w:p>
            <w:pPr>
              <w:spacing w:after="0"/>
              <w:rPr>
                <w:sz w:val="18"/>
                <w:szCs w:val="18"/>
                <w:color w:val="auto"/>
              </w:rPr>
            </w:pPr>
          </w:p>
        </w:tc>
      </w:tr>
      <w:tr>
        <w:trPr>
          <w:trHeight w:val="205"/>
        </w:trPr>
        <w:tc>
          <w:tcPr>
            <w:tcW w:w="6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Plan assets - end of year</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7"/>
                <w:szCs w:val="17"/>
                <w:color w:val="auto"/>
              </w:rPr>
            </w:pPr>
          </w:p>
        </w:tc>
      </w:tr>
      <w:tr>
        <w:trPr>
          <w:trHeight w:val="207"/>
        </w:trPr>
        <w:tc>
          <w:tcPr>
            <w:tcW w:w="654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Funded status - end of year (plan assets less benefit obligations)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(26,261)</w:t>
            </w:r>
          </w:p>
        </w:tc>
        <w:tc>
          <w:tcPr>
            <w:tcW w:w="12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Benefit Plans, continued</w:t>
      </w:r>
    </w:p>
    <w:p>
      <w:pPr>
        <w:spacing w:after="0" w:line="37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 xml:space="preserve">Components of net periodic benefit cost and other amounts recognized in other comprehensive income related to the Modified Retirement Plan are as follows </w:t>
      </w:r>
      <w:r>
        <w:rPr>
          <w:rFonts w:ascii="Times New Roman" w:cs="Times New Roman" w:eastAsia="Times New Roman" w:hAnsi="Times New Roman"/>
          <w:sz w:val="18"/>
          <w:szCs w:val="18"/>
          <w:i w:val="1"/>
          <w:iCs w:val="1"/>
          <w:color w:val="auto"/>
        </w:rPr>
        <w:t>(in thousands):</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6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700" w:type="dxa"/>
            <w:vAlign w:val="bottom"/>
            <w:tcBorders>
              <w:bottom w:val="single" w:sz="8" w:color="CCEEFF"/>
            </w:tcBorders>
          </w:tcPr>
          <w:p>
            <w:pPr>
              <w:spacing w:after="0"/>
              <w:rPr>
                <w:sz w:val="18"/>
                <w:szCs w:val="18"/>
                <w:color w:val="auto"/>
              </w:rPr>
            </w:pPr>
          </w:p>
        </w:tc>
      </w:tr>
      <w:tr>
        <w:trPr>
          <w:trHeight w:val="208"/>
        </w:trPr>
        <w:tc>
          <w:tcPr>
            <w:tcW w:w="46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w:t>
            </w:r>
          </w:p>
        </w:tc>
        <w:tc>
          <w:tcPr>
            <w:tcW w:w="1700" w:type="dxa"/>
            <w:vAlign w:val="bottom"/>
            <w:shd w:val="clear" w:color="auto" w:fill="CCEEFF"/>
          </w:tcPr>
          <w:p>
            <w:pPr>
              <w:spacing w:after="0"/>
              <w:rPr>
                <w:sz w:val="18"/>
                <w:szCs w:val="18"/>
                <w:color w:val="auto"/>
              </w:rPr>
            </w:pPr>
          </w:p>
        </w:tc>
      </w:tr>
      <w:tr>
        <w:trPr>
          <w:trHeight w:val="210"/>
        </w:trPr>
        <w:tc>
          <w:tcPr>
            <w:tcW w:w="46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795</w:t>
            </w:r>
          </w:p>
        </w:tc>
        <w:tc>
          <w:tcPr>
            <w:tcW w:w="1700" w:type="dxa"/>
            <w:vAlign w:val="bottom"/>
          </w:tcPr>
          <w:p>
            <w:pPr>
              <w:spacing w:after="0"/>
              <w:rPr>
                <w:sz w:val="18"/>
                <w:szCs w:val="18"/>
                <w:color w:val="auto"/>
              </w:rPr>
            </w:pPr>
          </w:p>
        </w:tc>
      </w:tr>
      <w:tr>
        <w:trPr>
          <w:trHeight w:val="214"/>
        </w:trPr>
        <w:tc>
          <w:tcPr>
            <w:tcW w:w="46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1700" w:type="dxa"/>
            <w:vAlign w:val="bottom"/>
            <w:shd w:val="clear" w:color="auto" w:fill="CCEEFF"/>
          </w:tcPr>
          <w:p>
            <w:pPr>
              <w:spacing w:after="0"/>
              <w:rPr>
                <w:sz w:val="18"/>
                <w:szCs w:val="18"/>
                <w:color w:val="auto"/>
              </w:rPr>
            </w:pPr>
          </w:p>
        </w:tc>
      </w:tr>
      <w:tr>
        <w:trPr>
          <w:trHeight w:val="210"/>
        </w:trPr>
        <w:tc>
          <w:tcPr>
            <w:tcW w:w="4660" w:type="dxa"/>
            <w:vAlign w:val="bottom"/>
            <w:tcBorders>
              <w:bottom w:val="single" w:sz="8" w:color="CCEEFF"/>
            </w:tcBorders>
          </w:tcPr>
          <w:p>
            <w:pPr>
              <w:ind w:left="170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w:t>
            </w:r>
          </w:p>
        </w:tc>
        <w:tc>
          <w:tcPr>
            <w:tcW w:w="1700" w:type="dxa"/>
            <w:vAlign w:val="bottom"/>
            <w:tcBorders>
              <w:bottom w:val="single" w:sz="8" w:color="CCEEFF"/>
            </w:tcBorders>
          </w:tcPr>
          <w:p>
            <w:pPr>
              <w:spacing w:after="0"/>
              <w:rPr>
                <w:sz w:val="18"/>
                <w:szCs w:val="18"/>
                <w:color w:val="auto"/>
              </w:rPr>
            </w:pPr>
          </w:p>
        </w:tc>
      </w:tr>
      <w:tr>
        <w:trPr>
          <w:trHeight w:val="232"/>
        </w:trPr>
        <w:tc>
          <w:tcPr>
            <w:tcW w:w="466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2,050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2,240</w:t>
            </w:r>
          </w:p>
        </w:tc>
        <w:tc>
          <w:tcPr>
            <w:tcW w:w="1700" w:type="dxa"/>
            <w:vAlign w:val="bottom"/>
            <w:tcBorders>
              <w:bottom w:val="single" w:sz="8" w:color="CCEEFF"/>
            </w:tcBorders>
            <w:shd w:val="clear" w:color="auto" w:fill="CCEEFF"/>
          </w:tcPr>
          <w:p>
            <w:pPr>
              <w:spacing w:after="0"/>
              <w:rPr>
                <w:sz w:val="19"/>
                <w:szCs w:val="19"/>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 summarizes the estimated future benefit payments expected to be paid from the Modified Retirement Plan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2023</w:t>
            </w:r>
          </w:p>
        </w:tc>
        <w:tc>
          <w:tcPr>
            <w:tcW w:w="150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1,192</w:t>
            </w:r>
          </w:p>
        </w:tc>
      </w:tr>
      <w:tr>
        <w:trPr>
          <w:trHeight w:val="210"/>
        </w:trPr>
        <w:tc>
          <w:tcPr>
            <w:tcW w:w="49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2024</w:t>
            </w:r>
          </w:p>
        </w:tc>
        <w:tc>
          <w:tcPr>
            <w:tcW w:w="1500" w:type="dxa"/>
            <w:vAlign w:val="bottom"/>
          </w:tcPr>
          <w:p>
            <w:pPr>
              <w:spacing w:after="0"/>
              <w:rPr>
                <w:sz w:val="18"/>
                <w:szCs w:val="18"/>
                <w:color w:val="auto"/>
              </w:rPr>
            </w:pP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1,186</w:t>
            </w:r>
          </w:p>
        </w:tc>
      </w:tr>
      <w:tr>
        <w:trPr>
          <w:trHeight w:val="214"/>
        </w:trPr>
        <w:tc>
          <w:tcPr>
            <w:tcW w:w="49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2025</w:t>
            </w:r>
          </w:p>
        </w:tc>
        <w:tc>
          <w:tcPr>
            <w:tcW w:w="150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1,199</w:t>
            </w:r>
          </w:p>
        </w:tc>
      </w:tr>
      <w:tr>
        <w:trPr>
          <w:trHeight w:val="210"/>
        </w:trPr>
        <w:tc>
          <w:tcPr>
            <w:tcW w:w="49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2026</w:t>
            </w:r>
          </w:p>
        </w:tc>
        <w:tc>
          <w:tcPr>
            <w:tcW w:w="1500" w:type="dxa"/>
            <w:vAlign w:val="bottom"/>
          </w:tcPr>
          <w:p>
            <w:pPr>
              <w:spacing w:after="0"/>
              <w:rPr>
                <w:sz w:val="18"/>
                <w:szCs w:val="18"/>
                <w:color w:val="auto"/>
              </w:rPr>
            </w:pP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1,220</w:t>
            </w:r>
          </w:p>
        </w:tc>
      </w:tr>
      <w:tr>
        <w:trPr>
          <w:trHeight w:val="214"/>
        </w:trPr>
        <w:tc>
          <w:tcPr>
            <w:tcW w:w="490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2027</w:t>
            </w:r>
          </w:p>
        </w:tc>
        <w:tc>
          <w:tcPr>
            <w:tcW w:w="150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241"/>
              <w:spacing w:after="0"/>
              <w:rPr>
                <w:sz w:val="20"/>
                <w:szCs w:val="20"/>
                <w:color w:val="auto"/>
              </w:rPr>
            </w:pPr>
            <w:r>
              <w:rPr>
                <w:rFonts w:ascii="Times New Roman" w:cs="Times New Roman" w:eastAsia="Times New Roman" w:hAnsi="Times New Roman"/>
                <w:sz w:val="16"/>
                <w:szCs w:val="16"/>
                <w:color w:val="auto"/>
              </w:rPr>
              <w:t>1,510</w:t>
            </w:r>
          </w:p>
        </w:tc>
      </w:tr>
      <w:tr>
        <w:trPr>
          <w:trHeight w:val="208"/>
        </w:trPr>
        <w:tc>
          <w:tcPr>
            <w:tcW w:w="49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2028-2032</w:t>
            </w:r>
          </w:p>
        </w:tc>
        <w:tc>
          <w:tcPr>
            <w:tcW w:w="1500" w:type="dxa"/>
            <w:vAlign w:val="bottom"/>
          </w:tcPr>
          <w:p>
            <w:pPr>
              <w:spacing w:after="0"/>
              <w:rPr>
                <w:sz w:val="18"/>
                <w:szCs w:val="18"/>
                <w:color w:val="auto"/>
              </w:rPr>
            </w:pPr>
          </w:p>
        </w:tc>
        <w:tc>
          <w:tcPr>
            <w:tcW w:w="4140" w:type="dxa"/>
            <w:vAlign w:val="bottom"/>
          </w:tcPr>
          <w:p>
            <w:pPr>
              <w:jc w:val="right"/>
              <w:ind w:right="3241"/>
              <w:spacing w:after="0"/>
              <w:rPr>
                <w:sz w:val="20"/>
                <w:szCs w:val="20"/>
                <w:color w:val="auto"/>
              </w:rPr>
            </w:pPr>
            <w:r>
              <w:rPr>
                <w:rFonts w:ascii="Times New Roman" w:cs="Times New Roman" w:eastAsia="Times New Roman" w:hAnsi="Times New Roman"/>
                <w:sz w:val="16"/>
                <w:szCs w:val="16"/>
                <w:color w:val="auto"/>
              </w:rPr>
              <w:t>8,644</w:t>
            </w:r>
          </w:p>
        </w:tc>
      </w:tr>
    </w:tbl>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Other United sponsored benefit plans</w:t>
      </w:r>
    </w:p>
    <w:p>
      <w:pPr>
        <w:spacing w:after="0" w:line="26"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United's Employee Stock Purchase Program (“ESPP”), which was terminated during 2021, allowed eligible employees to purchase shares of common stock at a discount (10%), with no commission charges. During 2021 and 2020, United issued 6,676 shares and 34,423 shares, respectively, through the ESPP.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Regulatory Matters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Capital Requirements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United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CET1 to RWAs, and of Tier 1 capital to average assets.</w:t>
      </w:r>
    </w:p>
    <w:p>
      <w:pPr>
        <w:spacing w:after="0" w:line="21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and the Bank are also subject to a “capital conservation buffer,” which is designed to absorb losses during periods of economic stress. Banking organizations with a ratio of CET1 to RWAs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20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As of December 31, 2022, United and the Bank were categorized as well-capitalized under the regulatory framework for prompt corrective action in effect at such time. To be categorized as well-capitalized, United and the Bank must have exceeded the well-capitalized guideline ratios in effect at such time, as set forth in the table below, and have met certain other requirements. Management believes that United and the Bank exceeded all well-capitalized requirements at December 31, 2022, and there have been no conditions or events since year-end that would change the status of well-capitalized.</w:t>
      </w:r>
    </w:p>
    <w:p>
      <w:pPr>
        <w:spacing w:after="0" w:line="21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has adopted relief provided by federal banking regulatory agencies for the delay of the adverse capital impact of CECL. This optional two-year delay, which ended December 31, 2021,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Regulatory Matters, continued</w:t>
      </w:r>
    </w:p>
    <w:p>
      <w:pPr>
        <w:spacing w:after="0" w:line="35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 xml:space="preserve">Regulatory capital ratios at December 31, 2022 and 2021, along with the minimum amounts required for capital adequacy purposes and to be well-capitalized under prompt corrective action provisions in effect at such times are presented below for 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7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54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Basel III Guidelines</w:t>
            </w:r>
          </w:p>
        </w:tc>
        <w:tc>
          <w:tcPr>
            <w:tcW w:w="240" w:type="dxa"/>
            <w:vAlign w:val="bottom"/>
          </w:tcPr>
          <w:p>
            <w:pPr>
              <w:spacing w:after="0"/>
              <w:rPr>
                <w:sz w:val="16"/>
                <w:szCs w:val="16"/>
                <w:color w:val="auto"/>
              </w:rPr>
            </w:pPr>
          </w:p>
        </w:tc>
        <w:tc>
          <w:tcPr>
            <w:tcW w:w="27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United Community Banks, Inc.</w:t>
            </w:r>
          </w:p>
        </w:tc>
        <w:tc>
          <w:tcPr>
            <w:tcW w:w="280" w:type="dxa"/>
            <w:vAlign w:val="bottom"/>
          </w:tcPr>
          <w:p>
            <w:pPr>
              <w:spacing w:after="0"/>
              <w:rPr>
                <w:sz w:val="16"/>
                <w:szCs w:val="16"/>
                <w:color w:val="auto"/>
              </w:rPr>
            </w:pPr>
          </w:p>
        </w:tc>
        <w:tc>
          <w:tcPr>
            <w:tcW w:w="2640" w:type="dxa"/>
            <w:vAlign w:val="bottom"/>
            <w:gridSpan w:val="4"/>
            <w:vMerge w:val="restart"/>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2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0"/>
                <w:szCs w:val="20"/>
                <w:b w:val="1"/>
                <w:bCs w:val="1"/>
                <w:color w:val="auto"/>
                <w:vertAlign w:val="superscript"/>
              </w:rPr>
              <w:t>(1)</w:t>
            </w:r>
          </w:p>
        </w:tc>
        <w:tc>
          <w:tcPr>
            <w:tcW w:w="118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Well</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0"/>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2,164,211</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1,688,176</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2,255,337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2,260,633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1,784,598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2,255,337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2,610,216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1,984,376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2,408,895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1,818,335</w:t>
            </w:r>
          </w:p>
        </w:tc>
        <w:tc>
          <w:tcPr>
            <w:tcW w:w="0" w:type="dxa"/>
            <w:vAlign w:val="bottom"/>
          </w:tcPr>
          <w:p>
            <w:pPr>
              <w:spacing w:after="0"/>
              <w:rPr>
                <w:sz w:val="1"/>
                <w:szCs w:val="1"/>
                <w:color w:val="auto"/>
              </w:rPr>
            </w:pPr>
          </w:p>
        </w:tc>
      </w:tr>
      <w:tr>
        <w:trPr>
          <w:trHeight w:val="21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RWAs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17,648,573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13,548,534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17,583,347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13,512,405</w:t>
            </w:r>
          </w:p>
        </w:tc>
        <w:tc>
          <w:tcPr>
            <w:tcW w:w="0" w:type="dxa"/>
            <w:vAlign w:val="bottom"/>
          </w:tcPr>
          <w:p>
            <w:pPr>
              <w:spacing w:after="0"/>
              <w:rPr>
                <w:sz w:val="1"/>
                <w:szCs w:val="1"/>
                <w:color w:val="auto"/>
              </w:rPr>
            </w:pPr>
          </w:p>
        </w:tc>
      </w:tr>
      <w:tr>
        <w:trPr>
          <w:trHeight w:val="208"/>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total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23,322,018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20,402,842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23,285,253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20,377,319</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156"/>
        <w:spacing w:after="0"/>
        <w:tabs>
          <w:tab w:leader="none" w:pos="480"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2022 and 2021, the additional capital conservation buffer in effect was 2.50%.</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Dividend, Loan and Other Restrictions</w:t>
      </w:r>
    </w:p>
    <w:p>
      <w:pPr>
        <w:spacing w:after="0" w:line="2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Federal and state banking regulations place certain restrictions on dividends paid by the Bank to the Holding Company. During 2022 and 2021, the Bank paid dividends to the Holding Company of $133 million and $217 million, respectively.</w:t>
      </w:r>
    </w:p>
    <w:p>
      <w:pPr>
        <w:spacing w:after="0" w:line="18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Bank is a party to financial instruments with off-balance sheet risk in the normal course of business to meet the financing needs of customers. These financial instruments include commitments to extend credit and letters of credit. These instruments involve, to varying degrees, elements of credit risk in excess of the amount recognized in the consolidated balance sheets. The contract amounts of these instruments reflect the extent of involvement the Bank has in particular classes of financial instruments.</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Commitments and Contingencies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summarizes, as of the dates indicated, the contract amount of certain off-balance sheet instruments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7"/>
        </w:trPr>
        <w:tc>
          <w:tcPr>
            <w:tcW w:w="7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4,683,790</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3,591,975</w:t>
            </w:r>
          </w:p>
        </w:tc>
      </w:tr>
      <w:tr>
        <w:trPr>
          <w:trHeight w:val="214"/>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29,312</w:t>
            </w: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Commitments and Contingencies, continued</w:t>
      </w:r>
    </w:p>
    <w:p>
      <w:pPr>
        <w:spacing w:after="0" w:line="3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212"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United maintains an ACL for these unfunded commitments, which is included in other liabilities in the consolidated balance sheets. The ACL for unfunded loan commitments is determined as part of the quarterly ACL analysis. See Note 1 for further detail.</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Tax Credit and Certain Equity Investments</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balance, future funding commitments and any related loans to the entity. Loans to these entities are underwritten in substantially the same manner as other loans and are generally secured.</w:t>
      </w:r>
    </w:p>
    <w:p>
      <w:pPr>
        <w:spacing w:after="0" w:line="21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of investments and future funding commitments made.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summarizes, as of the dates indicated, tax credit and certain equity method investments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22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80" w:type="dxa"/>
            <w:vAlign w:val="bottom"/>
          </w:tcPr>
          <w:p>
            <w:pPr>
              <w:spacing w:after="0"/>
              <w:rPr>
                <w:sz w:val="18"/>
                <w:szCs w:val="18"/>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2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210"/>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50,054</w:t>
            </w:r>
          </w:p>
        </w:tc>
        <w:tc>
          <w:tcPr>
            <w:tcW w:w="14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40,243</w:t>
            </w:r>
          </w:p>
        </w:tc>
      </w:tr>
      <w:tr>
        <w:trPr>
          <w:trHeight w:val="21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14,846</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Renewable energy investments: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Fintech funds and certain other equity method investments: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12,439</w:t>
            </w:r>
          </w:p>
        </w:tc>
      </w:tr>
      <w:tr>
        <w:trPr>
          <w:trHeight w:val="21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1,410</w:t>
            </w:r>
          </w:p>
        </w:tc>
      </w:tr>
      <w:tr>
        <w:trPr>
          <w:trHeight w:val="208"/>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not included in carrying amount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15,831</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Condensed Financial Statements of United Community Banks, Inc. (Holding Company Only)</w:t>
      </w: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As of December 31, 2022 and 2021</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330" w:type="dxa"/>
        <w:tblCellMar>
          <w:top w:w="0" w:type="dxa"/>
          <w:left w:w="0" w:type="dxa"/>
          <w:bottom w:w="0" w:type="dxa"/>
          <w:right w:w="0" w:type="dxa"/>
        </w:tblCellMar>
      </w:tblPr>
      <w:tr>
        <w:trPr>
          <w:trHeight w:val="212"/>
        </w:trPr>
        <w:tc>
          <w:tcPr>
            <w:tcW w:w="4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55"/>
        </w:trPr>
        <w:tc>
          <w:tcPr>
            <w:tcW w:w="7800" w:type="dxa"/>
            <w:vAlign w:val="bottom"/>
            <w:tcBorders>
              <w:left w:val="single" w:sz="8" w:color="CCEEFF"/>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40"/>
        </w:trPr>
        <w:tc>
          <w:tcPr>
            <w:tcW w:w="440" w:type="dxa"/>
            <w:vAlign w:val="bottom"/>
            <w:tcBorders>
              <w:left w:val="single" w:sz="8" w:color="CCEEFF"/>
            </w:tcBorders>
            <w:shd w:val="clear" w:color="auto" w:fill="000000"/>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3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1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322,353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298,316</w:t>
            </w:r>
          </w:p>
        </w:tc>
      </w:tr>
      <w:tr>
        <w:trPr>
          <w:trHeight w:val="214"/>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Bank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2,150,683</w:t>
            </w:r>
          </w:p>
        </w:tc>
      </w:tr>
      <w:tr>
        <w:trPr>
          <w:trHeight w:val="21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 in other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23,194</w:t>
            </w:r>
          </w:p>
        </w:tc>
      </w:tr>
      <w:tr>
        <w:trPr>
          <w:trHeight w:val="212"/>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46,432</w:t>
            </w:r>
          </w:p>
        </w:tc>
      </w:tr>
      <w:tr>
        <w:trPr>
          <w:trHeight w:val="207"/>
        </w:trPr>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3,098,460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2,518,625</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8"/>
        </w:trPr>
        <w:tc>
          <w:tcPr>
            <w:tcW w:w="7800" w:type="dxa"/>
            <w:vAlign w:val="bottom"/>
            <w:tcBorders>
              <w:lef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10"/>
        </w:trPr>
        <w:tc>
          <w:tcPr>
            <w:tcW w:w="2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334,663</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247,360</w:t>
            </w:r>
          </w:p>
        </w:tc>
      </w:tr>
      <w:tr>
        <w:trPr>
          <w:trHeight w:val="214"/>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49,020</w:t>
            </w:r>
          </w:p>
        </w:tc>
      </w:tr>
      <w:tr>
        <w:trPr>
          <w:trHeight w:val="20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296,380</w:t>
            </w:r>
          </w:p>
        </w:tc>
      </w:tr>
      <w:tr>
        <w:trPr>
          <w:trHeight w:val="212"/>
        </w:trPr>
        <w:tc>
          <w:tcPr>
            <w:tcW w:w="78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2,222,245</w:t>
            </w:r>
          </w:p>
        </w:tc>
      </w:tr>
      <w:tr>
        <w:trPr>
          <w:trHeight w:val="207"/>
        </w:trPr>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3,098,460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2,518,625</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from Bank</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from other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Shared service fees from subsidiaries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13,020</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1,436</w:t>
            </w:r>
          </w:p>
        </w:tc>
      </w:tr>
      <w:tr>
        <w:trPr>
          <w:trHeight w:val="207"/>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164,456</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13,994</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16,473</w:t>
            </w:r>
          </w:p>
        </w:tc>
      </w:tr>
      <w:tr>
        <w:trPr>
          <w:trHeight w:val="203"/>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30,467</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2,681</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equity in undistributed earnings of subsidiaries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136,670</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undistributed earnings of subsidiaries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27,419</w:t>
            </w:r>
          </w:p>
        </w:tc>
      </w:tr>
      <w:tr>
        <w:trPr>
          <w:trHeight w:val="207"/>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277,472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164,089</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sectPr>
      </w:pPr>
    </w:p>
    <w:bookmarkStart w:id="122" w:name="page123"/>
    <w:bookmarkEnd w:id="12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Condensed Financial Statements of United Community Banks, Inc. (Holding Company Only), continued</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277,472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269,801</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164,089</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undistributed earnings of the subsidiaries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(27,419)</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142,855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146,156</w:t>
            </w:r>
          </w:p>
        </w:tc>
        <w:tc>
          <w:tcPr>
            <w:tcW w:w="0" w:type="dxa"/>
            <w:vAlign w:val="bottom"/>
          </w:tcPr>
          <w:p>
            <w:pPr>
              <w:spacing w:after="0"/>
              <w:rPr>
                <w:sz w:val="1"/>
                <w:szCs w:val="1"/>
                <w:color w:val="auto"/>
              </w:rPr>
            </w:pPr>
          </w:p>
        </w:tc>
      </w:tr>
      <w:tr>
        <w:trPr>
          <w:trHeight w:val="191"/>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(paid) received for acquisition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0" w:type="dxa"/>
            <w:vAlign w:val="bottom"/>
          </w:tcPr>
          <w:p>
            <w:pPr>
              <w:spacing w:after="0"/>
              <w:rPr>
                <w:sz w:val="1"/>
                <w:szCs w:val="1"/>
                <w:color w:val="auto"/>
              </w:rPr>
            </w:pPr>
          </w:p>
        </w:tc>
      </w:tr>
      <w:tr>
        <w:trPr>
          <w:trHeight w:val="159"/>
        </w:trPr>
        <w:tc>
          <w:tcPr>
            <w:tcW w:w="636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color w:val="auto"/>
              </w:rPr>
              <w:t>Purchases of debt securities available-for-sale and equity securities with readily determinable</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36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6"/>
                <w:szCs w:val="16"/>
                <w:color w:val="auto"/>
              </w:rPr>
              <w:t>Proceeds from sales and maturities of debt securities available-for-sale and equity securities</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 readily determinable fair values</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investing inflows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investing outflows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19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long-term debt, net of issuance costs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98,552</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preferred stock, net of issuance costs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shares withheld to cover payroll taxes related to equity instruments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Proceeds from issuance of common stock for dividend reinvestment and employee benefit plans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 and warrants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financing outflows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(100,527)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(156,968)</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109,945</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256,748</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298,316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32,495</w:t>
            </w:r>
          </w:p>
        </w:tc>
        <w:tc>
          <w:tcPr>
            <w:tcW w:w="0" w:type="dxa"/>
            <w:vAlign w:val="bottom"/>
          </w:tcPr>
          <w:p>
            <w:pPr>
              <w:spacing w:after="0"/>
              <w:rPr>
                <w:sz w:val="1"/>
                <w:szCs w:val="1"/>
                <w:color w:val="auto"/>
              </w:rPr>
            </w:pPr>
          </w:p>
        </w:tc>
      </w:tr>
      <w:tr>
        <w:trPr>
          <w:trHeight w:val="232"/>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at end of year</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322,353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289,243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320" w:top="119" w:right="67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Progress</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Subsequent to year-end, on January 3, 2023, United completed the acquisition of Progress Financial Corporation and its wholly-owned subsidiary, Progress Bank &amp; Trust, collectively referred to as “Progress”. Progress is headquartered in Huntsville, Alabama and operates 13 branches in Alabama and the Florida Panhandle, which facilitates United’s growth into those markets. As of December 31, 2022, Progress reported total assets of $1.76 billion, total loans of $1.48 billion and total deposits of $1.34 billion.</w:t>
      </w:r>
    </w:p>
    <w:p>
      <w:pPr>
        <w:spacing w:after="0" w:line="215" w:lineRule="exact"/>
        <w:rPr>
          <w:sz w:val="20"/>
          <w:szCs w:val="20"/>
          <w:color w:val="auto"/>
        </w:rPr>
      </w:pPr>
    </w:p>
    <w:p>
      <w:pPr>
        <w:jc w:val="both"/>
        <w:ind w:left="320"/>
        <w:spacing w:after="0" w:line="245" w:lineRule="auto"/>
        <w:rPr>
          <w:sz w:val="20"/>
          <w:szCs w:val="20"/>
          <w:color w:val="auto"/>
        </w:rPr>
      </w:pPr>
      <w:r>
        <w:rPr>
          <w:rFonts w:ascii="Times New Roman" w:cs="Times New Roman" w:eastAsia="Times New Roman" w:hAnsi="Times New Roman"/>
          <w:sz w:val="18"/>
          <w:szCs w:val="18"/>
          <w:color w:val="auto"/>
        </w:rPr>
        <w:t>Progress shareholders received $307 million in total consideration, of which $296 million was United common stock (8.77 million shares), $447,000 was cash and $10.0 million was converted stock options.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r>
        <w:rPr>
          <w:rFonts w:ascii="Calibri" w:cs="Calibri" w:eastAsia="Calibri" w:hAnsi="Calibri"/>
          <w:sz w:val="19"/>
          <w:szCs w:val="19"/>
          <w:color w:val="auto"/>
        </w:rPr>
        <w:t>.</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Announced Acquisition of First Miami</w:t>
      </w:r>
    </w:p>
    <w:p>
      <w:pPr>
        <w:spacing w:after="0" w:line="26" w:lineRule="exact"/>
        <w:rPr>
          <w:sz w:val="20"/>
          <w:szCs w:val="20"/>
          <w:color w:val="auto"/>
        </w:rPr>
      </w:pPr>
    </w:p>
    <w:p>
      <w:pPr>
        <w:jc w:val="both"/>
        <w:ind w:left="320"/>
        <w:spacing w:after="0" w:line="246" w:lineRule="auto"/>
        <w:rPr>
          <w:sz w:val="20"/>
          <w:szCs w:val="20"/>
          <w:color w:val="auto"/>
        </w:rPr>
      </w:pPr>
      <w:r>
        <w:rPr>
          <w:rFonts w:ascii="Times New Roman" w:cs="Times New Roman" w:eastAsia="Times New Roman" w:hAnsi="Times New Roman"/>
          <w:sz w:val="18"/>
          <w:szCs w:val="18"/>
          <w:color w:val="auto"/>
        </w:rPr>
        <w:t>On February 13, 2023, United announced an agreement to acquire First Miami Bancorp, Inc. and its wholly-owned subsidiary, First National Bank of South Miami, collectively referred to as “First Miami”. First Miami is headquartered in South Miami, Florida, and operates 3 offices in the Miami metropolitan area. As of December 31, 2022, First Miami had total assets of $1.0 billion, total loans of $594 million, and total deposits of $867 million. In addition to traditional banking products, First Miami offers private banking, trust and wealth management with approximately $312 million in assets under administration. The merger, which is subject to regulatory approval, the approval of First Miami shareholders, and other customary conditions, is expected to close in the third quarter of 2023.</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Declared</w:t>
      </w:r>
    </w:p>
    <w:p>
      <w:pPr>
        <w:spacing w:after="0" w:line="26"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On February 22, 2023, the Board approved a regular quarterly cash dividend of $0.23 per common share and a preferred stock dividend of $429.6875 per preferred share (equivalent to $0.4296875 per depositary share, or 1/1000 interest per share). The common stock dividend is payable April 5, 2023, to common shareholders of record on March 15, 2023. The preferred stock dividend is payable March 15, 2023, to preferred shareholders of record on 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Exchange Act Rule 13a-15(e)) as of December 31, 2022. Based on that evaluation, our principal executive officer and chief financial officer concluded that our disclosure controls and procedures were effective as of the end of the period covered by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changes were made to our internal control over financial reporting (as such term is defined in Exchange Act Rule 13a-15(f)) during the fourth quarter of 2022 that materially affected, or are reasonably likely to materially affect, United’s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Management’s assessment of the effectiveness of our internal control over financial reporting as of December 31, 2022 is included in Part II, Item 8 of this Report under the heading “Management’s Report on Internal Control Over Financial Reporting.”</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independent auditors have issued an audit report on management’s assessment of internal controls over financial reporting. This report is included in Part II, Item 8 of this Report under the heading “Report of Independent Registered Public Accounting Firm.”</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17" w:lineRule="exact"/>
        <w:rPr>
          <w:sz w:val="20"/>
          <w:szCs w:val="20"/>
          <w:color w:val="auto"/>
        </w:rPr>
      </w:pPr>
    </w:p>
    <w:p>
      <w:pPr>
        <w:jc w:val="both"/>
        <w:ind w:firstLine="196"/>
        <w:spacing w:after="0" w:line="256" w:lineRule="auto"/>
        <w:tabs>
          <w:tab w:leader="none" w:pos="4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Regarding Directors and Executive Officers. </w:t>
      </w:r>
      <w:r>
        <w:rPr>
          <w:rFonts w:ascii="Times New Roman" w:cs="Times New Roman" w:eastAsia="Times New Roman" w:hAnsi="Times New Roman"/>
          <w:sz w:val="18"/>
          <w:szCs w:val="18"/>
          <w:color w:val="auto"/>
        </w:rPr>
        <w:t>Information required by this Item 10 regarding our directors and director nominees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caption “Director Nominees for Election” under the heading “Proposal 1: Election of Directors” in the 2023 Proxy Statement is incorporated herein by reference. Information required by this Item 10 regarding our executive officers contained under the heading “Executive Officers” in the 2023 Proxy Statement is incorporated herein by reference.</w:t>
      </w:r>
    </w:p>
    <w:p>
      <w:pPr>
        <w:spacing w:after="0" w:line="203" w:lineRule="exact"/>
        <w:rPr>
          <w:rFonts w:ascii="Times New Roman" w:cs="Times New Roman" w:eastAsia="Times New Roman" w:hAnsi="Times New Roman"/>
          <w:sz w:val="18"/>
          <w:szCs w:val="18"/>
          <w:i w:val="1"/>
          <w:iCs w:val="1"/>
          <w:color w:val="auto"/>
        </w:rPr>
      </w:pPr>
    </w:p>
    <w:p>
      <w:pPr>
        <w:jc w:val="both"/>
        <w:ind w:firstLine="642"/>
        <w:spacing w:after="0" w:line="261" w:lineRule="auto"/>
        <w:tabs>
          <w:tab w:leader="none" w:pos="937" w:val="left"/>
        </w:tabs>
        <w:numPr>
          <w:ilvl w:val="1"/>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Compliance with Section 16(a) of the Exchange </w:t>
      </w:r>
      <w:r>
        <w:rPr>
          <w:rFonts w:ascii="Times New Roman" w:cs="Times New Roman" w:eastAsia="Times New Roman" w:hAnsi="Times New Roman"/>
          <w:sz w:val="18"/>
          <w:szCs w:val="18"/>
          <w:color w:val="auto"/>
        </w:rPr>
        <w:t>Act. If applicable, information required by this Item 10 regarding compliance with Section 16(a)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contained under the caption “Delinquent Section 16(a) Reports” under the heading “Security Ownership” in the 2023 Proxy Statement is incorporated herein by reference.</w:t>
      </w:r>
    </w:p>
    <w:p>
      <w:pPr>
        <w:spacing w:after="0" w:line="172" w:lineRule="exact"/>
        <w:rPr>
          <w:rFonts w:ascii="Times New Roman" w:cs="Times New Roman" w:eastAsia="Times New Roman" w:hAnsi="Times New Roman"/>
          <w:sz w:val="18"/>
          <w:szCs w:val="18"/>
          <w:i w:val="1"/>
          <w:iCs w:val="1"/>
          <w:color w:val="auto"/>
        </w:rPr>
      </w:pPr>
    </w:p>
    <w:p>
      <w:pPr>
        <w:jc w:val="both"/>
        <w:ind w:firstLine="642"/>
        <w:spacing w:after="0" w:line="250" w:lineRule="auto"/>
        <w:tabs>
          <w:tab w:leader="none" w:pos="996" w:val="left"/>
        </w:tabs>
        <w:numPr>
          <w:ilvl w:val="1"/>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 of Business Conduct and Ethics. </w:t>
      </w:r>
      <w:r>
        <w:rPr>
          <w:rFonts w:ascii="Times New Roman" w:cs="Times New Roman" w:eastAsia="Times New Roman" w:hAnsi="Times New Roman"/>
          <w:sz w:val="18"/>
          <w:szCs w:val="18"/>
          <w:color w:val="auto"/>
        </w:rPr>
        <w:t>We have adopted a Corporate Code of Ethics (“Code”). This Code is posted on the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section of our Internet website at www.ucbi.com. If we choose to no longer post such Code, we will provide a free copy to any person upon written request to Corporate Secretary, United Community Banks, Inc., 2 West Washington Street, Suite 700, Greenville, South Carolina 29601. We intend to provide any required disclosure of any amendment to or waiver from such Code that applies to our principal executive officer, principal financial officer, principal accounting officer or controller, or persons performing similar functions, on our Internet website located at www.ucbi.com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Report and should not be considered part of this or any other report that we file with or furnish to the SEC.</w:t>
      </w:r>
    </w:p>
    <w:p>
      <w:pPr>
        <w:spacing w:after="0" w:line="209" w:lineRule="exact"/>
        <w:rPr>
          <w:rFonts w:ascii="Times New Roman" w:cs="Times New Roman" w:eastAsia="Times New Roman" w:hAnsi="Times New Roman"/>
          <w:sz w:val="18"/>
          <w:szCs w:val="18"/>
          <w:i w:val="1"/>
          <w:iCs w:val="1"/>
          <w:color w:val="auto"/>
        </w:rPr>
      </w:pPr>
    </w:p>
    <w:p>
      <w:pPr>
        <w:ind w:firstLine="642"/>
        <w:spacing w:after="0" w:line="276" w:lineRule="auto"/>
        <w:tabs>
          <w:tab w:leader="none" w:pos="983" w:val="left"/>
        </w:tabs>
        <w:numPr>
          <w:ilvl w:val="1"/>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Procedures for Shareholders to Recommend Director Nominees. </w:t>
      </w:r>
      <w:r>
        <w:rPr>
          <w:rFonts w:ascii="Times New Roman" w:cs="Times New Roman" w:eastAsia="Times New Roman" w:hAnsi="Times New Roman"/>
          <w:sz w:val="18"/>
          <w:szCs w:val="18"/>
          <w:color w:val="auto"/>
        </w:rPr>
        <w:t>There have been no material changes to the procedures by which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may recommend nominees to our Board.</w:t>
      </w:r>
    </w:p>
    <w:p>
      <w:pPr>
        <w:spacing w:after="0" w:line="159" w:lineRule="exact"/>
        <w:rPr>
          <w:rFonts w:ascii="Times New Roman" w:cs="Times New Roman" w:eastAsia="Times New Roman" w:hAnsi="Times New Roman"/>
          <w:sz w:val="18"/>
          <w:szCs w:val="18"/>
          <w:i w:val="1"/>
          <w:iCs w:val="1"/>
          <w:color w:val="auto"/>
        </w:rPr>
      </w:pPr>
    </w:p>
    <w:p>
      <w:pPr>
        <w:jc w:val="both"/>
        <w:ind w:firstLine="642"/>
        <w:spacing w:after="0" w:line="261" w:lineRule="auto"/>
        <w:tabs>
          <w:tab w:leader="none" w:pos="930" w:val="left"/>
        </w:tabs>
        <w:numPr>
          <w:ilvl w:val="1"/>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Audit Committee Information. </w:t>
      </w:r>
      <w:r>
        <w:rPr>
          <w:rFonts w:ascii="Times New Roman" w:cs="Times New Roman" w:eastAsia="Times New Roman" w:hAnsi="Times New Roman"/>
          <w:sz w:val="18"/>
          <w:szCs w:val="18"/>
          <w:color w:val="auto"/>
        </w:rPr>
        <w:t>Information required by this Item 10 regarding our Audit Committee and our audit committee financial experts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under the captions “Board Committees” and “Audit Committee Financial Expert,” in each case under the heading “Corporate Governance” in the 2023 Proxy Statement is incorporated herein by reference.</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required by this Item 11 regarding director and executive officer compensation, the Compensation Committee Report, the risks arising from our compensation policies and practices for employees, pay ratio disclosure, and compensation committee interlocks and insider participation contained under the headers “Director Compensation” and “Executive Compensation” in the 2023 Proxy Statement is incorporated herein by reference.</w:t>
      </w:r>
    </w:p>
    <w:p>
      <w:pPr>
        <w:spacing w:after="0" w:line="176" w:lineRule="exact"/>
        <w:rPr>
          <w:sz w:val="20"/>
          <w:szCs w:val="20"/>
          <w:color w:val="auto"/>
        </w:rPr>
      </w:pPr>
    </w:p>
    <w:p>
      <w:pPr>
        <w:ind w:left="920" w:right="620" w:hanging="1271"/>
        <w:spacing w:after="0" w:line="27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contained under the heading “Security Ownership” and under the caption “Equity Compensation Plan Information” under the heading “Executive Compensation” in the 2023 Proxy Statement is incorporated herein by reference.</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Information required by this Item 13 regarding certain relationships and related transactions contained under the heading “Transactions With Management and Others” in the 2023 Proxy Statement is incorporated herein by reference. Information required by this Item 13 regarding director independence contained under the caption “Director Independence” under the heading “Corporate Governance” in the 2023 Proxy Statement is incorporated herein by reference.</w:t>
      </w:r>
    </w:p>
    <w:p>
      <w:pPr>
        <w:spacing w:after="0" w:line="1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required by Item 14 regarding fees we paid to our principal accountant and the pre-approval policies and procedures established by the Audit Committee of our Board contained under the heading “Fees Paid to Auditors” in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391" w:lineRule="exact"/>
        <w:rPr>
          <w:sz w:val="20"/>
          <w:szCs w:val="20"/>
          <w:color w:val="auto"/>
        </w:rPr>
      </w:pPr>
    </w:p>
    <w:p>
      <w:pPr>
        <w:ind w:left="400" w:hanging="376"/>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consolidated financial statements are located in Item 8 of this report:</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Balance Sheets - December 31, 2022 and 2021</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Income - Years ended December 31, 2022, 2021, and 2020</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December 31, 2022, 2021, and 2020</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 Years ended December 31, 2022, 2021, and 2020</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2022, 2021, and 2020</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23" w:lineRule="exact"/>
        <w:rPr>
          <w:sz w:val="20"/>
          <w:szCs w:val="20"/>
          <w:color w:val="auto"/>
        </w:rPr>
      </w:pPr>
    </w:p>
    <w:p>
      <w:pPr>
        <w:ind w:left="860" w:hanging="452"/>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the consolidated financial statements are omitted, as the required information is not applicable.</w:t>
      </w:r>
    </w:p>
    <w:p>
      <w:pPr>
        <w:spacing w:after="0" w:line="323" w:lineRule="exact"/>
        <w:rPr>
          <w:rFonts w:ascii="Times New Roman" w:cs="Times New Roman" w:eastAsia="Times New Roman" w:hAnsi="Times New Roman"/>
          <w:sz w:val="18"/>
          <w:szCs w:val="18"/>
          <w:color w:val="auto"/>
        </w:rPr>
      </w:pPr>
    </w:p>
    <w:p>
      <w:pPr>
        <w:ind w:left="860" w:hanging="452"/>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to be filed with this Report by Item 601 of Regulation S-K are set forth in the Exhibit Index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40" w:type="dxa"/>
            <w:vAlign w:val="bottom"/>
            <w:gridSpan w:val="17"/>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4"/>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51"/>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Agreement and Plan of Merger and Reorganization, dated as of May 26, 2021, by and between United Community Banks, Inc. and Aquesta</w:t>
              </w:r>
            </w:hyperlink>
          </w:p>
        </w:tc>
      </w:tr>
      <w:tr>
        <w:trPr>
          <w:trHeight w:val="179"/>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top w:val="single" w:sz="8" w:color="0000FF"/>
            </w:tcBorders>
            <w:gridSpan w:val="19"/>
          </w:tcPr>
          <w:p>
            <w:pPr>
              <w:spacing w:after="0" w:line="17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Financial Holdings, Inc. (incorporated by reference from Annex A to the proxy statement/prospectus contained in United Community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60" w:type="dxa"/>
            <w:vAlign w:val="bottom"/>
            <w:tcBorders>
              <w:top w:val="single" w:sz="8" w:color="0000FF"/>
            </w:tcBorders>
            <w:gridSpan w:val="18"/>
          </w:tcPr>
          <w:p>
            <w:pPr>
              <w:spacing w:after="0" w:line="17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Banks, Inc.’s Registration Statement on Form S-4 filed with the SEC on July 29,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gridSpan w:val="3"/>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Agreement and Plan of Merger, dated as of July 14, 2021, by and between United Community Banks, Inc. and Reliant Bancorp, Inc.</w:t>
              </w:r>
            </w:hyperlink>
          </w:p>
        </w:tc>
      </w:tr>
      <w:tr>
        <w:trPr>
          <w:trHeight w:val="179"/>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900" w:type="dxa"/>
            <w:vAlign w:val="bottom"/>
            <w:tcBorders>
              <w:top w:val="single" w:sz="8" w:color="0000FF"/>
              <w:bottom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herein by reference to Annex A to the proxy statement/prospectus filed by United Community Banks, Inc. with the SEC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960" w:type="dxa"/>
            <w:vAlign w:val="bottom"/>
            <w:gridSpan w:val="13"/>
          </w:tcPr>
          <w:p>
            <w:pPr>
              <w:spacing w:after="0" w:line="17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pursuant to Rule 424(b)(3) on October 22,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gridSpan w:val="3"/>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Agreement and Plan of Merger by and between United Community Banks, Inc. and Progress Financial Corporation dated as of May 3, 2022</w:t>
              </w:r>
            </w:hyperlink>
          </w:p>
        </w:tc>
      </w:tr>
      <w:tr>
        <w:trPr>
          <w:trHeight w:val="146"/>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9"/>
          </w:tcPr>
          <w:p>
            <w:pPr>
              <w:spacing w:after="0" w:line="146" w:lineRule="exact"/>
              <w:rPr>
                <w:rFonts w:ascii="Times New Roman" w:cs="Times New Roman" w:eastAsia="Times New Roman" w:hAnsi="Times New Roman"/>
                <w:sz w:val="15"/>
                <w:szCs w:val="15"/>
                <w:color w:val="0000FF"/>
              </w:rPr>
            </w:pPr>
            <w:hyperlink r:id="rId200">
              <w:r>
                <w:rPr>
                  <w:rFonts w:ascii="Times New Roman" w:cs="Times New Roman" w:eastAsia="Times New Roman" w:hAnsi="Times New Roman"/>
                  <w:sz w:val="15"/>
                  <w:szCs w:val="15"/>
                  <w:color w:val="0000FF"/>
                </w:rPr>
                <w:t>(incorporated herein by reference to Exhibit 2.1 to United Community Banks, Inc.’s Current Report on Form 8-K dated May 3, 2022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5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filed with the SEC on May 4, 2022).</w:t>
              </w:r>
            </w:hyperlink>
          </w:p>
        </w:tc>
        <w:tc>
          <w:tcPr>
            <w:tcW w:w="7080" w:type="dxa"/>
            <w:vAlign w:val="bottom"/>
            <w:tcBorders>
              <w:top w:val="single" w:sz="8" w:color="0000FF"/>
            </w:tcBorders>
            <w:gridSpan w:val="7"/>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8"/>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Restated Articles of Incorporation of United Community Banks, Inc., as amended through August 13, 2021 (incorporated herein by</w:t>
              </w:r>
            </w:hyperlink>
          </w:p>
        </w:tc>
      </w:tr>
      <w:tr>
        <w:trPr>
          <w:trHeight w:val="146"/>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14"/>
          </w:tcPr>
          <w:p>
            <w:pPr>
              <w:spacing w:after="0" w:line="146" w:lineRule="exact"/>
              <w:rPr>
                <w:rFonts w:ascii="Times New Roman" w:cs="Times New Roman" w:eastAsia="Times New Roman" w:hAnsi="Times New Roman"/>
                <w:sz w:val="15"/>
                <w:szCs w:val="15"/>
                <w:color w:val="0000FF"/>
              </w:rPr>
            </w:pPr>
            <w:hyperlink r:id="rId201">
              <w:r>
                <w:rPr>
                  <w:rFonts w:ascii="Times New Roman" w:cs="Times New Roman" w:eastAsia="Times New Roman" w:hAnsi="Times New Roman"/>
                  <w:sz w:val="15"/>
                  <w:szCs w:val="15"/>
                  <w:color w:val="0000FF"/>
                </w:rPr>
                <w:t>reference to Exhibit 3.1 to United Community Banks, Inc.’s Quarterly Report on Form 10-Q for the period ended September 30, 2021,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15"/>
          </w:tcPr>
          <w:p>
            <w:pPr>
              <w:spacing w:after="0" w:line="152"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with the SEC on November 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gridSpan w:val="3"/>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 and Restated Bylaws of United Community Banks, Inc., as amended (incorporated herein by reference to Exhibit 3.2 to United</w:t>
              </w:r>
            </w:hyperlink>
          </w:p>
        </w:tc>
      </w:tr>
      <w:tr>
        <w:trPr>
          <w:trHeight w:val="165"/>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Community Banks, Inc.’s Quarterly Report on Form 10-Q for the period ended March 31, 2015, filed with the SEC on May 11,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gridSpan w:val="3"/>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 xml:space="preserve">Description of Registrant’s Common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par value (incorporated herein by reference to Exhibit 4.1 to United Community Banks,</w:t>
              </w:r>
            </w:hyperlink>
          </w:p>
        </w:tc>
      </w:tr>
      <w:tr>
        <w:trPr>
          <w:trHeight w:val="132"/>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00" w:type="dxa"/>
            <w:vAlign w:val="bottom"/>
            <w:tcBorders>
              <w:top w:val="single" w:sz="8" w:color="0000FF"/>
            </w:tcBorders>
            <w:gridSpan w:val="20"/>
          </w:tcPr>
          <w:p>
            <w:pPr>
              <w:spacing w:after="0" w:line="133" w:lineRule="exact"/>
              <w:rPr>
                <w:rFonts w:ascii="Times New Roman" w:cs="Times New Roman" w:eastAsia="Times New Roman" w:hAnsi="Times New Roman"/>
                <w:sz w:val="15"/>
                <w:szCs w:val="15"/>
                <w:color w:val="0000FF"/>
              </w:rPr>
            </w:pPr>
            <w:hyperlink r:id="rId203">
              <w:r>
                <w:rPr>
                  <w:rFonts w:ascii="Times New Roman" w:cs="Times New Roman" w:eastAsia="Times New Roman" w:hAnsi="Times New Roman"/>
                  <w:sz w:val="15"/>
                  <w:szCs w:val="15"/>
                  <w:color w:val="0000FF"/>
                </w:rPr>
                <w:t>Inc.’s Annual Report on Form 10-K, File No. 001-35095, filed with the SEC on February 27, 2020).</w:t>
              </w:r>
            </w:hyperlink>
          </w:p>
        </w:tc>
        <w:tc>
          <w:tcPr>
            <w:tcW w:w="20" w:type="dxa"/>
            <w:vAlign w:val="bottom"/>
          </w:tcPr>
          <w:p>
            <w:pPr>
              <w:spacing w:after="0"/>
              <w:rPr>
                <w:sz w:val="11"/>
                <w:szCs w:val="11"/>
                <w:color w:val="auto"/>
              </w:rPr>
            </w:pPr>
          </w:p>
        </w:tc>
      </w:tr>
      <w:tr>
        <w:trPr>
          <w:trHeight w:val="20"/>
        </w:trPr>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1"/>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Indenture, dated August 14, 2015, by and between United Community Banks, Inc. and The Bank of New York Mellon Trust Company,</w:t>
              </w:r>
            </w:hyperlink>
          </w:p>
        </w:tc>
      </w:tr>
      <w:tr>
        <w:trPr>
          <w:trHeight w:val="132"/>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60" w:type="dxa"/>
            <w:vAlign w:val="bottom"/>
            <w:tcBorders>
              <w:top w:val="single" w:sz="8" w:color="0000FF"/>
            </w:tcBorders>
            <w:gridSpan w:val="18"/>
          </w:tcPr>
          <w:p>
            <w:pPr>
              <w:spacing w:after="0" w:line="133" w:lineRule="exact"/>
              <w:rPr>
                <w:rFonts w:ascii="Times New Roman" w:cs="Times New Roman" w:eastAsia="Times New Roman" w:hAnsi="Times New Roman"/>
                <w:sz w:val="15"/>
                <w:szCs w:val="15"/>
                <w:color w:val="0000FF"/>
              </w:rPr>
            </w:pPr>
            <w:hyperlink r:id="rId204">
              <w:r>
                <w:rPr>
                  <w:rFonts w:ascii="Times New Roman" w:cs="Times New Roman" w:eastAsia="Times New Roman" w:hAnsi="Times New Roman"/>
                  <w:sz w:val="15"/>
                  <w:szCs w:val="15"/>
                  <w:color w:val="0000FF"/>
                </w:rPr>
                <w:t>N.A., Trustee (incorporated herein by reference to Exhibit 4.1 to United Community Banks, Inc.’s Current Report on Form 8-K, File No.</w:t>
              </w:r>
            </w:hyperlink>
          </w:p>
        </w:tc>
        <w:tc>
          <w:tcPr>
            <w:tcW w:w="60" w:type="dxa"/>
            <w:vAlign w:val="bottom"/>
            <w:gridSpan w:val="3"/>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680" w:type="dxa"/>
            <w:vAlign w:val="bottom"/>
            <w:tcBorders>
              <w:top w:val="single" w:sz="8" w:color="0000FF"/>
              <w:bottom w:val="single" w:sz="8" w:color="0000FF"/>
            </w:tcBorders>
            <w:gridSpan w:val="4"/>
          </w:tcPr>
          <w:p>
            <w:pPr>
              <w:spacing w:after="0" w:line="165" w:lineRule="exact"/>
              <w:rPr>
                <w:rFonts w:ascii="Times New Roman" w:cs="Times New Roman" w:eastAsia="Times New Roman" w:hAnsi="Times New Roman"/>
                <w:sz w:val="18"/>
                <w:szCs w:val="18"/>
                <w:color w:val="0000FF"/>
                <w:w w:val="96"/>
              </w:rPr>
            </w:pPr>
            <w:hyperlink r:id="rId204">
              <w:r>
                <w:rPr>
                  <w:rFonts w:ascii="Times New Roman" w:cs="Times New Roman" w:eastAsia="Times New Roman" w:hAnsi="Times New Roman"/>
                  <w:sz w:val="18"/>
                  <w:szCs w:val="18"/>
                  <w:color w:val="0000FF"/>
                  <w:w w:val="96"/>
                </w:rPr>
                <w:t>001-35095, filed with the SEC on August 14, 2015).</w:t>
              </w:r>
            </w:hyperlink>
          </w:p>
        </w:tc>
        <w:tc>
          <w:tcPr>
            <w:tcW w:w="624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58"/>
        </w:trPr>
        <w:tc>
          <w:tcPr>
            <w:tcW w:w="1260" w:type="dxa"/>
            <w:vAlign w:val="bottom"/>
            <w:gridSpan w:val="3"/>
          </w:tcPr>
          <w:p>
            <w:pPr>
              <w:ind w:lef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10140" w:type="dxa"/>
            <w:vAlign w:val="bottom"/>
            <w:gridSpan w:val="22"/>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First Supplemental Indenture to the Indenture, dated August 14, 2015, by and between United Community Banks, Inc. and The Bank of</w:t>
              </w:r>
            </w:hyperlink>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6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New York Mellon Trust Company, N.A., Trustee (incorporated herein by reference to Exhibit 4.2 to United Community Banks, Inc.’s</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bl>
    <w:p>
      <w:pPr>
        <w:ind w:left="1260"/>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Current Report on Form 8-K, File No. 001-35095, filed with the SEC on August 14, 2015).</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207"/>
        </w:trPr>
        <w:tc>
          <w:tcPr>
            <w:tcW w:w="220" w:type="dxa"/>
            <w:vAlign w:val="bottom"/>
          </w:tcPr>
          <w:p>
            <w:pPr>
              <w:spacing w:after="0"/>
              <w:rPr>
                <w:rFonts w:ascii="Times New Roman" w:cs="Times New Roman" w:eastAsia="Times New Roman" w:hAnsi="Times New Roman"/>
                <w:sz w:val="18"/>
                <w:szCs w:val="18"/>
                <w:color w:val="0000FF"/>
                <w:w w:val="88"/>
              </w:rPr>
            </w:pPr>
            <w:hyperlink r:id="rId207">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Indenture, dated January 18, 2018, by and between United and The Bank of New York Mellon, N.A., Trustee (incorporated herein by</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reference to Exhibit 4.1 to United Community Banks, Inc.’s Current Report on Form 8-K, File No. 001-35095,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207">
              <w:r>
                <w:rPr>
                  <w:rFonts w:ascii="Times New Roman" w:cs="Times New Roman" w:eastAsia="Times New Roman" w:hAnsi="Times New Roman"/>
                  <w:sz w:val="18"/>
                  <w:szCs w:val="18"/>
                  <w:color w:val="0000FF"/>
                  <w:w w:val="96"/>
                </w:rPr>
                <w:t>January 23, 2018).</w:t>
              </w:r>
            </w:hyperlink>
          </w:p>
        </w:tc>
        <w:tc>
          <w:tcPr>
            <w:tcW w:w="866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08">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First Supplemental Indenture to the Indenture, dated January 18, 2018, by and between United and The Bank of New York Mellon, N.A.,</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Trustee (incorporated herein by reference to Exhibit 4.2 to United Community Banks, Inc.’s Current Report on Form 8-K, File No. 001-</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20" w:type="dxa"/>
            <w:vAlign w:val="bottom"/>
            <w:tcBorders>
              <w:bottom w:val="single" w:sz="8" w:color="0000FF"/>
            </w:tcBorders>
            <w:gridSpan w:val="4"/>
          </w:tcPr>
          <w:p>
            <w:pPr>
              <w:spacing w:after="0" w:line="165" w:lineRule="exact"/>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35095, filed with the SEC on January 23, 2018).</w:t>
              </w:r>
            </w:hyperlink>
          </w:p>
        </w:tc>
        <w:tc>
          <w:tcPr>
            <w:tcW w:w="6520" w:type="dxa"/>
            <w:vAlign w:val="bottom"/>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rFonts w:ascii="Times New Roman" w:cs="Times New Roman" w:eastAsia="Times New Roman" w:hAnsi="Times New Roman"/>
                <w:sz w:val="18"/>
                <w:szCs w:val="18"/>
                <w:color w:val="0000FF"/>
                <w:w w:val="88"/>
              </w:rPr>
            </w:pPr>
            <w:hyperlink r:id="rId20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6</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Deposit Agreement, dated as of June 10, 2020, between the Company and Continental Stock Transfer &amp; Trust Company, as depositary</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(incorporated herein by reference to Exhibit 4.2 to United Community Banks, Inc.’s Current Report on Form 8-K, File No. 001-35095,</w:t>
              </w:r>
            </w:hyperlink>
          </w:p>
        </w:tc>
        <w:tc>
          <w:tcPr>
            <w:tcW w:w="500" w:type="dxa"/>
            <w:vAlign w:val="bottom"/>
            <w:gridSpan w:val="7"/>
          </w:tcPr>
          <w:p>
            <w:pPr>
              <w:ind w:left="60"/>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with the SEC on June 10, 2020).</w:t>
              </w:r>
            </w:hyperlink>
          </w:p>
        </w:tc>
        <w:tc>
          <w:tcPr>
            <w:tcW w:w="758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rFonts w:ascii="Times New Roman" w:cs="Times New Roman" w:eastAsia="Times New Roman" w:hAnsi="Times New Roman"/>
                <w:sz w:val="18"/>
                <w:szCs w:val="18"/>
                <w:color w:val="0000FF"/>
                <w:w w:val="88"/>
              </w:rPr>
            </w:pPr>
            <w:hyperlink r:id="rId20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Depositary Receipt (included as part of Exhibit 4.6)</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10">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Description of Registrant’s Depositary Shares and underlying Series I Preferred Stock (incorporated herein by reference to Exhibit 4.11 to</w:t>
              </w:r>
            </w:hyperlink>
          </w:p>
        </w:tc>
        <w:tc>
          <w:tcPr>
            <w:tcW w:w="0" w:type="dxa"/>
            <w:vAlign w:val="bottom"/>
          </w:tcPr>
          <w:p>
            <w:pPr>
              <w:spacing w:after="0"/>
              <w:rPr>
                <w:sz w:val="1"/>
                <w:szCs w:val="1"/>
                <w:color w:val="auto"/>
              </w:rPr>
            </w:pPr>
          </w:p>
        </w:tc>
      </w:tr>
      <w:tr>
        <w:trPr>
          <w:trHeight w:val="152"/>
        </w:trPr>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United Community Banks, Inc.’s Annual Report on Form 10-K, File No. 001-35095, filed with the SEC on February 25, 2021).</w:t>
              </w:r>
            </w:hyperlink>
          </w:p>
        </w:tc>
        <w:tc>
          <w:tcPr>
            <w:tcW w:w="9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rFonts w:ascii="Times New Roman" w:cs="Times New Roman" w:eastAsia="Times New Roman" w:hAnsi="Times New Roman"/>
                <w:sz w:val="18"/>
                <w:szCs w:val="18"/>
                <w:color w:val="0000FF"/>
                <w:w w:val="88"/>
              </w:rPr>
            </w:pPr>
            <w:hyperlink r:id="rId211">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Indenture, dated as of June 17, 2020, by and between United Community Banks, Inc. and U.S. Bank National Association, as trustee</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80" w:type="dxa"/>
            <w:vAlign w:val="bottom"/>
            <w:gridSpan w:val="17"/>
          </w:tcPr>
          <w:p>
            <w:pPr>
              <w:spacing w:after="0" w:line="152"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(incorporated herein by reference to Exhibit 4.1 to United Community Banks, Inc.’s Current Report on Form 8-K, File No. 001-35095, filed</w:t>
              </w:r>
            </w:hyperlink>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11">
              <w:r>
                <w:rPr>
                  <w:rFonts w:ascii="Times New Roman" w:cs="Times New Roman" w:eastAsia="Times New Roman" w:hAnsi="Times New Roman"/>
                  <w:sz w:val="18"/>
                  <w:szCs w:val="18"/>
                  <w:color w:val="0000FF"/>
                  <w:w w:val="97"/>
                </w:rPr>
                <w:t>with the SEC on June 17, 2020).</w:t>
              </w:r>
            </w:hyperlink>
          </w:p>
        </w:tc>
        <w:tc>
          <w:tcPr>
            <w:tcW w:w="758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212">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10</w:t>
              </w:r>
            </w:hyperlink>
          </w:p>
        </w:tc>
        <w:tc>
          <w:tcPr>
            <w:tcW w:w="920" w:type="dxa"/>
            <w:vAlign w:val="bottom"/>
          </w:tcPr>
          <w:p>
            <w:pPr>
              <w:spacing w:after="0"/>
              <w:rPr>
                <w:sz w:val="22"/>
                <w:szCs w:val="22"/>
                <w:color w:val="auto"/>
              </w:rPr>
            </w:pPr>
          </w:p>
        </w:tc>
        <w:tc>
          <w:tcPr>
            <w:tcW w:w="91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First Supplemental Indenture, dated as of June 17, 2020, by and between United Community Banks, Inc. and U.S. Bank National</w:t>
              </w:r>
            </w:hyperlink>
          </w:p>
        </w:tc>
        <w:tc>
          <w:tcPr>
            <w:tcW w:w="8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0" w:type="dxa"/>
            <w:vAlign w:val="bottom"/>
            <w:gridSpan w:val="18"/>
          </w:tcPr>
          <w:p>
            <w:pPr>
              <w:spacing w:after="0" w:line="152"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Association, as trustee (incorporated herein by reference to Exhibit 4.2 to United Community Banks, Inc.’s Current Report on Form 8-K,</w:t>
              </w:r>
            </w:hyperlink>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File No. 001-35095, filed with the SEC on June 17, 2020).</w:t>
              </w:r>
            </w:hyperlink>
          </w:p>
        </w:tc>
        <w:tc>
          <w:tcPr>
            <w:tcW w:w="5520" w:type="dxa"/>
            <w:vAlign w:val="bottom"/>
            <w:tcBorders>
              <w:top w:val="single" w:sz="8" w:color="0000FF"/>
            </w:tcBorders>
            <w:gridSpan w:val="7"/>
          </w:tcPr>
          <w:p>
            <w:pPr>
              <w:spacing w:after="0"/>
              <w:rPr>
                <w:sz w:val="14"/>
                <w:szCs w:val="14"/>
                <w:color w:val="auto"/>
              </w:rPr>
            </w:pPr>
          </w:p>
        </w:tc>
        <w:tc>
          <w:tcPr>
            <w:tcW w:w="3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00" w:type="dxa"/>
            <w:vAlign w:val="bottom"/>
            <w:gridSpan w:val="2"/>
          </w:tcPr>
          <w:p>
            <w:pPr>
              <w:spacing w:after="0"/>
              <w:rPr>
                <w:rFonts w:ascii="Times New Roman" w:cs="Times New Roman" w:eastAsia="Times New Roman" w:hAnsi="Times New Roman"/>
                <w:sz w:val="18"/>
                <w:szCs w:val="18"/>
                <w:color w:val="0000FF"/>
                <w:w w:val="88"/>
              </w:rPr>
            </w:pPr>
            <w:hyperlink r:id="rId212">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11</w:t>
              </w:r>
            </w:hyperlink>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0" w:type="dxa"/>
            <w:vAlign w:val="bottom"/>
            <w:gridSpan w:val="1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5.000% Fixed-to-Floating Senior Notes due 2030 (attached as Exhibit A to Exhibit 4.10 hereto)</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260" w:right="260" w:hanging="1236"/>
        <w:spacing w:after="0" w:line="227"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United Community Banks, Inc. and its subsidiaries that does not exceed 10% of United’s consolidated assets have not been filed; however, United agrees to furnish a copy of any such agreement to the SEC upon request.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 w:type="dxa"/>
            <w:vAlign w:val="bottom"/>
            <w:gridSpan w:val="2"/>
          </w:tcPr>
          <w:p>
            <w:pPr>
              <w:ind w:left="20"/>
              <w:spacing w:after="0"/>
              <w:rPr>
                <w:rFonts w:ascii="Times New Roman" w:cs="Times New Roman" w:eastAsia="Times New Roman" w:hAnsi="Times New Roman"/>
                <w:sz w:val="18"/>
                <w:szCs w:val="18"/>
                <w:color w:val="0000FF"/>
                <w:w w:val="95"/>
              </w:rPr>
            </w:pPr>
            <w:hyperlink r:id="rId21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United Community Banks, Inc.’s 2022 Omnibus Equity Plan (incorporated herein by reference to Appendix 1 to United Community Banks,</w:t>
              </w:r>
            </w:hyperlink>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tcBorders>
              <w:top w:val="single" w:sz="8" w:color="0000FF"/>
            </w:tcBorders>
            <w:gridSpan w:val="15"/>
          </w:tcPr>
          <w:p>
            <w:pPr>
              <w:spacing w:after="0" w:line="18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Inc.’s Schedule 14A Proxy Statement, File No. 001-35095, filed with the SEC on April 6, 2022)</w:t>
              </w:r>
              <w:r>
                <w:rPr>
                  <w:rFonts w:ascii="Times New Roman" w:cs="Times New Roman" w:eastAsia="Times New Roman" w:hAnsi="Times New Roman"/>
                  <w:sz w:val="18"/>
                  <w:szCs w:val="18"/>
                  <w:color w:val="000000"/>
                </w:rPr>
                <w:t>.#</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restart"/>
          </w:tcPr>
          <w:p>
            <w:pPr>
              <w:ind w:left="20"/>
              <w:spacing w:after="0"/>
              <w:rPr>
                <w:rFonts w:ascii="Times New Roman" w:cs="Times New Roman" w:eastAsia="Times New Roman" w:hAnsi="Times New Roman"/>
                <w:sz w:val="18"/>
                <w:szCs w:val="18"/>
                <w:color w:val="0000FF"/>
                <w:w w:val="95"/>
              </w:rPr>
            </w:pPr>
            <w:hyperlink r:id="rId21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Restricted Stock Unit Award Agreement for Non-Employee Directors (incorporated herein by reference to Exhibit 10.2 to United</w:t>
              </w:r>
            </w:hyperlink>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60" w:type="dxa"/>
            <w:vAlign w:val="bottom"/>
            <w:tcBorders>
              <w:top w:val="single" w:sz="8" w:color="0000FF"/>
            </w:tcBorders>
            <w:gridSpan w:val="14"/>
          </w:tcPr>
          <w:p>
            <w:pPr>
              <w:spacing w:after="0" w:line="186" w:lineRule="exact"/>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Community Banks, Inc.'s Quarterly Report on Form 10-Q for the period ended June 30, 2022, File No. 001-35095, filed with the SEC on</w:t>
              </w:r>
            </w:hyperlink>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80" w:type="dxa"/>
            <w:vAlign w:val="bottom"/>
            <w:tcBorders>
              <w:top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August 5, 2022).</w:t>
              </w:r>
              <w:r>
                <w:rPr>
                  <w:rFonts w:ascii="Times New Roman" w:cs="Times New Roman" w:eastAsia="Times New Roman" w:hAnsi="Times New Roman"/>
                  <w:sz w:val="18"/>
                  <w:szCs w:val="18"/>
                  <w:color w:val="000000"/>
                </w:rPr>
                <w:t>#</w:t>
              </w:r>
            </w:hyperlink>
          </w:p>
        </w:tc>
        <w:tc>
          <w:tcPr>
            <w:tcW w:w="3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Unit Award for Key Employees (for awards granted after 2022).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of Time-Based Restricted Stock Unit Award for Key Employees (for awards granted after 2022).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40" w:type="dxa"/>
            <w:vAlign w:val="bottom"/>
          </w:tcPr>
          <w:p>
            <w:pPr>
              <w:spacing w:after="0"/>
              <w:rPr>
                <w:rFonts w:ascii="Times New Roman" w:cs="Times New Roman" w:eastAsia="Times New Roman" w:hAnsi="Times New Roman"/>
                <w:sz w:val="18"/>
                <w:szCs w:val="18"/>
                <w:color w:val="0000FF"/>
                <w:w w:val="95"/>
              </w:rPr>
            </w:pPr>
            <w:hyperlink r:id="rId21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Time-Based Restricted Stock Unit Award for Key Employees (for awards granted during or before 2022) (incorporated herein by</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20" w:type="dxa"/>
            <w:vAlign w:val="bottom"/>
            <w:tcBorders>
              <w:top w:val="single" w:sz="8" w:color="0000FF"/>
            </w:tcBorders>
            <w:gridSpan w:val="12"/>
          </w:tcPr>
          <w:p>
            <w:pPr>
              <w:spacing w:after="0" w:line="133" w:lineRule="exact"/>
              <w:rPr>
                <w:rFonts w:ascii="Times New Roman" w:cs="Times New Roman" w:eastAsia="Times New Roman" w:hAnsi="Times New Roman"/>
                <w:sz w:val="15"/>
                <w:szCs w:val="15"/>
                <w:color w:val="0000FF"/>
              </w:rPr>
            </w:pPr>
            <w:hyperlink r:id="rId216">
              <w:r>
                <w:rPr>
                  <w:rFonts w:ascii="Times New Roman" w:cs="Times New Roman" w:eastAsia="Times New Roman" w:hAnsi="Times New Roman"/>
                  <w:sz w:val="15"/>
                  <w:szCs w:val="15"/>
                  <w:color w:val="0000FF"/>
                </w:rPr>
                <w:t>reference to Exhibit 10.26 to United Community Banks, Inc.’s Annual Report on Form 10-K, File No. 001-35095, filed with the SEC on</w:t>
              </w:r>
            </w:hyperlink>
          </w:p>
        </w:tc>
        <w:tc>
          <w:tcPr>
            <w:tcW w:w="2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5"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February 25, 2021).</w:t>
              </w:r>
              <w:r>
                <w:rPr>
                  <w:rFonts w:ascii="Times New Roman" w:cs="Times New Roman" w:eastAsia="Times New Roman" w:hAnsi="Times New Roman"/>
                  <w:sz w:val="18"/>
                  <w:szCs w:val="18"/>
                  <w:color w:val="000000"/>
                </w:rPr>
                <w:t>#</w:t>
              </w:r>
            </w:hyperlink>
          </w:p>
        </w:tc>
        <w:tc>
          <w:tcPr>
            <w:tcW w:w="12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0" w:type="dxa"/>
            <w:vAlign w:val="bottom"/>
            <w:gridSpan w:val="2"/>
          </w:tcPr>
          <w:p>
            <w:pPr>
              <w:ind w:left="20"/>
              <w:spacing w:after="0"/>
              <w:rPr>
                <w:rFonts w:ascii="Times New Roman" w:cs="Times New Roman" w:eastAsia="Times New Roman" w:hAnsi="Times New Roman"/>
                <w:sz w:val="18"/>
                <w:szCs w:val="18"/>
                <w:color w:val="0000FF"/>
                <w:w w:val="95"/>
              </w:rPr>
            </w:pPr>
            <w:hyperlink r:id="rId21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Performance-Based Restricted Stock Unit Award for Key Employees (for awards granted during or before 2022) (incorporated</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40" w:type="dxa"/>
            <w:vAlign w:val="bottom"/>
            <w:tcBorders>
              <w:top w:val="single" w:sz="8" w:color="0000FF"/>
            </w:tcBorders>
            <w:gridSpan w:val="9"/>
          </w:tcPr>
          <w:p>
            <w:pPr>
              <w:spacing w:after="0" w:line="133" w:lineRule="exact"/>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herein by reference to Exhibit 10.27 to United Community Banks, Inc.’s Annual Report on Form 10-K, File No. 001-35095, filed with</w:t>
              </w:r>
            </w:hyperlink>
          </w:p>
        </w:tc>
        <w:tc>
          <w:tcPr>
            <w:tcW w:w="500" w:type="dxa"/>
            <w:vAlign w:val="bottom"/>
            <w:gridSpan w:val="14"/>
          </w:tcPr>
          <w:p>
            <w:pPr>
              <w:spacing w:after="0" w:line="133" w:lineRule="exact"/>
              <w:rPr>
                <w:rFonts w:ascii="Times New Roman" w:cs="Times New Roman" w:eastAsia="Times New Roman" w:hAnsi="Times New Roman"/>
                <w:sz w:val="15"/>
                <w:szCs w:val="15"/>
                <w:color w:val="0000FF"/>
              </w:rPr>
            </w:pPr>
            <w:hyperlink r:id="rId217">
              <w:r>
                <w:rPr>
                  <w:rFonts w:ascii="Times New Roman" w:cs="Times New Roman" w:eastAsia="Times New Roman" w:hAnsi="Times New Roman"/>
                  <w:sz w:val="15"/>
                  <w:szCs w:val="15"/>
                  <w:color w:val="0000FF"/>
                </w:rPr>
                <w:t>the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3"/>
          </w:tcPr>
          <w:p>
            <w:pPr>
              <w:spacing w:after="0" w:line="165"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SEC on February 25, 2021).</w:t>
              </w:r>
              <w:r>
                <w:rPr>
                  <w:rFonts w:ascii="Times New Roman" w:cs="Times New Roman" w:eastAsia="Times New Roman" w:hAnsi="Times New Roman"/>
                  <w:sz w:val="18"/>
                  <w:szCs w:val="18"/>
                  <w:color w:val="000000"/>
                </w:rPr>
                <w:t>#</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0" w:type="dxa"/>
            <w:vAlign w:val="bottom"/>
            <w:gridSpan w:val="2"/>
          </w:tcPr>
          <w:p>
            <w:pPr>
              <w:ind w:left="20"/>
              <w:spacing w:after="0"/>
              <w:rPr>
                <w:rFonts w:ascii="Times New Roman" w:cs="Times New Roman" w:eastAsia="Times New Roman" w:hAnsi="Times New Roman"/>
                <w:sz w:val="18"/>
                <w:szCs w:val="18"/>
                <w:color w:val="0000FF"/>
                <w:w w:val="95"/>
              </w:rPr>
            </w:pPr>
            <w:hyperlink r:id="rId21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United Community Banks, Inc.’s Modified Retirement Plan (as amended and restated effective as of January 1, 2016) (incorporated herein</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by reference to Exhibit 10.15 to United Community Banks, Inc.'s Annual Report on Form 10-K File No. 001-35095,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February 27, 2020).</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34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21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Amendment dated as of April 1, 2018 to United Community Banks, Inc.’s Modified Retirement Plan (as amended and restated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960" w:type="dxa"/>
            <w:vAlign w:val="bottom"/>
            <w:tcBorders>
              <w:bottom w:val="single" w:sz="8" w:color="0000FF"/>
            </w:tcBorders>
            <w:gridSpan w:val="4"/>
          </w:tcPr>
          <w:p>
            <w:pPr>
              <w:spacing w:after="0" w:line="20" w:lineRule="exact"/>
              <w:rPr>
                <w:sz w:val="1"/>
                <w:szCs w:val="1"/>
                <w:color w:val="auto"/>
              </w:rPr>
            </w:pPr>
          </w:p>
        </w:tc>
        <w:tc>
          <w:tcPr>
            <w:tcW w:w="2300" w:type="dxa"/>
            <w:vAlign w:val="bottom"/>
            <w:tcBorders>
              <w:bottom w:val="single" w:sz="8" w:color="0000FF"/>
            </w:tcBorders>
          </w:tcPr>
          <w:p>
            <w:pPr>
              <w:spacing w:after="0" w:line="20" w:lineRule="exact"/>
              <w:rPr>
                <w:sz w:val="1"/>
                <w:szCs w:val="1"/>
                <w:color w:val="auto"/>
              </w:rPr>
            </w:pPr>
          </w:p>
        </w:tc>
        <w:tc>
          <w:tcPr>
            <w:tcW w:w="4640" w:type="dxa"/>
            <w:vAlign w:val="bottom"/>
            <w:tcBorders>
              <w:bottom w:val="single" w:sz="8" w:color="0000FF"/>
            </w:tcBorders>
            <w:gridSpan w:val="11"/>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9940" w:type="dxa"/>
            <w:vAlign w:val="bottom"/>
            <w:tcBorders>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effective as of January 1, 2016) (incorporated herein by reference to Exhibit 10.16 to United Community Banks, Inc.'s Annual Report on</w:t>
              </w:r>
            </w:hyperlink>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20" w:type="dxa"/>
            <w:vAlign w:val="bottom"/>
            <w:gridSpan w:val="22"/>
          </w:tcPr>
          <w:p>
            <w:pPr>
              <w:spacing w:after="0" w:line="152"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Form 10-K File No. 001-35095, filed with the SEC on February 27, 2020).</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6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0" w:type="dxa"/>
            <w:vAlign w:val="bottom"/>
            <w:gridSpan w:val="2"/>
          </w:tcPr>
          <w:p>
            <w:pPr>
              <w:ind w:left="20"/>
              <w:spacing w:after="0"/>
              <w:rPr>
                <w:rFonts w:ascii="Times New Roman" w:cs="Times New Roman" w:eastAsia="Times New Roman" w:hAnsi="Times New Roman"/>
                <w:sz w:val="18"/>
                <w:szCs w:val="18"/>
                <w:color w:val="0000FF"/>
                <w:w w:val="95"/>
              </w:rPr>
            </w:pPr>
            <w:hyperlink r:id="rId22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United Community Banks, Inc.’s Amended and Restated Deferred Compensation Plan, effective as of January 1, 2017 (incorporated herein</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60" w:type="dxa"/>
            <w:vAlign w:val="bottom"/>
            <w:tcBorders>
              <w:top w:val="single" w:sz="8" w:color="0000FF"/>
            </w:tcBorders>
            <w:gridSpan w:val="19"/>
          </w:tcPr>
          <w:p>
            <w:pPr>
              <w:spacing w:after="0" w:line="133" w:lineRule="exact"/>
              <w:rPr>
                <w:rFonts w:ascii="Times New Roman" w:cs="Times New Roman" w:eastAsia="Times New Roman" w:hAnsi="Times New Roman"/>
                <w:sz w:val="15"/>
                <w:szCs w:val="15"/>
                <w:color w:val="0000FF"/>
              </w:rPr>
            </w:pPr>
            <w:hyperlink r:id="rId220">
              <w:r>
                <w:rPr>
                  <w:rFonts w:ascii="Times New Roman" w:cs="Times New Roman" w:eastAsia="Times New Roman" w:hAnsi="Times New Roman"/>
                  <w:sz w:val="15"/>
                  <w:szCs w:val="15"/>
                  <w:color w:val="0000FF"/>
                </w:rPr>
                <w:t>by reference to Exhibit 10.17 to United Community Banks, Inc.'s Annual Report on Form 10-K File No. 001-35095, filed with the SEC on</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February 27, 2020).</w:t>
              </w:r>
              <w:r>
                <w:rPr>
                  <w:rFonts w:ascii="Times New Roman" w:cs="Times New Roman" w:eastAsia="Times New Roman" w:hAnsi="Times New Roman"/>
                  <w:sz w:val="17"/>
                  <w:szCs w:val="17"/>
                  <w:color w:val="000000"/>
                </w:rPr>
                <w:t>#</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gridSpan w:val="4"/>
          </w:tcPr>
          <w:p>
            <w:pPr>
              <w:ind w:left="20"/>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60" w:type="dxa"/>
            <w:vAlign w:val="bottom"/>
            <w:gridSpan w:val="24"/>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Amendment No. 1 to United Community Banks, Inc.’s Amended and Restated Deferred Compensation Plan, effective as of April 1, 2018</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FF"/>
              <w:bottom w:val="single" w:sz="8" w:color="0000FF"/>
            </w:tcBorders>
            <w:gridSpan w:val="16"/>
          </w:tcPr>
          <w:p>
            <w:pPr>
              <w:spacing w:after="0" w:line="133" w:lineRule="exact"/>
              <w:rPr>
                <w:rFonts w:ascii="Times New Roman" w:cs="Times New Roman" w:eastAsia="Times New Roman" w:hAnsi="Times New Roman"/>
                <w:sz w:val="15"/>
                <w:szCs w:val="15"/>
                <w:color w:val="0000FF"/>
              </w:rPr>
            </w:pPr>
            <w:hyperlink r:id="rId221">
              <w:r>
                <w:rPr>
                  <w:rFonts w:ascii="Times New Roman" w:cs="Times New Roman" w:eastAsia="Times New Roman" w:hAnsi="Times New Roman"/>
                  <w:sz w:val="15"/>
                  <w:szCs w:val="15"/>
                  <w:color w:val="0000FF"/>
                </w:rPr>
                <w:t>(incorporated herein by reference to Exhibit 10.18 to United Community Banks, Inc.'s Annual Report on Form 10-K File No. 001-35095,</w:t>
              </w:r>
            </w:hyperlink>
          </w:p>
        </w:tc>
        <w:tc>
          <w:tcPr>
            <w:tcW w:w="120" w:type="dxa"/>
            <w:vAlign w:val="bottom"/>
            <w:tcBorders>
              <w:bottom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2"/>
          </w:tcPr>
          <w:p>
            <w:pPr>
              <w:spacing w:after="0" w:line="152"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filed with the SEC on February 27, 2020).</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top w:val="single" w:sz="8" w:color="0000FF"/>
            </w:tcBorders>
            <w:gridSpan w:val="4"/>
          </w:tcPr>
          <w:p>
            <w:pPr>
              <w:spacing w:after="0"/>
              <w:rPr>
                <w:sz w:val="24"/>
                <w:szCs w:val="24"/>
                <w:color w:val="auto"/>
              </w:rPr>
            </w:pPr>
          </w:p>
        </w:tc>
        <w:tc>
          <w:tcPr>
            <w:tcW w:w="23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127</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28" w:name="page129"/>
    <w:bookmarkEnd w:id="128"/>
    <w:tbl>
      <w:tblPr>
        <w:tblLayout w:type="fixed"/>
        <w:tblInd w:w="20" w:type="dxa"/>
        <w:tblCellMar>
          <w:top w:w="0" w:type="dxa"/>
          <w:left w:w="0" w:type="dxa"/>
          <w:bottom w:w="0" w:type="dxa"/>
          <w:right w:w="0" w:type="dxa"/>
        </w:tblCellMar>
      </w:tblPr>
      <w:tr>
        <w:trPr>
          <w:trHeight w:val="207"/>
        </w:trPr>
        <w:tc>
          <w:tcPr>
            <w:tcW w:w="400" w:type="dxa"/>
            <w:vAlign w:val="bottom"/>
          </w:tcPr>
          <w:p>
            <w:pPr>
              <w:jc w:val="right"/>
              <w:spacing w:after="0"/>
              <w:rPr>
                <w:rFonts w:ascii="Times New Roman" w:cs="Times New Roman" w:eastAsia="Times New Roman" w:hAnsi="Times New Roman"/>
                <w:sz w:val="18"/>
                <w:szCs w:val="18"/>
                <w:color w:val="0000FF"/>
                <w:w w:val="93"/>
              </w:rPr>
            </w:pPr>
            <w:hyperlink r:id="rId22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840" w:type="dxa"/>
            <w:vAlign w:val="bottom"/>
          </w:tcPr>
          <w:p>
            <w:pPr>
              <w:spacing w:after="0"/>
              <w:rPr>
                <w:sz w:val="17"/>
                <w:szCs w:val="17"/>
                <w:color w:val="auto"/>
              </w:rPr>
            </w:pPr>
          </w:p>
        </w:tc>
        <w:tc>
          <w:tcPr>
            <w:tcW w:w="10080" w:type="dxa"/>
            <w:vAlign w:val="bottom"/>
            <w:gridSpan w:val="17"/>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Amendment No. 2 to United Community Banks, Inc.’s Amended and Restated Deferred Compensation Plan, effective as of January 1, 2019</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(incorporated herein by reference to Exhibit 10.19 to United Community Banks, Inc.'s Annual Report on Form 10-K File No. 001-35095,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60" w:type="dxa"/>
            <w:vAlign w:val="bottom"/>
            <w:gridSpan w:val="16"/>
          </w:tcPr>
          <w:p>
            <w:pPr>
              <w:spacing w:after="0" w:line="165"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filed with the SEC on February 27,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8"/>
        </w:trPr>
        <w:tc>
          <w:tcPr>
            <w:tcW w:w="1240" w:type="dxa"/>
            <w:vAlign w:val="bottom"/>
            <w:gridSpan w:val="2"/>
          </w:tcPr>
          <w:p>
            <w:pPr>
              <w:jc w:val="right"/>
              <w:ind w:right="840"/>
              <w:spacing w:after="0"/>
              <w:rPr>
                <w:rFonts w:ascii="Times New Roman" w:cs="Times New Roman" w:eastAsia="Times New Roman" w:hAnsi="Times New Roman"/>
                <w:sz w:val="18"/>
                <w:szCs w:val="18"/>
                <w:color w:val="0000FF"/>
                <w:w w:val="93"/>
              </w:rPr>
            </w:pPr>
            <w:hyperlink r:id="rId22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10080" w:type="dxa"/>
            <w:vAlign w:val="bottom"/>
            <w:gridSpan w:val="17"/>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United Community Banks, Inc.’s Management Annual Incentive Plan, effective as of January 1, 2007 (incorporated herein by reference to</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Exhibit 10.5 to United Community Banks, Inc.’s Current Report on Form 8-K, File No. 000-21656, filed with the SEC on May 1, 2007).</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1"/>
        </w:trPr>
        <w:tc>
          <w:tcPr>
            <w:tcW w:w="1240" w:type="dxa"/>
            <w:vAlign w:val="bottom"/>
            <w:gridSpan w:val="2"/>
          </w:tcPr>
          <w:p>
            <w:pPr>
              <w:jc w:val="right"/>
              <w:ind w:right="840"/>
              <w:spacing w:after="0"/>
              <w:rPr>
                <w:rFonts w:ascii="Times New Roman" w:cs="Times New Roman" w:eastAsia="Times New Roman" w:hAnsi="Times New Roman"/>
                <w:sz w:val="18"/>
                <w:szCs w:val="18"/>
                <w:color w:val="0000FF"/>
                <w:w w:val="93"/>
              </w:rPr>
            </w:pPr>
            <w:hyperlink r:id="rId22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10080" w:type="dxa"/>
            <w:vAlign w:val="bottom"/>
            <w:gridSpan w:val="17"/>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Credit Agreement, dated as of January 7, 2014, between United Community Banks, Inc. and Synovus Bank, as amended, Amendment No, 1</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000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dated as of June 30, 2015, Amendment No. 2 dated as of June 30, 2016 and Amendment No. 3 dated as of June 30, 2017 (incorporated</w:t>
              </w:r>
            </w:hyperlink>
          </w:p>
        </w:tc>
        <w:tc>
          <w:tcPr>
            <w:tcW w:w="80" w:type="dxa"/>
            <w:vAlign w:val="bottom"/>
            <w:gridSpan w:val="4"/>
          </w:tcPr>
          <w:p>
            <w:pPr>
              <w:spacing w:after="0"/>
              <w:rPr>
                <w:sz w:val="13"/>
                <w:szCs w:val="13"/>
                <w:color w:val="auto"/>
              </w:rPr>
            </w:pPr>
          </w:p>
        </w:tc>
      </w:tr>
      <w:tr>
        <w:trPr>
          <w:trHeight w:val="166"/>
        </w:trPr>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980" w:type="dxa"/>
            <w:vAlign w:val="bottom"/>
            <w:tcBorders>
              <w:top w:val="single" w:sz="8" w:color="0000FF"/>
            </w:tcBorders>
            <w:gridSpan w:val="12"/>
          </w:tcPr>
          <w:p>
            <w:pPr>
              <w:spacing w:after="0" w:line="165" w:lineRule="exact"/>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herein by reference to Exhibit 10.1 to United Community Banks, Inc.’s Quarterly Report on Form 10-Q for the period ended June 30, 2017,</w:t>
              </w:r>
            </w:hyperlink>
          </w:p>
        </w:tc>
        <w:tc>
          <w:tcPr>
            <w:tcW w:w="100" w:type="dxa"/>
            <w:vAlign w:val="bottom"/>
            <w:gridSpan w:val="5"/>
          </w:tcPr>
          <w:p>
            <w:pPr>
              <w:spacing w:after="0"/>
              <w:rPr>
                <w:sz w:val="14"/>
                <w:szCs w:val="14"/>
                <w:color w:val="auto"/>
              </w:rPr>
            </w:pPr>
          </w:p>
        </w:tc>
      </w:tr>
      <w:tr>
        <w:trPr>
          <w:trHeight w:val="152"/>
        </w:trPr>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File No. 001-35095, filed with the SEC on August 4, 2017).</w:t>
              </w:r>
            </w:hyperlink>
          </w:p>
        </w:tc>
        <w:tc>
          <w:tcPr>
            <w:tcW w:w="5720" w:type="dxa"/>
            <w:vAlign w:val="bottom"/>
            <w:tcBorders>
              <w:top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58"/>
        </w:trPr>
        <w:tc>
          <w:tcPr>
            <w:tcW w:w="1240" w:type="dxa"/>
            <w:vAlign w:val="bottom"/>
            <w:gridSpan w:val="2"/>
          </w:tcPr>
          <w:p>
            <w:pPr>
              <w:jc w:val="right"/>
              <w:ind w:right="840"/>
              <w:spacing w:after="0"/>
              <w:rPr>
                <w:rFonts w:ascii="Times New Roman" w:cs="Times New Roman" w:eastAsia="Times New Roman" w:hAnsi="Times New Roman"/>
                <w:sz w:val="18"/>
                <w:szCs w:val="18"/>
                <w:color w:val="0000FF"/>
                <w:w w:val="93"/>
              </w:rPr>
            </w:pPr>
            <w:hyperlink r:id="rId22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hyperlink>
          </w:p>
        </w:tc>
        <w:tc>
          <w:tcPr>
            <w:tcW w:w="10080" w:type="dxa"/>
            <w:vAlign w:val="bottom"/>
            <w:gridSpan w:val="17"/>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Amendment No. 4 dated as of August 7, 2018 to Credit Agreement, dated as of January 7, 2014, between United Community Banks, Inc.</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and Synovus Bank (incorporated herein by reference to Exhibit 10.30 to United Community Banks, Inc.'s Annual Report on Form 10-K</w:t>
              </w:r>
            </w:hyperlink>
          </w:p>
        </w:tc>
        <w:tc>
          <w:tcPr>
            <w:tcW w:w="380" w:type="dxa"/>
            <w:vAlign w:val="bottom"/>
            <w:gridSpan w:val="10"/>
          </w:tcPr>
          <w:p>
            <w:pPr>
              <w:spacing w:after="0" w:line="152"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File</w:t>
              </w:r>
            </w:hyperlink>
          </w:p>
        </w:tc>
      </w:tr>
      <w:tr>
        <w:trPr>
          <w:trHeight w:val="165"/>
        </w:trPr>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27">
              <w:r>
                <w:rPr>
                  <w:rFonts w:ascii="Times New Roman" w:cs="Times New Roman" w:eastAsia="Times New Roman" w:hAnsi="Times New Roman"/>
                  <w:sz w:val="18"/>
                  <w:szCs w:val="18"/>
                  <w:color w:val="0000FF"/>
                  <w:w w:val="97"/>
                </w:rPr>
                <w:t>No. 001-35095, filed with the SEC on February 27, 2020).</w:t>
              </w:r>
            </w:hyperlink>
          </w:p>
        </w:tc>
        <w:tc>
          <w:tcPr>
            <w:tcW w:w="5800" w:type="dxa"/>
            <w:vAlign w:val="bottom"/>
            <w:tcBorders>
              <w:top w:val="single" w:sz="8" w:color="0000FF"/>
            </w:tcBorders>
            <w:gridSpan w:val="7"/>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58"/>
        </w:trPr>
        <w:tc>
          <w:tcPr>
            <w:tcW w:w="1240" w:type="dxa"/>
            <w:vAlign w:val="bottom"/>
            <w:gridSpan w:val="2"/>
          </w:tcPr>
          <w:p>
            <w:pPr>
              <w:jc w:val="right"/>
              <w:ind w:right="840"/>
              <w:spacing w:after="0"/>
              <w:rPr>
                <w:rFonts w:ascii="Times New Roman" w:cs="Times New Roman" w:eastAsia="Times New Roman" w:hAnsi="Times New Roman"/>
                <w:sz w:val="18"/>
                <w:szCs w:val="18"/>
                <w:color w:val="0000FF"/>
                <w:w w:val="93"/>
              </w:rPr>
            </w:pPr>
            <w:hyperlink r:id="rId22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15</w:t>
              </w:r>
            </w:hyperlink>
          </w:p>
        </w:tc>
        <w:tc>
          <w:tcPr>
            <w:tcW w:w="10080" w:type="dxa"/>
            <w:vAlign w:val="bottom"/>
            <w:gridSpan w:val="17"/>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Amendment No. 5 dated as of February 18, 2020 to Credit Agreement, dated as of January 7, 2014, between United Community Banks, Inc.</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and Synovus Bank (incorporated herein by reference to Exhibit 10.31 to United Community Banks, Inc.'s Annual Report on Form 10-K File</w:t>
              </w:r>
            </w:hyperlink>
          </w:p>
        </w:tc>
        <w:tc>
          <w:tcPr>
            <w:tcW w:w="160" w:type="dxa"/>
            <w:vAlign w:val="bottom"/>
            <w:gridSpan w:val="8"/>
          </w:tcPr>
          <w:p>
            <w:pPr>
              <w:spacing w:after="0"/>
              <w:rPr>
                <w:sz w:val="13"/>
                <w:szCs w:val="13"/>
                <w:color w:val="auto"/>
              </w:rPr>
            </w:pPr>
          </w:p>
        </w:tc>
      </w:tr>
      <w:tr>
        <w:trPr>
          <w:trHeight w:val="166"/>
        </w:trPr>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228">
              <w:r>
                <w:rPr>
                  <w:rFonts w:ascii="Times New Roman" w:cs="Times New Roman" w:eastAsia="Times New Roman" w:hAnsi="Times New Roman"/>
                  <w:sz w:val="18"/>
                  <w:szCs w:val="18"/>
                  <w:color w:val="0000FF"/>
                  <w:w w:val="97"/>
                </w:rPr>
                <w:t>No. 001-35095, filed with the SEC on February 27, 2020).</w:t>
              </w:r>
            </w:hyperlink>
          </w:p>
        </w:tc>
        <w:tc>
          <w:tcPr>
            <w:tcW w:w="5800" w:type="dxa"/>
            <w:vAlign w:val="bottom"/>
            <w:tcBorders>
              <w:top w:val="single" w:sz="8" w:color="0000FF"/>
            </w:tcBorders>
            <w:gridSpan w:val="7"/>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58"/>
        </w:trPr>
        <w:tc>
          <w:tcPr>
            <w:tcW w:w="1240" w:type="dxa"/>
            <w:vAlign w:val="bottom"/>
            <w:gridSpan w:val="2"/>
          </w:tcPr>
          <w:p>
            <w:pPr>
              <w:jc w:val="right"/>
              <w:ind w:right="840"/>
              <w:spacing w:after="0"/>
              <w:rPr>
                <w:rFonts w:ascii="Times New Roman" w:cs="Times New Roman" w:eastAsia="Times New Roman" w:hAnsi="Times New Roman"/>
                <w:sz w:val="18"/>
                <w:szCs w:val="18"/>
                <w:color w:val="0000FF"/>
                <w:w w:val="93"/>
              </w:rPr>
            </w:pPr>
            <w:hyperlink r:id="rId22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16</w:t>
              </w:r>
            </w:hyperlink>
          </w:p>
        </w:tc>
        <w:tc>
          <w:tcPr>
            <w:tcW w:w="10080" w:type="dxa"/>
            <w:vAlign w:val="bottom"/>
            <w:gridSpan w:val="17"/>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Amendment No. 6 dated as of June 27, 2021 to Credit Agreement, dated as of January 7, 2014, between United Community Banks, Inc. and</w:t>
              </w:r>
            </w:hyperlink>
          </w:p>
        </w:tc>
      </w:tr>
      <w:tr>
        <w:trPr>
          <w:trHeight w:val="152"/>
        </w:trPr>
        <w:tc>
          <w:tcPr>
            <w:tcW w:w="4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64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Synovus Bank. (incorporated herein by reference to Exhibit 10.29 to United Community Banks, Inc.'s Annual Report on Form 10-K File</w:t>
              </w:r>
            </w:hyperlink>
          </w:p>
        </w:tc>
        <w:tc>
          <w:tcPr>
            <w:tcW w:w="240" w:type="dxa"/>
            <w:vAlign w:val="bottom"/>
            <w:tcBorders>
              <w:top w:val="single" w:sz="8" w:color="0000FF"/>
            </w:tcBorders>
            <w:gridSpan w:val="2"/>
          </w:tcPr>
          <w:p>
            <w:pPr>
              <w:spacing w:after="0"/>
              <w:rPr>
                <w:sz w:val="13"/>
                <w:szCs w:val="13"/>
                <w:color w:val="auto"/>
              </w:rPr>
            </w:pPr>
          </w:p>
        </w:tc>
        <w:tc>
          <w:tcPr>
            <w:tcW w:w="180" w:type="dxa"/>
            <w:vAlign w:val="bottom"/>
            <w:gridSpan w:val="9"/>
          </w:tcPr>
          <w:p>
            <w:pPr>
              <w:spacing w:after="0"/>
              <w:rPr>
                <w:sz w:val="13"/>
                <w:szCs w:val="13"/>
                <w:color w:val="auto"/>
              </w:rPr>
            </w:pPr>
          </w:p>
        </w:tc>
      </w:tr>
    </w:tbl>
    <w:p>
      <w:pPr>
        <w:ind w:left="126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No. 001-35095, filed with the SEC on February 25,2022).</w:t>
        </w:r>
      </w:hyperlink>
    </w:p>
    <w:p>
      <w:pPr>
        <w:spacing w:after="0" w:line="11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FF"/>
        </w:rPr>
        <w:t>21</w:t>
      </w:r>
      <w:r>
        <w:rPr>
          <w:sz w:val="20"/>
          <w:szCs w:val="20"/>
          <w:color w:val="auto"/>
        </w:rPr>
        <w:tab/>
      </w:r>
      <w:r>
        <w:rPr>
          <w:rFonts w:ascii="Times New Roman" w:cs="Times New Roman" w:eastAsia="Times New Roman" w:hAnsi="Times New Roman"/>
          <w:sz w:val="18"/>
          <w:szCs w:val="18"/>
          <w:u w:val="single" w:color="auto"/>
          <w:color w:val="0000FF"/>
        </w:rPr>
        <w:t>Subsidiaries of United Community Banks, Inc.</w:t>
      </w:r>
      <w:r>
        <w:rPr>
          <w:rFonts w:ascii="Times New Roman" w:cs="Times New Roman" w:eastAsia="Times New Roman" w:hAnsi="Times New Roman"/>
          <w:sz w:val="18"/>
          <w:szCs w:val="18"/>
          <w:color w:val="000000"/>
        </w:rPr>
        <w:t>**</w:t>
      </w:r>
    </w:p>
    <w:p>
      <w:pPr>
        <w:spacing w:after="0" w:line="71" w:lineRule="exact"/>
        <w:rPr>
          <w:sz w:val="20"/>
          <w:szCs w:val="20"/>
          <w:color w:val="auto"/>
        </w:rPr>
      </w:pPr>
    </w:p>
    <w:p>
      <w:pPr>
        <w:ind w:left="1260" w:hanging="1236"/>
        <w:spacing w:after="0"/>
        <w:tabs>
          <w:tab w:leader="none" w:pos="126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00"/>
        </w:rPr>
        <w:t>**</w:t>
      </w:r>
    </w:p>
    <w:p>
      <w:pPr>
        <w:spacing w:after="0" w:line="71" w:lineRule="exact"/>
        <w:rPr>
          <w:rFonts w:ascii="Times New Roman" w:cs="Times New Roman" w:eastAsia="Times New Roman" w:hAnsi="Times New Roman"/>
          <w:sz w:val="18"/>
          <w:szCs w:val="18"/>
          <w:u w:val="single" w:color="auto"/>
          <w:color w:val="0000FF"/>
        </w:rPr>
      </w:pPr>
    </w:p>
    <w:p>
      <w:pPr>
        <w:ind w:left="1260" w:hanging="1236"/>
        <w:spacing w:after="0"/>
        <w:tabs>
          <w:tab w:leader="none" w:pos="126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Power of Attorney of certain officers and directors of United (included on signature page hereto)</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rPr>
              <w:t>Certification of Chief Executive Officer under Exchange Act Rule 13a-14(a)</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rPr>
              <w:t>Certification of Chief Financial Officer under Exchange Act Rule 13a-14(a)</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70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0000FF"/>
                <w:w w:val="97"/>
              </w:rPr>
              <w:t>Certifications of CEO and CFO pursuant to 18 U.S.C. Section 1350 (furnished only)</w:t>
            </w:r>
            <w:r>
              <w:rPr>
                <w:rFonts w:ascii="Times New Roman" w:cs="Times New Roman" w:eastAsia="Times New Roman" w:hAnsi="Times New Roman"/>
                <w:sz w:val="18"/>
                <w:szCs w:val="18"/>
                <w:color w:val="000000"/>
                <w:w w:val="97"/>
              </w:rPr>
              <w:t>**</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p>
      <w:pPr>
        <w:sectPr>
          <w:pgSz w:w="11900" w:h="16838" w:orient="portrait"/>
          <w:cols w:equalWidth="0" w:num="1">
            <w:col w:w="11200"/>
          </w:cols>
          <w:pgMar w:left="320" w:top="940" w:right="37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the Inline XBRL document</w:t>
      </w:r>
    </w:p>
    <w:p>
      <w:pPr>
        <w:spacing w:after="0" w:line="47" w:lineRule="exact"/>
        <w:rPr>
          <w:sz w:val="20"/>
          <w:szCs w:val="20"/>
          <w:color w:val="auto"/>
        </w:rPr>
      </w:pPr>
    </w:p>
    <w:p>
      <w:pPr>
        <w:sectPr>
          <w:pgSz w:w="11900" w:h="16838" w:orient="portrait"/>
          <w:cols w:equalWidth="0" w:num="2">
            <w:col w:w="800" w:space="460"/>
            <w:col w:w="9940"/>
          </w:cols>
          <w:pgMar w:left="320" w:top="9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83" w:lineRule="exact"/>
        <w:rPr>
          <w:sz w:val="20"/>
          <w:szCs w:val="20"/>
          <w:color w:val="auto"/>
        </w:rPr>
      </w:pPr>
    </w:p>
    <w:p>
      <w:pPr>
        <w:sectPr>
          <w:pgSz w:w="11900" w:h="16838" w:orient="portrait"/>
          <w:cols w:equalWidth="0" w:num="2">
            <w:col w:w="860" w:space="400"/>
            <w:col w:w="9940"/>
          </w:cols>
          <w:pgMar w:left="320" w:top="9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p>
      <w:pPr>
        <w:spacing w:after="0" w:line="83" w:lineRule="exact"/>
        <w:rPr>
          <w:sz w:val="20"/>
          <w:szCs w:val="20"/>
          <w:color w:val="auto"/>
        </w:rPr>
      </w:pPr>
    </w:p>
    <w:p>
      <w:pPr>
        <w:sectPr>
          <w:pgSz w:w="11900" w:h="16838" w:orient="portrait"/>
          <w:cols w:equalWidth="0" w:num="2">
            <w:col w:w="860" w:space="400"/>
            <w:col w:w="9940"/>
          </w:cols>
          <w:pgMar w:left="320" w:top="9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Label Linkbase Document</w:t>
      </w:r>
    </w:p>
    <w:p>
      <w:pPr>
        <w:spacing w:after="0" w:line="83" w:lineRule="exact"/>
        <w:rPr>
          <w:sz w:val="20"/>
          <w:szCs w:val="20"/>
          <w:color w:val="auto"/>
        </w:rPr>
      </w:pPr>
    </w:p>
    <w:p>
      <w:pPr>
        <w:sectPr>
          <w:pgSz w:w="11900" w:h="16838" w:orient="portrait"/>
          <w:cols w:equalWidth="0" w:num="2">
            <w:col w:w="860" w:space="400"/>
            <w:col w:w="9940"/>
          </w:cols>
          <w:pgMar w:left="320" w:top="9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Presentation Linkbase Document</w:t>
      </w:r>
    </w:p>
    <w:p>
      <w:pPr>
        <w:spacing w:after="0" w:line="83" w:lineRule="exact"/>
        <w:rPr>
          <w:sz w:val="20"/>
          <w:szCs w:val="20"/>
          <w:color w:val="auto"/>
        </w:rPr>
      </w:pPr>
    </w:p>
    <w:p>
      <w:pPr>
        <w:sectPr>
          <w:pgSz w:w="11900" w:h="16838" w:orient="portrait"/>
          <w:cols w:equalWidth="0" w:num="2">
            <w:col w:w="840" w:space="420"/>
            <w:col w:w="9940"/>
          </w:cols>
          <w:pgMar w:left="320" w:top="9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83" w:lineRule="exact"/>
        <w:rPr>
          <w:sz w:val="20"/>
          <w:szCs w:val="20"/>
          <w:color w:val="auto"/>
        </w:rPr>
      </w:pPr>
    </w:p>
    <w:p>
      <w:pPr>
        <w:sectPr>
          <w:pgSz w:w="11900" w:h="16838" w:orient="portrait"/>
          <w:cols w:equalWidth="0" w:num="2">
            <w:col w:w="840" w:space="420"/>
            <w:col w:w="9940"/>
          </w:cols>
          <w:pgMar w:left="320" w:top="940" w:right="379" w:bottom="1440" w:gutter="0" w:footer="0" w:header="0"/>
          <w:type w:val="continuous"/>
        </w:sectPr>
      </w:pPr>
    </w:p>
    <w:p>
      <w:pPr>
        <w:ind w:left="1260" w:hanging="1236"/>
        <w:spacing w:after="0"/>
        <w:tabs>
          <w:tab w:leader="none" w:pos="12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347" w:lineRule="exact"/>
        <w:rPr>
          <w:rFonts w:ascii="Times New Roman" w:cs="Times New Roman" w:eastAsia="Times New Roman" w:hAnsi="Times New Roman"/>
          <w:sz w:val="17"/>
          <w:szCs w:val="17"/>
          <w:color w:val="auto"/>
        </w:rPr>
      </w:pPr>
    </w:p>
    <w:p>
      <w:pPr>
        <w:ind w:left="280" w:hanging="274"/>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filed or furnished herewith.</w:t>
      </w:r>
    </w:p>
    <w:p>
      <w:pPr>
        <w:spacing w:after="0" w:line="1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40" w:right="379" w:bottom="1440" w:gutter="0" w:footer="0" w:header="0"/>
          <w:type w:val="continuous"/>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United has duly caused this annual report on Form 10-K, to be signed on its behalf by the undersigned, thereunto duly authorized, on the 24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day of February, 2023.</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p>
    <w:p>
      <w:pPr>
        <w:sectPr>
          <w:pgSz w:w="11900" w:h="16838" w:orient="portrait"/>
          <w:cols w:equalWidth="0" w:num="1">
            <w:col w:w="11240"/>
          </w:cols>
          <w:pgMar w:left="320" w:top="914" w:right="339" w:bottom="1440" w:gutter="0" w:footer="0" w:header="0"/>
        </w:sect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899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899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H. Kumler</w:t>
      </w:r>
    </w:p>
    <w:p>
      <w:pPr>
        <w:spacing w:after="0" w:line="24" w:lineRule="exact"/>
        <w:rPr>
          <w:sz w:val="20"/>
          <w:szCs w:val="20"/>
          <w:color w:val="auto"/>
        </w:rPr>
      </w:pPr>
    </w:p>
    <w:p>
      <w:pPr>
        <w:ind w:left="20" w:right="1860"/>
        <w:spacing w:after="0" w:line="282" w:lineRule="auto"/>
        <w:rPr>
          <w:sz w:val="20"/>
          <w:szCs w:val="20"/>
          <w:color w:val="auto"/>
        </w:rPr>
      </w:pPr>
      <w:r>
        <w:rPr>
          <w:rFonts w:ascii="Times New Roman" w:cs="Times New Roman" w:eastAsia="Times New Roman" w:hAnsi="Times New Roman"/>
          <w:sz w:val="18"/>
          <w:szCs w:val="18"/>
          <w:color w:val="auto"/>
        </w:rPr>
        <w:t>Senior Vice President, Chief Accounting Officer (Principal Accounting Officer)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2981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3" w:lineRule="exact"/>
        <w:rPr>
          <w:sz w:val="20"/>
          <w:szCs w:val="20"/>
          <w:color w:val="auto"/>
        </w:rPr>
      </w:pPr>
    </w:p>
    <w:p>
      <w:pPr>
        <w:sectPr>
          <w:pgSz w:w="11900" w:h="16838" w:orient="portrait"/>
          <w:cols w:equalWidth="0" w:num="2">
            <w:col w:w="5320" w:space="720"/>
            <w:col w:w="5200"/>
          </w:cols>
          <w:pgMar w:left="320" w:top="9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United and in the capacities set forth and on the 22nd day of February, 2023.</w:t>
      </w:r>
    </w:p>
    <w:p>
      <w:pPr>
        <w:sectPr>
          <w:pgSz w:w="11900" w:h="16838" w:orient="portrait"/>
          <w:cols w:equalWidth="0" w:num="1">
            <w:col w:w="11240"/>
          </w:cols>
          <w:pgMar w:left="320" w:top="914" w:right="339" w:bottom="1440" w:gutter="0" w:footer="0" w:header="0"/>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20" w:right="1840"/>
        <w:spacing w:after="0" w:line="282" w:lineRule="auto"/>
        <w:rPr>
          <w:sz w:val="20"/>
          <w:szCs w:val="20"/>
          <w:color w:val="auto"/>
        </w:rPr>
      </w:pPr>
      <w:r>
        <w:rPr>
          <w:rFonts w:ascii="Times New Roman" w:cs="Times New Roman" w:eastAsia="Times New Roman" w:hAnsi="Times New Roman"/>
          <w:sz w:val="18"/>
          <w:szCs w:val="18"/>
          <w:color w:val="auto"/>
        </w:rPr>
        <w:t>Chairman, President, and Chief Executive Officer (Principal Executive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20" w:right="1600"/>
        <w:spacing w:after="0" w:line="282"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H. Kumler</w:t>
      </w:r>
    </w:p>
    <w:p>
      <w:pPr>
        <w:spacing w:after="0" w:line="24" w:lineRule="exact"/>
        <w:rPr>
          <w:sz w:val="20"/>
          <w:szCs w:val="20"/>
          <w:color w:val="auto"/>
        </w:rPr>
      </w:pPr>
    </w:p>
    <w:p>
      <w:pPr>
        <w:ind w:left="20" w:right="1920"/>
        <w:spacing w:after="0" w:line="297" w:lineRule="auto"/>
        <w:rPr>
          <w:sz w:val="20"/>
          <w:szCs w:val="20"/>
          <w:color w:val="auto"/>
        </w:rPr>
      </w:pPr>
      <w:r>
        <w:rPr>
          <w:rFonts w:ascii="Times New Roman" w:cs="Times New Roman" w:eastAsia="Times New Roman" w:hAnsi="Times New Roman"/>
          <w:sz w:val="18"/>
          <w:szCs w:val="18"/>
          <w:color w:val="auto"/>
        </w:rPr>
        <w:t>Senior Vice President, Chief Accounting Officer (Principal Accounting Officer)</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A. Richlovsky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Jennifer M. Bazante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M. Bazante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George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Bell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2562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Blalock</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P. Clements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L. Daniels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32562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F. Drummond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Mann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 Shaver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Wallis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2562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 Wilkins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889" w:lineRule="exact"/>
        <w:rPr>
          <w:sz w:val="20"/>
          <w:szCs w:val="20"/>
          <w:color w:val="auto"/>
        </w:rPr>
      </w:pPr>
    </w:p>
    <w:p>
      <w:pPr>
        <w:sectPr>
          <w:pgSz w:w="11900" w:h="16838" w:orient="portrait"/>
          <w:cols w:equalWidth="0" w:num="2">
            <w:col w:w="5380" w:space="720"/>
            <w:col w:w="5140"/>
          </w:cols>
          <w:pgMar w:left="320" w:top="9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240"/>
          </w:cols>
          <w:pgMar w:left="320" w:top="914" w:right="339" w:bottom="1440" w:gutter="0" w:footer="0" w:header="0"/>
          <w:type w:val="continuous"/>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2022 OMNIBUS EQUITY PLAN</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PERFORMANCE-BASED</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(Key Employee)</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81"/>
        </w:trPr>
        <w:tc>
          <w:tcPr>
            <w:tcW w:w="54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Grantee: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Target Number of Performance-Based Restricted Stock</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21"/>
                <w:szCs w:val="21"/>
                <w:color w:val="auto"/>
              </w:rPr>
              <w:t>______________ Target PSUs, subject to increase based on</w:t>
            </w:r>
          </w:p>
        </w:tc>
        <w:tc>
          <w:tcPr>
            <w:tcW w:w="0" w:type="dxa"/>
            <w:vAlign w:val="bottom"/>
          </w:tcPr>
          <w:p>
            <w:pPr>
              <w:spacing w:after="0"/>
              <w:rPr>
                <w:sz w:val="1"/>
                <w:szCs w:val="1"/>
                <w:color w:val="auto"/>
              </w:rPr>
            </w:pPr>
          </w:p>
        </w:tc>
      </w:tr>
      <w:tr>
        <w:trPr>
          <w:trHeight w:val="212"/>
        </w:trPr>
        <w:tc>
          <w:tcPr>
            <w:tcW w:w="5420" w:type="dxa"/>
            <w:vAlign w:val="bottom"/>
          </w:tcPr>
          <w:p>
            <w:pPr>
              <w:spacing w:after="0" w:line="212" w:lineRule="exact"/>
              <w:rPr>
                <w:sz w:val="20"/>
                <w:szCs w:val="20"/>
                <w:color w:val="auto"/>
              </w:rPr>
            </w:pPr>
            <w:r>
              <w:rPr>
                <w:rFonts w:ascii="Times New Roman" w:cs="Times New Roman" w:eastAsia="Times New Roman" w:hAnsi="Times New Roman"/>
                <w:sz w:val="21"/>
                <w:szCs w:val="21"/>
                <w:b w:val="1"/>
                <w:bCs w:val="1"/>
                <w:color w:val="auto"/>
              </w:rPr>
              <w:t>Units Granted:</w:t>
            </w:r>
          </w:p>
        </w:tc>
        <w:tc>
          <w:tcPr>
            <w:tcW w:w="5620" w:type="dxa"/>
            <w:vAlign w:val="bottom"/>
            <w:gridSpan w:val="3"/>
          </w:tcPr>
          <w:p>
            <w:pPr>
              <w:ind w:left="200"/>
              <w:spacing w:after="0" w:line="212" w:lineRule="exact"/>
              <w:rPr>
                <w:sz w:val="20"/>
                <w:szCs w:val="20"/>
                <w:color w:val="auto"/>
              </w:rPr>
            </w:pPr>
            <w:r>
              <w:rPr>
                <w:rFonts w:ascii="Times New Roman" w:cs="Times New Roman" w:eastAsia="Times New Roman" w:hAnsi="Times New Roman"/>
                <w:sz w:val="21"/>
                <w:szCs w:val="21"/>
                <w:color w:val="auto"/>
              </w:rPr>
              <w:t>level of achievement of performance criteria in accordance with</w:t>
            </w:r>
          </w:p>
        </w:tc>
        <w:tc>
          <w:tcPr>
            <w:tcW w:w="0" w:type="dxa"/>
            <w:vAlign w:val="bottom"/>
          </w:tcPr>
          <w:p>
            <w:pPr>
              <w:spacing w:after="0"/>
              <w:rPr>
                <w:sz w:val="1"/>
                <w:szCs w:val="1"/>
                <w:color w:val="auto"/>
              </w:rPr>
            </w:pPr>
          </w:p>
        </w:tc>
      </w:tr>
      <w:tr>
        <w:trPr>
          <w:trHeight w:val="277"/>
        </w:trPr>
        <w:tc>
          <w:tcPr>
            <w:tcW w:w="5420" w:type="dxa"/>
            <w:vAlign w:val="bottom"/>
          </w:tcPr>
          <w:p>
            <w:pPr>
              <w:spacing w:after="0"/>
              <w:rPr>
                <w:sz w:val="24"/>
                <w:szCs w:val="24"/>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21"/>
                <w:szCs w:val="21"/>
                <w:color w:val="auto"/>
              </w:rPr>
              <w:t>this Agreement</w:t>
            </w:r>
          </w:p>
        </w:tc>
        <w:tc>
          <w:tcPr>
            <w:tcW w:w="0" w:type="dxa"/>
            <w:vAlign w:val="bottom"/>
          </w:tcPr>
          <w:p>
            <w:pPr>
              <w:spacing w:after="0"/>
              <w:rPr>
                <w:sz w:val="1"/>
                <w:szCs w:val="1"/>
                <w:color w:val="auto"/>
              </w:rPr>
            </w:pPr>
          </w:p>
        </w:tc>
      </w:tr>
      <w:tr>
        <w:trPr>
          <w:trHeight w:val="529"/>
        </w:trPr>
        <w:tc>
          <w:tcPr>
            <w:tcW w:w="54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Date of Grant:</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Vesting Schedule for Performance-Based Restricted Stock</w:t>
            </w:r>
          </w:p>
        </w:tc>
        <w:tc>
          <w:tcPr>
            <w:tcW w:w="5620" w:type="dxa"/>
            <w:vAlign w:val="bottom"/>
            <w:gridSpan w:val="3"/>
            <w:vMerge w:val="restart"/>
          </w:tcPr>
          <w:p>
            <w:pPr>
              <w:ind w:left="200"/>
              <w:spacing w:after="0"/>
              <w:rPr>
                <w:sz w:val="20"/>
                <w:szCs w:val="20"/>
                <w:color w:val="auto"/>
              </w:rPr>
            </w:pPr>
            <w:r>
              <w:rPr>
                <w:rFonts w:ascii="Times New Roman" w:cs="Times New Roman" w:eastAsia="Times New Roman" w:hAnsi="Times New Roman"/>
                <w:sz w:val="21"/>
                <w:szCs w:val="21"/>
                <w:color w:val="auto"/>
              </w:rPr>
              <w:t>See Schedule A</w:t>
            </w:r>
          </w:p>
        </w:tc>
        <w:tc>
          <w:tcPr>
            <w:tcW w:w="0" w:type="dxa"/>
            <w:vAlign w:val="bottom"/>
          </w:tcPr>
          <w:p>
            <w:pPr>
              <w:spacing w:after="0"/>
              <w:rPr>
                <w:sz w:val="1"/>
                <w:szCs w:val="1"/>
                <w:color w:val="auto"/>
              </w:rPr>
            </w:pPr>
          </w:p>
        </w:tc>
      </w:tr>
      <w:tr>
        <w:trPr>
          <w:trHeight w:val="225"/>
        </w:trPr>
        <w:tc>
          <w:tcPr>
            <w:tcW w:w="5420" w:type="dxa"/>
            <w:vAlign w:val="bottom"/>
          </w:tcPr>
          <w:p>
            <w:pPr>
              <w:spacing w:after="0" w:line="225" w:lineRule="exact"/>
              <w:rPr>
                <w:sz w:val="20"/>
                <w:szCs w:val="20"/>
                <w:color w:val="auto"/>
              </w:rPr>
            </w:pPr>
            <w:r>
              <w:rPr>
                <w:rFonts w:ascii="Times New Roman" w:cs="Times New Roman" w:eastAsia="Times New Roman" w:hAnsi="Times New Roman"/>
                <w:sz w:val="21"/>
                <w:szCs w:val="21"/>
                <w:b w:val="1"/>
                <w:bCs w:val="1"/>
                <w:color w:val="auto"/>
              </w:rPr>
              <w:t>Units:</w:t>
            </w:r>
          </w:p>
        </w:tc>
        <w:tc>
          <w:tcPr>
            <w:tcW w:w="56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as of the _____day of ______, _________, by and between</w:t>
      </w:r>
    </w:p>
    <w:p>
      <w:pPr>
        <w:jc w:val="both"/>
        <w:spacing w:after="0" w:line="231" w:lineRule="auto"/>
        <w:rPr>
          <w:sz w:val="20"/>
          <w:szCs w:val="20"/>
          <w:color w:val="auto"/>
        </w:rPr>
      </w:pPr>
      <w:r>
        <w:rPr>
          <w:rFonts w:ascii="Times New Roman" w:cs="Times New Roman" w:eastAsia="Times New Roman" w:hAnsi="Times New Roman"/>
          <w:sz w:val="21"/>
          <w:szCs w:val="21"/>
          <w:b w:val="1"/>
          <w:bCs w:val="1"/>
          <w:color w:val="auto"/>
        </w:rPr>
        <w:t>UNITED COMMUNITY BANKS, INC.</w:t>
      </w:r>
      <w:r>
        <w:rPr>
          <w:rFonts w:ascii="Times New Roman" w:cs="Times New Roman" w:eastAsia="Times New Roman" w:hAnsi="Times New Roman"/>
          <w:sz w:val="21"/>
          <w:szCs w:val="21"/>
          <w:color w:val="auto"/>
        </w:rPr>
        <w:t>, a Georgia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individual designated above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Grantee</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maintains the United Community Banks, Inc. 2022 Omnibus Equity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Grantee has been selected by the Committee to receive a Performance-Based Restricted Stock Unit Award under the Plan, vesting in four equal annual installments based upon the Grantee’s continued employment with the Company and the fulfillment of the performance criteria as set forth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with respect to each Performance Period (as defined below); and</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performance criteria, if any, shall be established as reasonable and achievable goals consistent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safe and sound operation of the Company;</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NOW, THEREFORE, IT IS AGREED</w:t>
      </w:r>
      <w:r>
        <w:rPr>
          <w:rFonts w:ascii="Times New Roman" w:cs="Times New Roman" w:eastAsia="Times New Roman" w:hAnsi="Times New Roman"/>
          <w:sz w:val="21"/>
          <w:szCs w:val="21"/>
          <w:color w:val="auto"/>
        </w:rPr>
        <w:t>, by and between the Company and the Grantee, as follows:</w:t>
      </w:r>
    </w:p>
    <w:p>
      <w:pPr>
        <w:spacing w:after="0" w:line="183" w:lineRule="exact"/>
        <w:rPr>
          <w:sz w:val="20"/>
          <w:szCs w:val="20"/>
          <w:color w:val="auto"/>
        </w:rPr>
      </w:pPr>
    </w:p>
    <w:p>
      <w:pPr>
        <w:ind w:left="1280" w:hanging="638"/>
        <w:spacing w:after="0"/>
        <w:tabs>
          <w:tab w:leader="none" w:pos="128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of Restricted Stock Units</w:t>
      </w:r>
    </w:p>
    <w:p>
      <w:pPr>
        <w:spacing w:after="0" w:line="187"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1.a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hereby grants to the Grantee an award of Performance-Based Restricted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at target-level performance in the amount set forth above, subject to, and in accordance with, the restrictions, terms, and conditions set forth in this Agreement and the Plan. The grant date of this award of PSUs is set forth above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1.b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xml:space="preserve">. This Agreement (including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if applicable)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ectPr>
          <w:pgSz w:w="11900" w:h="16838" w:orient="portrait"/>
          <w:cols w:equalWidth="0" w:num="1">
            <w:col w:w="11240"/>
          </w:cols>
          <w:pgMar w:left="320" w:top="119" w:right="339" w:bottom="1440" w:gutter="0" w:footer="0" w:header="0"/>
        </w:sectPr>
      </w:pPr>
    </w:p>
    <w:bookmarkStart w:id="132" w:name="page133"/>
    <w:bookmarkEnd w:id="132"/>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1.c </w:t>
      </w:r>
      <w:r>
        <w:rPr>
          <w:rFonts w:ascii="Times New Roman" w:cs="Times New Roman" w:eastAsia="Times New Roman" w:hAnsi="Times New Roman"/>
          <w:sz w:val="21"/>
          <w:szCs w:val="21"/>
          <w:u w:val="single" w:color="auto"/>
          <w:color w:val="auto"/>
        </w:rPr>
        <w:t>Execution of the Agreement</w:t>
      </w:r>
      <w:r>
        <w:rPr>
          <w:rFonts w:ascii="Times New Roman" w:cs="Times New Roman" w:eastAsia="Times New Roman" w:hAnsi="Times New Roman"/>
          <w:sz w:val="21"/>
          <w:szCs w:val="21"/>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thirty (30) days of the Date of Grant, it may be canceled by the Committee, resulting in the immediate forfeiture of all PSUs granted hereunder.</w:t>
      </w:r>
    </w:p>
    <w:p>
      <w:pPr>
        <w:spacing w:after="0" w:line="146" w:lineRule="exact"/>
        <w:rPr>
          <w:sz w:val="20"/>
          <w:szCs w:val="20"/>
          <w:color w:val="auto"/>
        </w:rPr>
      </w:pPr>
    </w:p>
    <w:p>
      <w:pPr>
        <w:ind w:left="1280" w:hanging="638"/>
        <w:spacing w:after="0"/>
        <w:tabs>
          <w:tab w:leader="none" w:pos="128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Termination of Employment</w:t>
      </w:r>
    </w:p>
    <w:p>
      <w:pPr>
        <w:spacing w:after="0" w:line="187" w:lineRule="exact"/>
        <w:rPr>
          <w:sz w:val="20"/>
          <w:szCs w:val="20"/>
          <w:color w:val="auto"/>
        </w:rPr>
      </w:pPr>
    </w:p>
    <w:p>
      <w:pPr>
        <w:jc w:val="both"/>
        <w:ind w:firstLine="1272"/>
        <w:spacing w:after="0" w:line="215" w:lineRule="auto"/>
        <w:rPr>
          <w:sz w:val="20"/>
          <w:szCs w:val="20"/>
          <w:color w:val="auto"/>
        </w:rPr>
      </w:pPr>
      <w:r>
        <w:rPr>
          <w:rFonts w:ascii="Times New Roman" w:cs="Times New Roman" w:eastAsia="Times New Roman" w:hAnsi="Times New Roman"/>
          <w:sz w:val="21"/>
          <w:szCs w:val="21"/>
          <w:color w:val="auto"/>
        </w:rPr>
        <w:t xml:space="preserve">2.a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 earned amount of PSUs, determined based on the level of achievement of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at the completion of each Performance Period as certified by the Committee (the “</w:t>
      </w:r>
      <w:r>
        <w:rPr>
          <w:rFonts w:ascii="Times New Roman" w:cs="Times New Roman" w:eastAsia="Times New Roman" w:hAnsi="Times New Roman"/>
          <w:sz w:val="21"/>
          <w:szCs w:val="21"/>
          <w:b w:val="1"/>
          <w:bCs w:val="1"/>
          <w:i w:val="1"/>
          <w:iCs w:val="1"/>
          <w:color w:val="auto"/>
        </w:rPr>
        <w:t>Earned PSUs</w:t>
      </w:r>
      <w:r>
        <w:rPr>
          <w:rFonts w:ascii="Times New Roman" w:cs="Times New Roman" w:eastAsia="Times New Roman" w:hAnsi="Times New Roman"/>
          <w:sz w:val="21"/>
          <w:szCs w:val="21"/>
          <w:color w:val="auto"/>
        </w:rPr>
        <w:t xml:space="preserve">”), shall vest on the applicable vesting date for such Performance Period contingent upon the Grantee’s continuous employment by the Company through such applicable vesting date for such Performance Period as specified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the fiscal year period with respect to which the performance criteria are measured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Except as otherwise provided herein, as soon as practicable (and no later than thirty (30) days) after the Vesting Date following completion of the applicable Performance Period (or such earlier vesting date in the event of a termination of employment as provided herein), a number of Shares equal to the Earned PSUs for such Performance Period (or such other amount in the event of a termination of employment or a Change in Control as provided herein) shall be issued to the Grantee (or, if the Grantee has died, to his or her surviving spouse or, if none, to the Grantee’s estate)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 For purposes of this Agreement, employment with a Subsidiary of the Company or service as a member of the Board of Directors of the Company or a Subsidiary shall be considered employment with the Company.</w:t>
      </w:r>
    </w:p>
    <w:p>
      <w:pPr>
        <w:spacing w:after="0" w:line="156" w:lineRule="exact"/>
        <w:rPr>
          <w:sz w:val="20"/>
          <w:szCs w:val="20"/>
          <w:color w:val="auto"/>
        </w:rPr>
      </w:pPr>
    </w:p>
    <w:p>
      <w:pPr>
        <w:jc w:val="both"/>
        <w:ind w:firstLine="1272"/>
        <w:spacing w:after="0" w:line="214" w:lineRule="auto"/>
        <w:rPr>
          <w:sz w:val="20"/>
          <w:szCs w:val="20"/>
          <w:color w:val="auto"/>
        </w:rPr>
      </w:pPr>
      <w:r>
        <w:rPr>
          <w:rFonts w:ascii="Times New Roman" w:cs="Times New Roman" w:eastAsia="Times New Roman" w:hAnsi="Times New Roman"/>
          <w:sz w:val="21"/>
          <w:szCs w:val="21"/>
          <w:color w:val="auto"/>
        </w:rPr>
        <w:t xml:space="preserve">2.b </w:t>
      </w:r>
      <w:r>
        <w:rPr>
          <w:rFonts w:ascii="Times New Roman" w:cs="Times New Roman" w:eastAsia="Times New Roman" w:hAnsi="Times New Roman"/>
          <w:sz w:val="21"/>
          <w:szCs w:val="21"/>
          <w:u w:val="single" w:color="auto"/>
          <w:color w:val="auto"/>
        </w:rPr>
        <w:t>Termination of Employment Due to Death or Disability</w:t>
      </w:r>
      <w:r>
        <w:rPr>
          <w:rFonts w:ascii="Times New Roman" w:cs="Times New Roman" w:eastAsia="Times New Roman" w:hAnsi="Times New Roman"/>
          <w:sz w:val="21"/>
          <w:szCs w:val="21"/>
          <w:color w:val="auto"/>
        </w:rPr>
        <w:t xml:space="preserve">. If the Grantee’s employment is terminated by the Company as a result of death or Disability (as defined in the Plan) and (i) if the Date of Termination occurs prior to a Change in Control, (a) for any completed Performance Period that ended prior to the Date of Termination (but for which the Vesting Date has not occurred or the level of achievement of performance has not been determined), the Earned PSUs, as determined by the Committee on the same basis as applies to other PSU Award holders, shall vest in full immediately as of the Date of Termination (or, if later, as of the date the Committee certifies the level of achievement of performance for such Performance Period), and (b) for any incomplete or remaining Performance Periods, the number of Shares that would have been earned assuming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are achieved at target performance level shall vest in full immediately as of the Date of Termination; and (ii) if the Date of Termination occurs on or after a Change in Control, the number of CIC Earned PSUs (as defined below) as determined by the Committee in connection with such Change in Control in accordance with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shall vest in full immediately as of the Date of Termination. Shares equal to the Earned PSUs determined hereunder or the CIC Earned PSUs, as applicable, shall be issued to the Grantee (or, if the Grantee has died, to his or her surviving spouse or, if none, to the Grantee’s estate) as soon as practicable (and no later than thirty (30) days) after the Date of Termination (or, if later, the date the Committee certifies the level of achievement of performance for such Performance Period)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w:t>
      </w:r>
    </w:p>
    <w:p>
      <w:pPr>
        <w:spacing w:after="0" w:line="162"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2.c </w:t>
      </w:r>
      <w:r>
        <w:rPr>
          <w:rFonts w:ascii="Times New Roman" w:cs="Times New Roman" w:eastAsia="Times New Roman" w:hAnsi="Times New Roman"/>
          <w:sz w:val="21"/>
          <w:szCs w:val="21"/>
          <w:u w:val="single" w:color="auto"/>
          <w:color w:val="auto"/>
        </w:rPr>
        <w:t>Termination of Employment by the Company Without Cause or by the Grantee for Good Reason Prior to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If, prior to a Change in Control, the Grantee’s employment is terminated and such termination is either (i) an involuntary termination by the Company without Cause (as defined herein) and does not arise as a result of the Grantee’s death or Disability or (ii) a termination by the Grantee for Good Reason (as defined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1" w:right="339" w:bottom="1440" w:gutter="0" w:footer="0" w:header="0"/>
        </w:sectPr>
      </w:pPr>
    </w:p>
    <w:bookmarkStart w:id="133" w:name="page134"/>
    <w:bookmarkEnd w:id="133"/>
    <w:p>
      <w:pPr>
        <w:jc w:val="both"/>
        <w:ind w:firstLine="6"/>
        <w:spacing w:after="0" w:line="214" w:lineRule="auto"/>
        <w:tabs>
          <w:tab w:leader="none" w:pos="3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completed Performance Period that ended prior to the Date of Termination (but for which the Vesting Date has not occurred or the level of achievement of performance has not been determined), the Earned PSUs, as determined by the Committee on the same basis as applies to other PSU Award holders, shall vest in full immediately as of the Date of Termination (or, if later, as of the date the Committee certifies the level of achievement of performance for such Performance Period), and (b) for the Performance Period in which the Date of Termination occurs, the PSUs for such Performance Period shall remain outstanding and continue to be eligible to be earned based on the level of achievement of the performance criteria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as determined by the Committee on the same basis as applies to other PSU Award holders, with the number of Earned PSUs that vest to equal to the product of (1) the Earned PSUs and (2) a fraction, the numerator of which is the number of days the Grantee was employed by the Company during the applicable Performance Period prior to the Date of Termination, and the denominator of which is the total number of days in the Performance Period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applicable fiscal year). All other outstanding unvested PSUs shall immediately be forfeited as of the Date of Termination. Shares equal to the Earned PSUs determined hereunder shall be issued to the Grantee (or, if the Grantee has died, to his or her surviving spouse or, if none, to the Grantee’s estate) as soon as practicable (and no later than thirty (30) days) after the Date of Termination (or, if later, the date the Committee certifies the level of achievement of performance for such Performance Period)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2.d</w:t>
      </w:r>
      <w:r>
        <w:rPr>
          <w:sz w:val="20"/>
          <w:szCs w:val="20"/>
          <w:color w:val="auto"/>
        </w:rPr>
        <w:tab/>
      </w:r>
      <w:r>
        <w:rPr>
          <w:rFonts w:ascii="Times New Roman" w:cs="Times New Roman" w:eastAsia="Times New Roman" w:hAnsi="Times New Roman"/>
          <w:sz w:val="21"/>
          <w:szCs w:val="21"/>
          <w:u w:val="single" w:color="auto"/>
          <w:color w:val="auto"/>
        </w:rPr>
        <w:t>Treatment upon a Change in Control</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640" w:firstLine="895"/>
        <w:spacing w:after="0" w:line="217" w:lineRule="auto"/>
        <w:rPr>
          <w:sz w:val="20"/>
          <w:szCs w:val="20"/>
          <w:color w:val="auto"/>
        </w:rPr>
      </w:pPr>
      <w:r>
        <w:rPr>
          <w:rFonts w:ascii="Times New Roman" w:cs="Times New Roman" w:eastAsia="Times New Roman" w:hAnsi="Times New Roman"/>
          <w:sz w:val="21"/>
          <w:szCs w:val="21"/>
          <w:color w:val="auto"/>
        </w:rPr>
        <w:t>2.4.i</w:t>
      </w:r>
      <w:r>
        <w:rPr>
          <w:rFonts w:ascii="Times New Roman" w:cs="Times New Roman" w:eastAsia="Times New Roman" w:hAnsi="Times New Roman"/>
          <w:sz w:val="21"/>
          <w:szCs w:val="21"/>
          <w:i w:val="1"/>
          <w:iCs w:val="1"/>
          <w:color w:val="auto"/>
        </w:rPr>
        <w:t>Determination of Level of Achievement of Performance Criteria</w:t>
      </w:r>
      <w:r>
        <w:rPr>
          <w:rFonts w:ascii="Times New Roman" w:cs="Times New Roman" w:eastAsia="Times New Roman" w:hAnsi="Times New Roman"/>
          <w:sz w:val="21"/>
          <w:szCs w:val="21"/>
          <w:color w:val="auto"/>
        </w:rPr>
        <w:t>. Upon a Change in Control, for any Performance Period applicable to the PSUs for which the measurement of the performance criteria has not been previously certified by the Committee (including, for the avoidance of doubt, any incomplete or remaining Performance Periods), the performance criteria applicable to any unvested PSUs shall be deemed achieved at the greater of the target and actual level of performance (the number of such Earned PSUs, the “</w:t>
      </w:r>
      <w:r>
        <w:rPr>
          <w:rFonts w:ascii="Times New Roman" w:cs="Times New Roman" w:eastAsia="Times New Roman" w:hAnsi="Times New Roman"/>
          <w:sz w:val="21"/>
          <w:szCs w:val="21"/>
          <w:b w:val="1"/>
          <w:bCs w:val="1"/>
          <w:i w:val="1"/>
          <w:iCs w:val="1"/>
          <w:color w:val="auto"/>
        </w:rPr>
        <w:t>CIC Earned PSUs</w:t>
      </w:r>
      <w:r>
        <w:rPr>
          <w:rFonts w:ascii="Times New Roman" w:cs="Times New Roman" w:eastAsia="Times New Roman" w:hAnsi="Times New Roman"/>
          <w:sz w:val="21"/>
          <w:szCs w:val="21"/>
          <w:color w:val="auto"/>
        </w:rPr>
        <w:t xml:space="preserve">”). The Committee shall make all determinations pursuant to this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in its sole discretion and consistent with Section 13.2 of the Plan. Following a Change in Control, subject to the Grantee’s continued employment through the applicable Vesting Date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and except as otherwise provided herein, the CIC Earned PSUs will continue to vest on the Vesting Date corresponding to each Performance Period that has not yet been completed as of the Change in Control (notwithstanding the prior determination of performance), and no other performance terms shall apply to the vesting of the CIC Earned PSUs.</w:t>
      </w:r>
    </w:p>
    <w:p>
      <w:pPr>
        <w:spacing w:after="0" w:line="149" w:lineRule="exact"/>
        <w:rPr>
          <w:sz w:val="20"/>
          <w:szCs w:val="20"/>
          <w:color w:val="auto"/>
        </w:rPr>
      </w:pPr>
    </w:p>
    <w:p>
      <w:pPr>
        <w:jc w:val="both"/>
        <w:ind w:left="640" w:firstLine="836"/>
        <w:spacing w:after="0" w:line="218" w:lineRule="auto"/>
        <w:rPr>
          <w:sz w:val="20"/>
          <w:szCs w:val="20"/>
          <w:color w:val="auto"/>
        </w:rPr>
      </w:pPr>
      <w:r>
        <w:rPr>
          <w:rFonts w:ascii="Times New Roman" w:cs="Times New Roman" w:eastAsia="Times New Roman" w:hAnsi="Times New Roman"/>
          <w:sz w:val="21"/>
          <w:szCs w:val="21"/>
          <w:color w:val="auto"/>
        </w:rPr>
        <w:t>2.4.ii</w:t>
      </w:r>
      <w:r>
        <w:rPr>
          <w:rFonts w:ascii="Times New Roman" w:cs="Times New Roman" w:eastAsia="Times New Roman" w:hAnsi="Times New Roman"/>
          <w:sz w:val="21"/>
          <w:szCs w:val="21"/>
          <w:i w:val="1"/>
          <w:iCs w:val="1"/>
          <w:color w:val="auto"/>
        </w:rPr>
        <w:t>Termination of Employment by the Company Without Cause or by the Grantee for Good Reason 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Following a Change in Control</w:t>
      </w:r>
      <w:r>
        <w:rPr>
          <w:rFonts w:ascii="Times New Roman" w:cs="Times New Roman" w:eastAsia="Times New Roman" w:hAnsi="Times New Roman"/>
          <w:sz w:val="21"/>
          <w:szCs w:val="21"/>
          <w:color w:val="auto"/>
        </w:rPr>
        <w:t>. If on or after a Change in Control the Grantee’s employment with the Company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terminated and such termination is either (i) an involuntary termination by the Company without Cause (as defined herein) and does not arise as a result of the Grantee’s death or Disability or (ii) a termination by the Grantee for Good Reason (as defined herein), the Grantee shall immediately and fully vest as of the Date of Termination in the number of CIC Earned PSUs. Shares equal to the CIC Earned PSUs determined hereunder shall be issued to the Grantee (or, if the Grantee has died, to his or her surviving spouse or, if none, to the Grantee’s estate) as soon as practicable (and no later than thirty (30) days) after the Date of Termination free and clear of all restrictions imposed by this Agreement (except those imposed by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w:t>
      </w:r>
    </w:p>
    <w:p>
      <w:pPr>
        <w:spacing w:after="0" w:line="148"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21"/>
          <w:szCs w:val="21"/>
          <w:color w:val="auto"/>
        </w:rPr>
        <w:t>2.e</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34" w:name="page135"/>
    <w:bookmarkEnd w:id="134"/>
    <w:p>
      <w:pPr>
        <w:jc w:val="both"/>
        <w:ind w:firstLine="895"/>
        <w:spacing w:after="0" w:line="216" w:lineRule="auto"/>
        <w:rPr>
          <w:sz w:val="20"/>
          <w:szCs w:val="20"/>
          <w:color w:val="auto"/>
        </w:rPr>
      </w:pPr>
      <w:r>
        <w:rPr>
          <w:rFonts w:ascii="Times New Roman" w:cs="Times New Roman" w:eastAsia="Times New Roman" w:hAnsi="Times New Roman"/>
          <w:sz w:val="21"/>
          <w:szCs w:val="21"/>
          <w:color w:val="auto"/>
        </w:rPr>
        <w:t>2.5.i</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xml:space="preserve">. For purposes of this Agreement (except as otherwise provided in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 (i) on or after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meaning set forth in the Plan (without regard to the last sentence thereof), and (ii) prior to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shall mean (a) the Grantee’s continued intentional failure or refusal to perform substantially the Grantee’s assigned duties (other than as a result of total or partial mental or physical incapacity); (b) the Grantee’s engagement in willful misconduct, including without limitation, fraud, embezzlement, theft, or dishonesty, in the course of the Grantee’s employment with the Company; (c) the Grantee’s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(other than a felony) that involves moral turpitude or a breach of trust or fiduciary duty owed to the Company or any of its affiliates; (d) a material breach of the restrictive covenants applicable to the Grantee, including those set forth in this Agreement; or (e) a material breach of the Company’s Code of Conduct or another written policy of the Company applicable to the Grantee that does, or could reasonably be expected to, result in material harm to the Company, including reputational harm.</w:t>
      </w:r>
    </w:p>
    <w:p>
      <w:pPr>
        <w:spacing w:after="0" w:line="151" w:lineRule="exact"/>
        <w:rPr>
          <w:sz w:val="20"/>
          <w:szCs w:val="20"/>
          <w:color w:val="auto"/>
        </w:rPr>
      </w:pPr>
    </w:p>
    <w:p>
      <w:pPr>
        <w:jc w:val="both"/>
        <w:ind w:firstLine="836"/>
        <w:spacing w:after="0" w:line="233" w:lineRule="auto"/>
        <w:rPr>
          <w:sz w:val="20"/>
          <w:szCs w:val="20"/>
          <w:color w:val="auto"/>
        </w:rPr>
      </w:pPr>
      <w:r>
        <w:rPr>
          <w:rFonts w:ascii="Times New Roman" w:cs="Times New Roman" w:eastAsia="Times New Roman" w:hAnsi="Times New Roman"/>
          <w:sz w:val="21"/>
          <w:szCs w:val="21"/>
          <w:color w:val="auto"/>
        </w:rPr>
        <w:t>2.5.ii</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For purposes of this Agreement (except as otherwise provided in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Good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Reason</w:t>
      </w:r>
      <w:r>
        <w:rPr>
          <w:rFonts w:ascii="Times New Roman" w:cs="Times New Roman" w:eastAsia="Times New Roman" w:hAnsi="Times New Roman"/>
          <w:sz w:val="21"/>
          <w:szCs w:val="21"/>
          <w:color w:val="auto"/>
        </w:rPr>
        <w:t>” for termination by the Grantee of the Grantee’s employment shall mean the occurrence (without the Grantee’s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express written consent) of any one of the following acts by the Company:</w:t>
      </w:r>
    </w:p>
    <w:p>
      <w:pPr>
        <w:spacing w:after="0" w:line="149" w:lineRule="exact"/>
        <w:rPr>
          <w:sz w:val="20"/>
          <w:szCs w:val="20"/>
          <w:color w:val="auto"/>
        </w:rPr>
      </w:pPr>
    </w:p>
    <w:p>
      <w:pPr>
        <w:ind w:left="2540" w:hanging="630"/>
        <w:spacing w:after="0"/>
        <w:tabs>
          <w:tab w:leader="none" w:pos="25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reduction in the Grantee’s responsibilities at the Company;</w:t>
      </w:r>
    </w:p>
    <w:p>
      <w:pPr>
        <w:spacing w:after="0" w:line="182" w:lineRule="exact"/>
        <w:rPr>
          <w:rFonts w:ascii="Times New Roman" w:cs="Times New Roman" w:eastAsia="Times New Roman" w:hAnsi="Times New Roman"/>
          <w:sz w:val="21"/>
          <w:szCs w:val="21"/>
          <w:color w:val="auto"/>
        </w:rPr>
      </w:pPr>
    </w:p>
    <w:p>
      <w:pPr>
        <w:jc w:val="both"/>
        <w:ind w:left="640" w:firstLine="1270"/>
        <w:spacing w:after="0" w:line="232" w:lineRule="auto"/>
        <w:tabs>
          <w:tab w:leader="none" w:pos="254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relocation of the Grantee’s employment to a primary worksite location that is more than thirty-five (35) miles from the Grantee’s primary worksite location and increases the distance between the Grantee’s home location and primary worksite location by more than thirty-five (35) miles;</w:t>
      </w:r>
    </w:p>
    <w:p>
      <w:pPr>
        <w:spacing w:after="0" w:line="147" w:lineRule="exact"/>
        <w:rPr>
          <w:rFonts w:ascii="Times New Roman" w:cs="Times New Roman" w:eastAsia="Times New Roman" w:hAnsi="Times New Roman"/>
          <w:sz w:val="21"/>
          <w:szCs w:val="21"/>
          <w:color w:val="auto"/>
        </w:rPr>
      </w:pPr>
    </w:p>
    <w:p>
      <w:pPr>
        <w:ind w:left="640" w:firstLine="1270"/>
        <w:spacing w:after="0" w:line="245" w:lineRule="auto"/>
        <w:tabs>
          <w:tab w:leader="none" w:pos="254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Grantee’s base salary (other than a temporary reduction in connection with a specific circumstance that is consistently applied to other similarly situated executives of the Company); or</w:t>
      </w:r>
    </w:p>
    <w:p>
      <w:pPr>
        <w:spacing w:after="0" w:line="142" w:lineRule="exact"/>
        <w:rPr>
          <w:rFonts w:ascii="Times New Roman" w:cs="Times New Roman" w:eastAsia="Times New Roman" w:hAnsi="Times New Roman"/>
          <w:sz w:val="21"/>
          <w:szCs w:val="21"/>
          <w:color w:val="auto"/>
        </w:rPr>
      </w:pPr>
    </w:p>
    <w:p>
      <w:pPr>
        <w:jc w:val="both"/>
        <w:ind w:left="640" w:firstLine="1270"/>
        <w:spacing w:after="0" w:line="226" w:lineRule="auto"/>
        <w:tabs>
          <w:tab w:leader="none" w:pos="254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Grantee’s target annual incentive compensation opportunity or target long-term incentive compensation opportunity (other than a reduction in connection with a change to the incentive compensation program of the Company that is consistently applied to other similarly situated executives of the Company).</w:t>
      </w:r>
    </w:p>
    <w:p>
      <w:pPr>
        <w:spacing w:after="0" w:line="150"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21"/>
          <w:szCs w:val="21"/>
          <w:color w:val="auto"/>
        </w:rPr>
        <w:t>The Grantee must give the Company notice of any event or condition that would constitute Good Reason within ninety (90) days of the initial existence of the event or condition, and upon receipt of such notice, the Company shall have thirty (30) days to remedy such event or condition. If such event or condition is not remedied within such thirty (30)-day period, any termination of employment by the Grantee for Good Reason must occur, if at all, within six (6) months of the Grantee’s learning of the initial existence of the condition or event in order for such termination as a result of such condition to constitute a termination for Good Reason.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00"/>
          </w:cols>
          <w:pgMar w:left="960" w:top="1369" w:right="339" w:bottom="1440" w:gutter="0" w:footer="0" w:header="0"/>
        </w:sectPr>
      </w:pPr>
    </w:p>
    <w:bookmarkStart w:id="135" w:name="page136"/>
    <w:bookmarkEnd w:id="135"/>
    <w:p>
      <w:pPr>
        <w:jc w:val="both"/>
        <w:ind w:left="640" w:firstLine="777"/>
        <w:spacing w:after="0" w:line="217" w:lineRule="auto"/>
        <w:rPr>
          <w:sz w:val="20"/>
          <w:szCs w:val="20"/>
          <w:color w:val="auto"/>
        </w:rPr>
      </w:pPr>
      <w:r>
        <w:rPr>
          <w:rFonts w:ascii="Times New Roman" w:cs="Times New Roman" w:eastAsia="Times New Roman" w:hAnsi="Times New Roman"/>
          <w:sz w:val="21"/>
          <w:szCs w:val="21"/>
          <w:color w:val="auto"/>
        </w:rPr>
        <w:t>2.5.iii</w:t>
      </w:r>
      <w:r>
        <w:rPr>
          <w:rFonts w:ascii="Times New Roman" w:cs="Times New Roman" w:eastAsia="Times New Roman" w:hAnsi="Times New Roman"/>
          <w:sz w:val="21"/>
          <w:szCs w:val="21"/>
          <w:i w:val="1"/>
          <w:iCs w:val="1"/>
          <w:color w:val="auto"/>
        </w:rPr>
        <w:t>Alternative Definitions and Procedures</w:t>
      </w:r>
      <w:r>
        <w:rPr>
          <w:rFonts w:ascii="Times New Roman" w:cs="Times New Roman" w:eastAsia="Times New Roman" w:hAnsi="Times New Roman"/>
          <w:sz w:val="21"/>
          <w:szCs w:val="21"/>
          <w:color w:val="auto"/>
        </w:rPr>
        <w:t xml:space="preserve">. Notwithstanding anything contained herein to the contrary, if the Grantee has entered into an employment or similar agreement that applies prior to a Change in Control (or a term of similar meaning) or a severance or similar agreement that applies on or after a Change in Control (or a term of similar meaning) and if such agreement defines “Good Reason,” and/or provides procedures and/or standards for determining whether Cause or Good Reason exists, such definition of “Good Reason” and the procedures and/or standards for determining the existence of Cause or Good Reason, as applicable, shall apply as if set forth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such an agreement that applies on or after a Change in Control (or a term of similar meaning) such alternative definitions and procedures and/or standards, as applicable, shall apply with respect to the applicable period under such agreement from and after a Change in Control (or a term of similar meaning). Notwithstanding anything contained herein to the contrary, nothing herein shall limit the right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of certain determinations as provided in Section 3.5 of the Plan.</w:t>
      </w:r>
    </w:p>
    <w:p>
      <w:pPr>
        <w:spacing w:after="0" w:line="151"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2.f </w:t>
      </w:r>
      <w:r>
        <w:rPr>
          <w:rFonts w:ascii="Times New Roman" w:cs="Times New Roman" w:eastAsia="Times New Roman" w:hAnsi="Times New Roman"/>
          <w:sz w:val="21"/>
          <w:szCs w:val="21"/>
          <w:u w:val="single" w:color="auto"/>
          <w:color w:val="auto"/>
        </w:rPr>
        <w:t>Termination of Employment for Other Reasons</w:t>
      </w:r>
      <w:r>
        <w:rPr>
          <w:rFonts w:ascii="Times New Roman" w:cs="Times New Roman" w:eastAsia="Times New Roman" w:hAnsi="Times New Roman"/>
          <w:sz w:val="21"/>
          <w:szCs w:val="21"/>
          <w:color w:val="auto"/>
        </w:rPr>
        <w:t xml:space="preserve">. If the Grantee’s employment is terminated by the Company or by the Grantee prior to a Vesting Date for any reason other than as set forth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the outstanding unvested PSUs shall immediately be forfeited as of the Date of Termination.</w:t>
      </w:r>
    </w:p>
    <w:p>
      <w:pPr>
        <w:spacing w:after="0" w:line="148"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2.g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The PSUs may not be sold, assigned, transferred, pledged, or otherwise encumbered prior to the date the Grantee becomes vested in the PSUs and the Shares are issued.</w:t>
      </w:r>
    </w:p>
    <w:p>
      <w:pPr>
        <w:spacing w:after="0" w:line="14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2.h </w:t>
      </w: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To the extent applicable, this Agreement shall at all times be interpreted and operated in compliance with the requirements of Section 409A of the Code and the standards, regulations, or other guidance promulgated thereunder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To the extent required under the provisions of Section 409A to avoid the imposition of additional income and other taxes, the provisions of Section 11.2(b) of the Plan shall apply to the PSUs. For purposes of this Agreement, termination of employment shall be construed consistent with the meaning of a separation from service within the meaning of Section 409A, and to the extent required under the provisions of Section 409A to avoid the imposition of additional income and other taxes, the Date of Termination as used for purposes of the settlement of any vested PSUs shall not occur prior to the Grantee’s separation from service.</w:t>
      </w:r>
    </w:p>
    <w:p>
      <w:pPr>
        <w:spacing w:after="0" w:line="151" w:lineRule="exact"/>
        <w:rPr>
          <w:sz w:val="20"/>
          <w:szCs w:val="20"/>
          <w:color w:val="auto"/>
        </w:rPr>
      </w:pPr>
    </w:p>
    <w:p>
      <w:pPr>
        <w:ind w:left="1280" w:hanging="638"/>
        <w:spacing w:after="0"/>
        <w:tabs>
          <w:tab w:leader="none" w:pos="128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Shareholder; Dividends; Change in Capitalization; Deferral Rights</w:t>
      </w:r>
    </w:p>
    <w:p>
      <w:pPr>
        <w:spacing w:after="0" w:line="187"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3.a The Grantee shall have no rights as a shareholder until such date as the Shares are delivered in settlement of vested Earned PSUs;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following the Date of Grant of the PSUs through the date that is the earlier of (i) the date that the Earned PSUs are vested and Shares in settlement thereof are transferred to the Grantee pursuant to this Agreement or</w:t>
      </w:r>
    </w:p>
    <w:p>
      <w:pPr>
        <w:spacing w:after="0" w:line="2" w:lineRule="exact"/>
        <w:rPr>
          <w:sz w:val="20"/>
          <w:szCs w:val="20"/>
          <w:color w:val="auto"/>
        </w:rPr>
      </w:pPr>
    </w:p>
    <w:p>
      <w:pPr>
        <w:jc w:val="both"/>
        <w:ind w:firstLine="6"/>
        <w:spacing w:after="0" w:line="224" w:lineRule="auto"/>
        <w:tabs>
          <w:tab w:leader="none" w:pos="31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the PSUs are forfeited, the Grantee shall be credited with dividend equivalents with respect to cash dividends (other than an extraordinary dividend for which an adjustment is made pursuant to Section 4.3(b) of the Plan) declared on the Shares represented by the PSUs, which dividend equivalents shall vest or be forfeited on the same basis as applies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9" w:right="339" w:bottom="1440" w:gutter="0" w:footer="0" w:header="0"/>
        </w:sectPr>
      </w:pPr>
    </w:p>
    <w:bookmarkStart w:id="136" w:name="page137"/>
    <w:bookmarkEnd w:id="136"/>
    <w:p>
      <w:pPr>
        <w:jc w:val="both"/>
        <w:spacing w:after="0" w:line="226" w:lineRule="auto"/>
        <w:rPr>
          <w:sz w:val="20"/>
          <w:szCs w:val="20"/>
          <w:color w:val="auto"/>
        </w:rPr>
      </w:pPr>
      <w:r>
        <w:rPr>
          <w:rFonts w:ascii="Times New Roman" w:cs="Times New Roman" w:eastAsia="Times New Roman" w:hAnsi="Times New Roman"/>
          <w:sz w:val="21"/>
          <w:szCs w:val="21"/>
          <w:color w:val="auto"/>
        </w:rPr>
        <w:t>the underlying PSUs. Within thirty (30) days after a Vesting Date (or such earlier date on which the Earned PSUs vest in accordance with the terms of this Agreement), Grantee shall be paid in cash the dividend equivalents with respect to the vested Earned PSUs to which the dividend equivalents relate, less applicable withholdings. For the avoidance of doubt, reference to the term Earned PSUs in Section 3 shall include the term CIC Earned PSUs, as the context requires.</w:t>
      </w:r>
    </w:p>
    <w:p>
      <w:pPr>
        <w:spacing w:after="0" w:line="150"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3.b In the event of a change in capitalization, the Committee shall make appropriate adjustments in accordance with Section 4.3 of the Plan to reflect the change in capitalization,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additional Shares or additional or different shares or securities reflected in any such adjustment shall remain subject to the restrictions in this Agreement.</w:t>
      </w:r>
    </w:p>
    <w:p>
      <w:pPr>
        <w:spacing w:after="0" w:line="148"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3.c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PSUs, the Company is not undertaking any obligation to register the PSUs under the federal or any state securities laws.</w:t>
      </w:r>
    </w:p>
    <w:p>
      <w:pPr>
        <w:spacing w:after="0" w:line="150"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3.d To the extent the Grantee makes a valid and timely deferral election with respect to the Shares deliverable upon vesting of the PSUs consistent with Section 11.1 of the Plan, the terms of such election and any applicable deferred compensation plan shall govern the delivery of the Shares and accrued dividend equivalents in respect of vested Earned PSUs subject to such election.</w:t>
      </w:r>
    </w:p>
    <w:p>
      <w:pPr>
        <w:spacing w:after="0" w:line="146" w:lineRule="exact"/>
        <w:rPr>
          <w:sz w:val="20"/>
          <w:szCs w:val="20"/>
          <w:color w:val="auto"/>
        </w:rPr>
      </w:pPr>
    </w:p>
    <w:p>
      <w:pPr>
        <w:ind w:left="1280" w:hanging="638"/>
        <w:spacing w:after="0"/>
        <w:tabs>
          <w:tab w:leader="none" w:pos="128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 to Continued Employment</w:t>
      </w:r>
    </w:p>
    <w:p>
      <w:pPr>
        <w:spacing w:after="0" w:line="187"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46" w:lineRule="exact"/>
        <w:rPr>
          <w:sz w:val="20"/>
          <w:szCs w:val="20"/>
          <w:color w:val="auto"/>
        </w:rPr>
      </w:pPr>
    </w:p>
    <w:p>
      <w:pPr>
        <w:ind w:left="1280" w:hanging="638"/>
        <w:spacing w:after="0"/>
        <w:tabs>
          <w:tab w:leader="none" w:pos="128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 and Withholding</w:t>
      </w:r>
    </w:p>
    <w:p>
      <w:pPr>
        <w:spacing w:after="0" w:line="187"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The Grantee shall be responsible for all federal, state, and local income taxes payable with respect to this award of PSUs and any dividends and dividend equivalents paid on such PSUs. The Company and the Grantee agree to report the value of the PSUs and any dividends and dividend equivalents in respect thereof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Fair Market Value not less than the amount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1" w:right="339" w:bottom="1440" w:gutter="0" w:footer="0" w:header="0"/>
        </w:sectPr>
      </w:pPr>
    </w:p>
    <w:bookmarkStart w:id="137" w:name="page138"/>
    <w:bookmarkEnd w:id="137"/>
    <w:p>
      <w:pPr>
        <w:ind w:left="1280" w:hanging="638"/>
        <w:spacing w:after="0"/>
        <w:tabs>
          <w:tab w:leader="none" w:pos="1280"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Grantee Bound by the Plan</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The Grantee hereby acknowledges receipt of a copy of the Plan and the prospectus for the Plan, and agrees to be bound by all the terms and provisions thereof.</w:t>
      </w:r>
    </w:p>
    <w:p>
      <w:pPr>
        <w:spacing w:after="0" w:line="139" w:lineRule="exact"/>
        <w:rPr>
          <w:sz w:val="20"/>
          <w:szCs w:val="20"/>
          <w:color w:val="auto"/>
        </w:rPr>
      </w:pPr>
    </w:p>
    <w:p>
      <w:pPr>
        <w:ind w:left="1280" w:hanging="638"/>
        <w:spacing w:after="0"/>
        <w:tabs>
          <w:tab w:leader="none" w:pos="128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7.a In consideration for the grant of the PSUs, continued employment with the Company, and other good and valuable consideration, the Grantee agrees to the following:</w:t>
      </w:r>
    </w:p>
    <w:p>
      <w:pPr>
        <w:spacing w:after="0" w:line="143" w:lineRule="exact"/>
        <w:rPr>
          <w:sz w:val="20"/>
          <w:szCs w:val="20"/>
          <w:color w:val="auto"/>
        </w:rPr>
      </w:pPr>
    </w:p>
    <w:p>
      <w:pPr>
        <w:jc w:val="both"/>
        <w:ind w:left="640" w:firstLine="895"/>
        <w:spacing w:after="0" w:line="232" w:lineRule="auto"/>
        <w:rPr>
          <w:sz w:val="20"/>
          <w:szCs w:val="20"/>
          <w:color w:val="auto"/>
        </w:rPr>
      </w:pPr>
      <w:r>
        <w:rPr>
          <w:rFonts w:ascii="Times New Roman" w:cs="Times New Roman" w:eastAsia="Times New Roman" w:hAnsi="Times New Roman"/>
          <w:sz w:val="21"/>
          <w:szCs w:val="21"/>
          <w:color w:val="auto"/>
        </w:rPr>
        <w:t>7.1.iDuring the Grantee’s employment with the Company or any Subsidiary and for a one (1)-year period after the Date of Termination, the Grantee will not directly or indirectly, individually, or on behalf of any Person other than the Company or a Subsidiary:</w:t>
      </w:r>
    </w:p>
    <w:p>
      <w:pPr>
        <w:spacing w:after="0" w:line="148" w:lineRule="exact"/>
        <w:rPr>
          <w:sz w:val="20"/>
          <w:szCs w:val="20"/>
          <w:color w:val="auto"/>
        </w:rPr>
      </w:pPr>
    </w:p>
    <w:p>
      <w:pPr>
        <w:ind w:left="1280" w:firstLine="1270"/>
        <w:spacing w:after="0" w:line="245" w:lineRule="auto"/>
        <w:tabs>
          <w:tab w:leader="none" w:pos="318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Customers for the purpose of providing services identical to or reasonably substitutable for the Company’s Business;</w:t>
      </w:r>
    </w:p>
    <w:p>
      <w:pPr>
        <w:spacing w:after="0" w:line="142" w:lineRule="exact"/>
        <w:rPr>
          <w:rFonts w:ascii="Times New Roman" w:cs="Times New Roman" w:eastAsia="Times New Roman" w:hAnsi="Times New Roman"/>
          <w:sz w:val="21"/>
          <w:szCs w:val="21"/>
          <w:color w:val="auto"/>
        </w:rPr>
      </w:pPr>
    </w:p>
    <w:p>
      <w:pPr>
        <w:jc w:val="both"/>
        <w:ind w:left="1280" w:firstLine="1270"/>
        <w:spacing w:after="0" w:line="226" w:lineRule="auto"/>
        <w:tabs>
          <w:tab w:leader="none" w:pos="318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induce, or in any manner attempt to solicit or induce, any Person employed by or providing services to the Company or any Subsidiary (as of the date of such solicitation or during the six (6) months prior thereto) to leave such employment or service, whether or not such employment or service is pursuant to a written contract with the Company or any Subsidiary or is at will; or</w:t>
      </w:r>
    </w:p>
    <w:p>
      <w:pPr>
        <w:spacing w:after="0" w:line="150" w:lineRule="exact"/>
        <w:rPr>
          <w:rFonts w:ascii="Times New Roman" w:cs="Times New Roman" w:eastAsia="Times New Roman" w:hAnsi="Times New Roman"/>
          <w:sz w:val="21"/>
          <w:szCs w:val="21"/>
          <w:color w:val="auto"/>
        </w:rPr>
      </w:pPr>
    </w:p>
    <w:p>
      <w:pPr>
        <w:jc w:val="both"/>
        <w:ind w:left="1280" w:firstLine="1270"/>
        <w:spacing w:after="0" w:line="232" w:lineRule="auto"/>
        <w:tabs>
          <w:tab w:leader="none" w:pos="318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pacing w:after="0" w:line="148" w:lineRule="exact"/>
        <w:rPr>
          <w:sz w:val="20"/>
          <w:szCs w:val="20"/>
          <w:color w:val="auto"/>
        </w:rPr>
      </w:pPr>
    </w:p>
    <w:p>
      <w:pPr>
        <w:jc w:val="both"/>
        <w:ind w:left="640" w:firstLine="836"/>
        <w:spacing w:after="0" w:line="232" w:lineRule="auto"/>
        <w:rPr>
          <w:sz w:val="20"/>
          <w:szCs w:val="20"/>
          <w:color w:val="auto"/>
        </w:rPr>
      </w:pPr>
      <w:r>
        <w:rPr>
          <w:rFonts w:ascii="Times New Roman" w:cs="Times New Roman" w:eastAsia="Times New Roman" w:hAnsi="Times New Roman"/>
          <w:sz w:val="21"/>
          <w:szCs w:val="21"/>
          <w:color w:val="auto"/>
        </w:rPr>
        <w:t>7.1.iiDuring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148" w:lineRule="exact"/>
        <w:rPr>
          <w:sz w:val="20"/>
          <w:szCs w:val="20"/>
          <w:color w:val="auto"/>
        </w:rPr>
      </w:pPr>
    </w:p>
    <w:p>
      <w:pPr>
        <w:jc w:val="both"/>
        <w:ind w:left="640" w:firstLine="777"/>
        <w:spacing w:after="0" w:line="226" w:lineRule="auto"/>
        <w:rPr>
          <w:sz w:val="20"/>
          <w:szCs w:val="20"/>
          <w:color w:val="auto"/>
        </w:rPr>
      </w:pPr>
      <w:r>
        <w:rPr>
          <w:rFonts w:ascii="Times New Roman" w:cs="Times New Roman" w:eastAsia="Times New Roman" w:hAnsi="Times New Roman"/>
          <w:sz w:val="21"/>
          <w:szCs w:val="21"/>
          <w:color w:val="auto"/>
        </w:rPr>
        <w:t>7.1.iiiUpon termination or expiration of the Grantee’s employment with the Company for any reason whatsoever or at any time, the Grantee will upon request by the Company deliver promptly to the Company all materials (including electronically stored materials), documents, plans, records, notes, or other papers, and any copies in the Grantee’s possession or control, relating in any way to the Company’s Business, which at all times shall be the property of the Company.</w:t>
      </w:r>
    </w:p>
    <w:p>
      <w:pPr>
        <w:spacing w:after="0" w:line="150" w:lineRule="exact"/>
        <w:rPr>
          <w:sz w:val="20"/>
          <w:szCs w:val="20"/>
          <w:color w:val="auto"/>
        </w:rPr>
      </w:pPr>
    </w:p>
    <w:p>
      <w:pPr>
        <w:jc w:val="center"/>
        <w:ind w:right="60"/>
        <w:spacing w:after="0"/>
        <w:tabs>
          <w:tab w:leader="none" w:pos="360" w:val="left"/>
        </w:tabs>
        <w:rPr>
          <w:sz w:val="20"/>
          <w:szCs w:val="20"/>
          <w:color w:val="auto"/>
        </w:rPr>
      </w:pPr>
      <w:r>
        <w:rPr>
          <w:rFonts w:ascii="Times New Roman" w:cs="Times New Roman" w:eastAsia="Times New Roman" w:hAnsi="Times New Roman"/>
          <w:sz w:val="21"/>
          <w:szCs w:val="21"/>
          <w:color w:val="auto"/>
        </w:rPr>
        <w:t>7.b</w:t>
      </w:r>
      <w:r>
        <w:rPr>
          <w:sz w:val="20"/>
          <w:szCs w:val="20"/>
          <w:color w:val="auto"/>
        </w:rPr>
        <w:tab/>
      </w:r>
      <w:r>
        <w:rPr>
          <w:rFonts w:ascii="Times New Roman" w:cs="Times New Roman" w:eastAsia="Times New Roman" w:hAnsi="Times New Roman"/>
          <w:sz w:val="21"/>
          <w:szCs w:val="21"/>
          <w:color w:val="auto"/>
        </w:rPr>
        <w:t>For purposes of this Agreement, the following terms shall have the meanings specified below:</w:t>
      </w:r>
    </w:p>
    <w:p>
      <w:pPr>
        <w:spacing w:after="0" w:line="179" w:lineRule="exact"/>
        <w:rPr>
          <w:sz w:val="20"/>
          <w:szCs w:val="20"/>
          <w:color w:val="auto"/>
        </w:rPr>
      </w:pPr>
    </w:p>
    <w:p>
      <w:pPr>
        <w:jc w:val="both"/>
        <w:ind w:left="640" w:firstLine="895"/>
        <w:spacing w:after="0" w:line="233" w:lineRule="auto"/>
        <w:rPr>
          <w:sz w:val="20"/>
          <w:szCs w:val="20"/>
          <w:color w:val="auto"/>
        </w:rPr>
      </w:pPr>
      <w:r>
        <w:rPr>
          <w:rFonts w:ascii="Times New Roman" w:cs="Times New Roman" w:eastAsia="Times New Roman" w:hAnsi="Times New Roman"/>
          <w:sz w:val="21"/>
          <w:szCs w:val="21"/>
          <w:color w:val="auto"/>
        </w:rPr>
        <w:t>7.2.i“</w:t>
      </w:r>
      <w:r>
        <w:rPr>
          <w:rFonts w:ascii="Times New Roman" w:cs="Times New Roman" w:eastAsia="Times New Roman" w:hAnsi="Times New Roman"/>
          <w:sz w:val="21"/>
          <w:szCs w:val="21"/>
          <w:b w:val="1"/>
          <w:bCs w:val="1"/>
          <w:i w:val="1"/>
          <w:iCs w:val="1"/>
          <w:color w:val="auto"/>
        </w:rPr>
        <w:t>Company’s Business</w:t>
      </w:r>
      <w:r>
        <w:rPr>
          <w:rFonts w:ascii="Times New Roman" w:cs="Times New Roman" w:eastAsia="Times New Roman" w:hAnsi="Times New Roman"/>
          <w:sz w:val="21"/>
          <w:szCs w:val="21"/>
          <w:color w:val="auto"/>
        </w:rPr>
        <w:t>” means the business of operating a commercial or retail bank, savings association, mutual thrift, credit union, trust company, securities brokerage, insurance agency, wealth management, or equipment financing business.</w:t>
      </w:r>
    </w:p>
    <w:p>
      <w:pPr>
        <w:spacing w:after="0" w:line="145" w:lineRule="exact"/>
        <w:rPr>
          <w:sz w:val="20"/>
          <w:szCs w:val="20"/>
          <w:color w:val="auto"/>
        </w:rPr>
      </w:pPr>
    </w:p>
    <w:p>
      <w:pPr>
        <w:jc w:val="both"/>
        <w:ind w:left="640" w:firstLine="836"/>
        <w:spacing w:after="0" w:line="233" w:lineRule="auto"/>
        <w:rPr>
          <w:sz w:val="20"/>
          <w:szCs w:val="20"/>
          <w:color w:val="auto"/>
        </w:rPr>
      </w:pPr>
      <w:r>
        <w:rPr>
          <w:rFonts w:ascii="Times New Roman" w:cs="Times New Roman" w:eastAsia="Times New Roman" w:hAnsi="Times New Roman"/>
          <w:sz w:val="21"/>
          <w:szCs w:val="21"/>
          <w:color w:val="auto"/>
        </w:rPr>
        <w:t>7.2.ii“</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information, without regard to form, relating to the Company’s or any Subsidiary’s customers, operation, finances, and business that has value to the Company or any Subsidiary, that is not generally known to competitors of the Company or a Subsidiary, and that the Grantee became aware of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7" w:right="339" w:bottom="1440" w:gutter="0" w:footer="0" w:header="0"/>
        </w:sectPr>
      </w:pPr>
    </w:p>
    <w:bookmarkStart w:id="138" w:name="page139"/>
    <w:bookmarkEnd w:id="138"/>
    <w:p>
      <w:pPr>
        <w:jc w:val="both"/>
        <w:ind w:left="640"/>
        <w:spacing w:after="0" w:line="219" w:lineRule="auto"/>
        <w:rPr>
          <w:sz w:val="20"/>
          <w:szCs w:val="20"/>
          <w:color w:val="auto"/>
        </w:rPr>
      </w:pPr>
      <w:r>
        <w:rPr>
          <w:rFonts w:ascii="Times New Roman" w:cs="Times New Roman" w:eastAsia="Times New Roman" w:hAnsi="Times New Roman"/>
          <w:sz w:val="21"/>
          <w:szCs w:val="21"/>
          <w:color w:val="auto"/>
        </w:rPr>
        <w:t>to Grantee’s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w:t>
      </w:r>
    </w:p>
    <w:p>
      <w:pPr>
        <w:spacing w:after="0" w:line="150" w:lineRule="exact"/>
        <w:rPr>
          <w:sz w:val="20"/>
          <w:szCs w:val="20"/>
          <w:color w:val="auto"/>
        </w:rPr>
      </w:pPr>
    </w:p>
    <w:p>
      <w:pPr>
        <w:jc w:val="both"/>
        <w:ind w:left="640" w:firstLine="777"/>
        <w:spacing w:after="0" w:line="224" w:lineRule="auto"/>
        <w:rPr>
          <w:sz w:val="20"/>
          <w:szCs w:val="20"/>
          <w:color w:val="auto"/>
        </w:rPr>
      </w:pPr>
      <w:r>
        <w:rPr>
          <w:rFonts w:ascii="Times New Roman" w:cs="Times New Roman" w:eastAsia="Times New Roman" w:hAnsi="Times New Roman"/>
          <w:sz w:val="21"/>
          <w:szCs w:val="21"/>
          <w:color w:val="auto"/>
        </w:rPr>
        <w:t>7.2.iii“</w:t>
      </w:r>
      <w:r>
        <w:rPr>
          <w:rFonts w:ascii="Times New Roman" w:cs="Times New Roman" w:eastAsia="Times New Roman" w:hAnsi="Times New Roman"/>
          <w:sz w:val="21"/>
          <w:szCs w:val="21"/>
          <w:b w:val="1"/>
          <w:bCs w:val="1"/>
          <w:i w:val="1"/>
          <w:iCs w:val="1"/>
          <w:color w:val="auto"/>
        </w:rPr>
        <w:t>Customers</w:t>
      </w:r>
      <w:r>
        <w:rPr>
          <w:rFonts w:ascii="Times New Roman" w:cs="Times New Roman" w:eastAsia="Times New Roman" w:hAnsi="Times New Roman"/>
          <w:sz w:val="21"/>
          <w:szCs w:val="21"/>
          <w:color w:val="auto"/>
        </w:rPr>
        <w:t>” means all Persons that (1) the Grantee serviced or solicited on behalf of the Company or any Subsidiary during the twenty-four (24) months prior to the Date of Termination, (2) whose dealings with the Company or any Subsidiary were coordinated or supervised, in whole or in part, by the Grantee during the twenty-four (24) months prior to the Date of Termination, or (3) about whom the Grantee obtained Confidential Information during the twenty-four (24) months prior to the Date of Termination, as a result of the Grantee’s association with the Company.</w:t>
      </w:r>
    </w:p>
    <w:p>
      <w:pPr>
        <w:spacing w:after="0" w:line="145" w:lineRule="exact"/>
        <w:rPr>
          <w:sz w:val="20"/>
          <w:szCs w:val="20"/>
          <w:color w:val="auto"/>
        </w:rPr>
      </w:pPr>
    </w:p>
    <w:p>
      <w:pPr>
        <w:jc w:val="both"/>
        <w:ind w:left="640" w:firstLine="789"/>
        <w:spacing w:after="0" w:line="249" w:lineRule="auto"/>
        <w:rPr>
          <w:sz w:val="20"/>
          <w:szCs w:val="20"/>
          <w:color w:val="auto"/>
        </w:rPr>
      </w:pPr>
      <w:r>
        <w:rPr>
          <w:rFonts w:ascii="Times New Roman" w:cs="Times New Roman" w:eastAsia="Times New Roman" w:hAnsi="Times New Roman"/>
          <w:sz w:val="21"/>
          <w:szCs w:val="21"/>
          <w:color w:val="auto"/>
        </w:rPr>
        <w:t>7.2.iv“</w:t>
      </w:r>
      <w:r>
        <w:rPr>
          <w:rFonts w:ascii="Times New Roman" w:cs="Times New Roman" w:eastAsia="Times New Roman" w:hAnsi="Times New Roman"/>
          <w:sz w:val="21"/>
          <w:szCs w:val="21"/>
          <w:b w:val="1"/>
          <w:bCs w:val="1"/>
          <w:i w:val="1"/>
          <w:iCs w:val="1"/>
          <w:color w:val="auto"/>
        </w:rPr>
        <w:t>Date of Termination</w:t>
      </w:r>
      <w:r>
        <w:rPr>
          <w:rFonts w:ascii="Times New Roman" w:cs="Times New Roman" w:eastAsia="Times New Roman" w:hAnsi="Times New Roman"/>
          <w:sz w:val="21"/>
          <w:szCs w:val="21"/>
          <w:color w:val="auto"/>
        </w:rPr>
        <w:t>” means the date upon which the Grantee’s employment with the Company or any Subsidiary ceases for any reason.</w:t>
      </w:r>
    </w:p>
    <w:p>
      <w:pPr>
        <w:spacing w:after="0" w:line="135" w:lineRule="exact"/>
        <w:rPr>
          <w:sz w:val="20"/>
          <w:szCs w:val="20"/>
          <w:color w:val="auto"/>
        </w:rPr>
      </w:pPr>
    </w:p>
    <w:p>
      <w:pPr>
        <w:jc w:val="both"/>
        <w:ind w:left="640" w:firstLine="848"/>
        <w:spacing w:after="0" w:line="249" w:lineRule="auto"/>
        <w:rPr>
          <w:sz w:val="20"/>
          <w:szCs w:val="20"/>
          <w:color w:val="auto"/>
        </w:rPr>
      </w:pPr>
      <w:r>
        <w:rPr>
          <w:rFonts w:ascii="Times New Roman" w:cs="Times New Roman" w:eastAsia="Times New Roman" w:hAnsi="Times New Roman"/>
          <w:sz w:val="21"/>
          <w:szCs w:val="21"/>
          <w:color w:val="auto"/>
        </w:rPr>
        <w:t>7.2.v“</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individual, corporation, bank, partnership, joint venture, association, joint-stock company, trust, unincorporated organization, or other entity.</w:t>
      </w:r>
    </w:p>
    <w:p>
      <w:pPr>
        <w:spacing w:after="0" w:line="139" w:lineRule="exact"/>
        <w:rPr>
          <w:sz w:val="20"/>
          <w:szCs w:val="20"/>
          <w:color w:val="auto"/>
        </w:rPr>
      </w:pPr>
    </w:p>
    <w:p>
      <w:pPr>
        <w:jc w:val="both"/>
        <w:ind w:firstLine="1272"/>
        <w:spacing w:after="0" w:line="219" w:lineRule="auto"/>
        <w:rPr>
          <w:sz w:val="20"/>
          <w:szCs w:val="20"/>
          <w:color w:val="auto"/>
        </w:rPr>
      </w:pPr>
      <w:r>
        <w:rPr>
          <w:rFonts w:ascii="Times New Roman" w:cs="Times New Roman" w:eastAsia="Times New Roman" w:hAnsi="Times New Roman"/>
          <w:sz w:val="21"/>
          <w:szCs w:val="21"/>
          <w:color w:val="auto"/>
        </w:rPr>
        <w:t xml:space="preserve">7.c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then the Company shall be entitled to all remedies available in law or equity. In addition (and without limiting the foregoing),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the Committee shall, notwithstanding any other provision in this Agreement to the contrary, (i) cancel the outstanding PSUs that are not yet vested or with respect to which Shares have not yet been issued to the Grantee, and (ii) require the Grantee to return to the Company any Shares issued to the Grantee pursuant to vesting of the PSUs (or to pay to the Company the greater of the then-current value of any such Shares or the value of the shares as of the applicable Vesting Date) that occurred (or will occur) during the period six (6) months prior to and one (1) year after the Date of Termination.</w:t>
      </w:r>
    </w:p>
    <w:p>
      <w:pPr>
        <w:spacing w:after="0" w:line="154"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7.d The Grantee acknowledges and agrees that the provisions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that these covenants do not pose an undue hardship on the Grantee. The Grantee further acknowledges that the Grantee’s breach of any of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would likely cause irreparable injury to the Company, and therefore entitles the Company to injunctive relief, in addition to any other remedies available in law or equity.</w:t>
      </w:r>
    </w:p>
    <w:p>
      <w:pPr>
        <w:spacing w:after="0" w:line="153" w:lineRule="exact"/>
        <w:rPr>
          <w:sz w:val="20"/>
          <w:szCs w:val="20"/>
          <w:color w:val="auto"/>
        </w:rPr>
      </w:pPr>
    </w:p>
    <w:p>
      <w:pPr>
        <w:jc w:val="both"/>
        <w:ind w:firstLine="1272"/>
        <w:spacing w:after="0" w:line="221" w:lineRule="auto"/>
        <w:rPr>
          <w:sz w:val="20"/>
          <w:szCs w:val="20"/>
          <w:color w:val="auto"/>
        </w:rPr>
      </w:pPr>
      <w:r>
        <w:rPr>
          <w:rFonts w:ascii="Times New Roman" w:cs="Times New Roman" w:eastAsia="Times New Roman" w:hAnsi="Times New Roman"/>
          <w:sz w:val="21"/>
          <w:szCs w:val="21"/>
          <w:color w:val="auto"/>
        </w:rPr>
        <w:t>7.e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1" w:right="339" w:bottom="1440" w:gutter="0" w:footer="0" w:header="0"/>
        </w:sectPr>
      </w:pPr>
    </w:p>
    <w:bookmarkStart w:id="139" w:name="page140"/>
    <w:bookmarkEnd w:id="139"/>
    <w:p>
      <w:pPr>
        <w:jc w:val="both"/>
        <w:spacing w:after="0" w:line="219" w:lineRule="auto"/>
        <w:rPr>
          <w:sz w:val="20"/>
          <w:szCs w:val="20"/>
          <w:color w:val="auto"/>
        </w:rPr>
      </w:pPr>
      <w:r>
        <w:rPr>
          <w:rFonts w:ascii="Times New Roman" w:cs="Times New Roman" w:eastAsia="Times New Roman" w:hAnsi="Times New Roman"/>
          <w:sz w:val="21"/>
          <w:szCs w:val="21"/>
          <w:color w:val="auto"/>
        </w:rPr>
        <w:t>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In addition, nothing in this Agreement shall impair the Grantee’s right under the whistleblower provisions of any applicable federal law or regulation or, for the avoidance of doubt, limit the Grantee’s right to receive an award for the information provided to any government authority under such law or regulation.</w:t>
      </w:r>
    </w:p>
    <w:p>
      <w:pPr>
        <w:spacing w:after="0" w:line="150" w:lineRule="exact"/>
        <w:rPr>
          <w:sz w:val="20"/>
          <w:szCs w:val="20"/>
          <w:color w:val="auto"/>
        </w:rPr>
      </w:pPr>
    </w:p>
    <w:p>
      <w:pPr>
        <w:ind w:left="1020" w:hanging="378"/>
        <w:spacing w:after="0"/>
        <w:tabs>
          <w:tab w:leader="none" w:pos="102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 of Agreement; Severability</w:t>
      </w:r>
    </w:p>
    <w:p>
      <w:pPr>
        <w:spacing w:after="0" w:line="187" w:lineRule="exact"/>
        <w:rPr>
          <w:sz w:val="20"/>
          <w:szCs w:val="20"/>
          <w:color w:val="auto"/>
        </w:rPr>
      </w:pPr>
    </w:p>
    <w:p>
      <w:pPr>
        <w:jc w:val="both"/>
        <w:ind w:firstLine="1272"/>
        <w:spacing w:after="0" w:line="221" w:lineRule="auto"/>
        <w:rPr>
          <w:sz w:val="20"/>
          <w:szCs w:val="20"/>
          <w:color w:val="auto"/>
        </w:rPr>
      </w:pPr>
      <w:r>
        <w:rPr>
          <w:rFonts w:ascii="Times New Roman" w:cs="Times New Roman" w:eastAsia="Times New Roman" w:hAnsi="Times New Roman"/>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46" w:lineRule="exact"/>
        <w:rPr>
          <w:sz w:val="20"/>
          <w:szCs w:val="20"/>
          <w:color w:val="auto"/>
        </w:rPr>
      </w:pPr>
    </w:p>
    <w:p>
      <w:pPr>
        <w:ind w:left="1020" w:hanging="378"/>
        <w:spacing w:after="0"/>
        <w:tabs>
          <w:tab w:leader="none" w:pos="102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and Forum</w:t>
      </w:r>
    </w:p>
    <w:p>
      <w:pPr>
        <w:spacing w:after="0" w:line="187"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46" w:lineRule="exact"/>
        <w:rPr>
          <w:sz w:val="20"/>
          <w:szCs w:val="20"/>
          <w:color w:val="auto"/>
        </w:rPr>
      </w:pPr>
    </w:p>
    <w:p>
      <w:pPr>
        <w:ind w:left="1120" w:hanging="478"/>
        <w:spacing w:after="0"/>
        <w:tabs>
          <w:tab w:leader="none" w:pos="112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 in Interest</w:t>
      </w:r>
    </w:p>
    <w:p>
      <w:pPr>
        <w:spacing w:after="0" w:line="187"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46" w:lineRule="exact"/>
        <w:rPr>
          <w:sz w:val="20"/>
          <w:szCs w:val="20"/>
          <w:color w:val="auto"/>
        </w:rPr>
      </w:pPr>
    </w:p>
    <w:p>
      <w:pPr>
        <w:ind w:left="1100" w:hanging="458"/>
        <w:spacing w:after="0"/>
        <w:tabs>
          <w:tab w:leader="none" w:pos="110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p>
    <w:p>
      <w:pPr>
        <w:spacing w:after="0" w:line="187"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46" w:lineRule="exact"/>
        <w:rPr>
          <w:sz w:val="20"/>
          <w:szCs w:val="20"/>
          <w:color w:val="auto"/>
        </w:rPr>
      </w:pPr>
    </w:p>
    <w:p>
      <w:pPr>
        <w:ind w:left="1120" w:hanging="478"/>
        <w:spacing w:after="0"/>
        <w:tabs>
          <w:tab w:leader="none" w:pos="112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Resolution of Disputes</w:t>
      </w:r>
    </w:p>
    <w:p>
      <w:pPr>
        <w:spacing w:after="0" w:line="187"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 or application of this Agreement and the Plan shall be determined by the Committee. Except as otherwise provided in Section 3.5 of the Plan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1" w:right="339" w:bottom="1440" w:gutter="0" w:footer="0" w:header="0"/>
        </w:sectPr>
      </w:pPr>
    </w:p>
    <w:bookmarkStart w:id="140" w:name="page141"/>
    <w:bookmarkEnd w:id="140"/>
    <w:p>
      <w:pPr>
        <w:jc w:val="both"/>
        <w:spacing w:after="0" w:line="232" w:lineRule="auto"/>
        <w:rPr>
          <w:sz w:val="20"/>
          <w:szCs w:val="20"/>
          <w:color w:val="auto"/>
        </w:rPr>
      </w:pPr>
      <w:r>
        <w:rPr>
          <w:rFonts w:ascii="Times New Roman" w:cs="Times New Roman" w:eastAsia="Times New Roman" w:hAnsi="Times New Roman"/>
          <w:sz w:val="21"/>
          <w:szCs w:val="21"/>
          <w:color w:val="auto"/>
        </w:rPr>
        <w:t>respect to certain determinations following a Change in Control, any determination made by the Committee shall be final, binding, and conclusive on the Grantee and the Company and their successors, assigns, heirs, executors, administrators, and legal representatives for all purposes.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pacing w:after="0" w:line="18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3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-8890</wp:posOffset>
            </wp:positionV>
            <wp:extent cx="134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-8890</wp:posOffset>
            </wp:positionV>
            <wp:extent cx="134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-8890</wp:posOffset>
            </wp:positionV>
            <wp:extent cx="134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375" w:lineRule="exact"/>
        <w:rPr>
          <w:sz w:val="20"/>
          <w:szCs w:val="20"/>
          <w:color w:val="auto"/>
        </w:rPr>
      </w:pPr>
    </w:p>
    <w:p>
      <w:pPr>
        <w:jc w:val="both"/>
        <w:ind w:firstLine="636"/>
        <w:spacing w:after="0" w:line="221" w:lineRule="auto"/>
        <w:rPr>
          <w:sz w:val="20"/>
          <w:szCs w:val="20"/>
          <w:color w:val="auto"/>
        </w:rPr>
      </w:pPr>
      <w:r>
        <w:rPr>
          <w:rFonts w:ascii="Times New Roman" w:cs="Times New Roman" w:eastAsia="Times New Roman" w:hAnsi="Times New Roman"/>
          <w:sz w:val="21"/>
          <w:szCs w:val="21"/>
          <w:color w:val="auto"/>
        </w:rPr>
        <w:t xml:space="preserve">By accepting this Agreement, the Grantee hereby accepts the PSU grant subject to all its terms and provisions and agrees to be bound by the terms and provisions of this Agreement, including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 Plan and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 Except as otherwise provided under Section 3.5 of the Plan with respect to certain determinations following a Change in Control,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150"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By accepting this Agreement, the Grantee hereby consents to the holding and processing of personal data provided by the</w:t>
      </w:r>
    </w:p>
    <w:p>
      <w:pPr>
        <w:spacing w:after="0"/>
        <w:rPr>
          <w:sz w:val="20"/>
          <w:szCs w:val="20"/>
          <w:color w:val="auto"/>
        </w:rPr>
      </w:pPr>
      <w:r>
        <w:rPr>
          <w:rFonts w:ascii="Times New Roman" w:cs="Times New Roman" w:eastAsia="Times New Roman" w:hAnsi="Times New Roman"/>
          <w:sz w:val="21"/>
          <w:szCs w:val="21"/>
          <w:color w:val="auto"/>
        </w:rPr>
        <w:t>Grantee to the Company for all purposes necessary for the operation of the Plan. These include, but are not limited to:</w:t>
      </w:r>
    </w:p>
    <w:p>
      <w:pPr>
        <w:spacing w:after="0" w:line="159" w:lineRule="exact"/>
        <w:rPr>
          <w:sz w:val="20"/>
          <w:szCs w:val="20"/>
          <w:color w:val="auto"/>
        </w:rPr>
      </w:pPr>
    </w:p>
    <w:p>
      <w:pPr>
        <w:ind w:left="1080" w:hanging="438"/>
        <w:spacing w:after="0"/>
        <w:tabs>
          <w:tab w:leader="none" w:pos="10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and maintaining Plan records;</w:t>
      </w:r>
    </w:p>
    <w:p>
      <w:pPr>
        <w:spacing w:after="0" w:line="182" w:lineRule="exact"/>
        <w:rPr>
          <w:rFonts w:ascii="Times New Roman" w:cs="Times New Roman" w:eastAsia="Times New Roman" w:hAnsi="Times New Roman"/>
          <w:sz w:val="21"/>
          <w:szCs w:val="21"/>
          <w:color w:val="auto"/>
        </w:rPr>
      </w:pPr>
    </w:p>
    <w:p>
      <w:pPr>
        <w:ind w:left="1100" w:hanging="458"/>
        <w:spacing w:after="0"/>
        <w:tabs>
          <w:tab w:leader="none" w:pos="11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any registrars, brokers, or third-party administrators of the Plan; and</w:t>
      </w:r>
    </w:p>
    <w:p>
      <w:pPr>
        <w:spacing w:after="0" w:line="182" w:lineRule="exact"/>
        <w:rPr>
          <w:rFonts w:ascii="Times New Roman" w:cs="Times New Roman" w:eastAsia="Times New Roman" w:hAnsi="Times New Roman"/>
          <w:sz w:val="21"/>
          <w:szCs w:val="21"/>
          <w:color w:val="auto"/>
        </w:rPr>
      </w:pPr>
    </w:p>
    <w:p>
      <w:pPr>
        <w:ind w:left="1080" w:hanging="438"/>
        <w:spacing w:after="0"/>
        <w:tabs>
          <w:tab w:leader="none" w:pos="10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future purchasers of the Company or the business in which the Grantee works.</w:t>
      </w:r>
    </w:p>
    <w:p>
      <w:pPr>
        <w:spacing w:after="0" w:line="178" w:lineRule="exact"/>
        <w:rPr>
          <w:rFonts w:ascii="Times New Roman" w:cs="Times New Roman" w:eastAsia="Times New Roman" w:hAnsi="Times New Roman"/>
          <w:sz w:val="21"/>
          <w:szCs w:val="21"/>
          <w:color w:val="auto"/>
        </w:rPr>
      </w:pPr>
    </w:p>
    <w:p>
      <w:pPr>
        <w:ind w:left="38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GRANTEE</w:t>
      </w:r>
    </w:p>
    <w:p>
      <w:pPr>
        <w:spacing w:after="0" w:line="3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-8890</wp:posOffset>
            </wp:positionV>
            <wp:extent cx="134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-8890</wp:posOffset>
            </wp:positionV>
            <wp:extent cx="1346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-8890</wp:posOffset>
            </wp:positionV>
            <wp:extent cx="1346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360" w:type="dxa"/>
            <w:vAlign w:val="bottom"/>
          </w:tcPr>
          <w:p>
            <w:pPr>
              <w:spacing w:after="0"/>
              <w:rPr>
                <w:sz w:val="21"/>
                <w:szCs w:val="21"/>
                <w:color w:val="auto"/>
              </w:rPr>
            </w:pPr>
          </w:p>
        </w:tc>
        <w:tc>
          <w:tcPr>
            <w:tcW w:w="8840" w:type="dxa"/>
            <w:vAlign w:val="bottom"/>
            <w:gridSpan w:val="3"/>
          </w:tcPr>
          <w:p>
            <w:pPr>
              <w:jc w:val="center"/>
              <w:ind w:right="2254"/>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tc>
      </w:tr>
      <w:tr>
        <w:trPr>
          <w:trHeight w:val="281"/>
        </w:trPr>
        <w:tc>
          <w:tcPr>
            <w:tcW w:w="2360" w:type="dxa"/>
            <w:vAlign w:val="bottom"/>
          </w:tcPr>
          <w:p>
            <w:pPr>
              <w:spacing w:after="0"/>
              <w:rPr>
                <w:sz w:val="24"/>
                <w:szCs w:val="24"/>
                <w:color w:val="auto"/>
              </w:rPr>
            </w:pPr>
          </w:p>
        </w:tc>
        <w:tc>
          <w:tcPr>
            <w:tcW w:w="8840" w:type="dxa"/>
            <w:vAlign w:val="bottom"/>
            <w:gridSpan w:val="3"/>
          </w:tcPr>
          <w:p>
            <w:pPr>
              <w:jc w:val="center"/>
              <w:ind w:right="2254"/>
              <w:spacing w:after="0"/>
              <w:rPr>
                <w:sz w:val="20"/>
                <w:szCs w:val="20"/>
                <w:color w:val="auto"/>
              </w:rPr>
            </w:pPr>
            <w:r>
              <w:rPr>
                <w:rFonts w:ascii="Times New Roman" w:cs="Times New Roman" w:eastAsia="Times New Roman" w:hAnsi="Times New Roman"/>
                <w:sz w:val="21"/>
                <w:szCs w:val="21"/>
                <w:b w:val="1"/>
                <w:bCs w:val="1"/>
                <w:color w:val="auto"/>
              </w:rPr>
              <w:t>2022 OMNIBUS EQUITY PLAN</w:t>
            </w:r>
          </w:p>
        </w:tc>
      </w:tr>
      <w:tr>
        <w:trPr>
          <w:trHeight w:val="355"/>
        </w:trPr>
        <w:tc>
          <w:tcPr>
            <w:tcW w:w="2360" w:type="dxa"/>
            <w:vAlign w:val="bottom"/>
          </w:tcPr>
          <w:p>
            <w:pPr>
              <w:spacing w:after="0"/>
              <w:rPr>
                <w:sz w:val="24"/>
                <w:szCs w:val="24"/>
                <w:color w:val="auto"/>
              </w:rPr>
            </w:pPr>
          </w:p>
        </w:tc>
        <w:tc>
          <w:tcPr>
            <w:tcW w:w="8840" w:type="dxa"/>
            <w:vAlign w:val="bottom"/>
            <w:gridSpan w:val="3"/>
          </w:tcPr>
          <w:p>
            <w:pPr>
              <w:jc w:val="center"/>
              <w:ind w:right="2234"/>
              <w:spacing w:after="0"/>
              <w:rPr>
                <w:sz w:val="20"/>
                <w:szCs w:val="20"/>
                <w:color w:val="auto"/>
              </w:rPr>
            </w:pPr>
            <w:r>
              <w:rPr>
                <w:rFonts w:ascii="Times New Roman" w:cs="Times New Roman" w:eastAsia="Times New Roman" w:hAnsi="Times New Roman"/>
                <w:sz w:val="21"/>
                <w:szCs w:val="21"/>
                <w:b w:val="1"/>
                <w:bCs w:val="1"/>
                <w:color w:val="auto"/>
                <w:w w:val="99"/>
              </w:rPr>
              <w:t>RESTRICTED STOCK UNIT AWARD AGREEMENT</w:t>
            </w:r>
          </w:p>
        </w:tc>
      </w:tr>
      <w:tr>
        <w:trPr>
          <w:trHeight w:val="281"/>
        </w:trPr>
        <w:tc>
          <w:tcPr>
            <w:tcW w:w="2360" w:type="dxa"/>
            <w:vAlign w:val="bottom"/>
          </w:tcPr>
          <w:p>
            <w:pPr>
              <w:spacing w:after="0"/>
              <w:rPr>
                <w:sz w:val="24"/>
                <w:szCs w:val="24"/>
                <w:color w:val="auto"/>
              </w:rPr>
            </w:pPr>
          </w:p>
        </w:tc>
        <w:tc>
          <w:tcPr>
            <w:tcW w:w="8840" w:type="dxa"/>
            <w:vAlign w:val="bottom"/>
            <w:gridSpan w:val="3"/>
          </w:tcPr>
          <w:p>
            <w:pPr>
              <w:jc w:val="center"/>
              <w:ind w:right="2234"/>
              <w:spacing w:after="0"/>
              <w:rPr>
                <w:sz w:val="20"/>
                <w:szCs w:val="20"/>
                <w:color w:val="auto"/>
              </w:rPr>
            </w:pPr>
            <w:r>
              <w:rPr>
                <w:rFonts w:ascii="Times New Roman" w:cs="Times New Roman" w:eastAsia="Times New Roman" w:hAnsi="Times New Roman"/>
                <w:sz w:val="21"/>
                <w:szCs w:val="21"/>
                <w:b w:val="1"/>
                <w:bCs w:val="1"/>
                <w:color w:val="auto"/>
              </w:rPr>
              <w:t>(Key Employee)</w:t>
            </w:r>
          </w:p>
        </w:tc>
      </w:tr>
      <w:tr>
        <w:trPr>
          <w:trHeight w:val="472"/>
        </w:trPr>
        <w:tc>
          <w:tcPr>
            <w:tcW w:w="2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Grantee:</w:t>
            </w:r>
          </w:p>
        </w:tc>
        <w:tc>
          <w:tcPr>
            <w:tcW w:w="7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6"/>
        </w:trPr>
        <w:tc>
          <w:tcPr>
            <w:tcW w:w="2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Number of RSUs:</w:t>
            </w:r>
          </w:p>
        </w:tc>
        <w:tc>
          <w:tcPr>
            <w:tcW w:w="76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RSUs</w:t>
            </w:r>
          </w:p>
        </w:tc>
      </w:tr>
      <w:tr>
        <w:trPr>
          <w:trHeight w:val="548"/>
        </w:trPr>
        <w:tc>
          <w:tcPr>
            <w:tcW w:w="2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Date of Grant:</w:t>
            </w:r>
          </w:p>
        </w:tc>
        <w:tc>
          <w:tcPr>
            <w:tcW w:w="7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2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Vesting Schedule:</w:t>
            </w:r>
          </w:p>
        </w:tc>
        <w:tc>
          <w:tcPr>
            <w:tcW w:w="76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Vesting Date</w:t>
            </w:r>
          </w:p>
        </w:tc>
      </w:tr>
      <w:tr>
        <w:trPr>
          <w:trHeight w:val="232"/>
        </w:trPr>
        <w:tc>
          <w:tcPr>
            <w:tcW w:w="2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Vest Quantity</w:t>
            </w:r>
          </w:p>
        </w:tc>
      </w:tr>
    </w:tbl>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as of the ____ day of ______, _________, by and between</w:t>
      </w:r>
    </w:p>
    <w:p>
      <w:pPr>
        <w:jc w:val="both"/>
        <w:spacing w:after="0" w:line="231" w:lineRule="auto"/>
        <w:rPr>
          <w:sz w:val="20"/>
          <w:szCs w:val="20"/>
          <w:color w:val="auto"/>
        </w:rPr>
      </w:pPr>
      <w:r>
        <w:rPr>
          <w:rFonts w:ascii="Times New Roman" w:cs="Times New Roman" w:eastAsia="Times New Roman" w:hAnsi="Times New Roman"/>
          <w:sz w:val="21"/>
          <w:szCs w:val="21"/>
          <w:b w:val="1"/>
          <w:bCs w:val="1"/>
          <w:color w:val="auto"/>
        </w:rPr>
        <w:t>UNITED COMMUNITY BANKS, INC.</w:t>
      </w:r>
      <w:r>
        <w:rPr>
          <w:rFonts w:ascii="Times New Roman" w:cs="Times New Roman" w:eastAsia="Times New Roman" w:hAnsi="Times New Roman"/>
          <w:sz w:val="21"/>
          <w:szCs w:val="21"/>
          <w:color w:val="auto"/>
        </w:rPr>
        <w:t>, a Georgia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individual designated above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Grantee</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maintains the United Community Banks, Inc. 2022 Omnibus Equity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has been selected by the Committee to receive a Restricted Stock Unit Award under the Plan, vesting based upon the passage of time as specified above.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NOW, THEREFORE, IT IS AGREED</w:t>
      </w:r>
      <w:r>
        <w:rPr>
          <w:rFonts w:ascii="Times New Roman" w:cs="Times New Roman" w:eastAsia="Times New Roman" w:hAnsi="Times New Roman"/>
          <w:sz w:val="21"/>
          <w:szCs w:val="21"/>
          <w:color w:val="auto"/>
        </w:rPr>
        <w:t>, by and between the Company and the Grantee, as follows:</w:t>
      </w:r>
    </w:p>
    <w:p>
      <w:pPr>
        <w:spacing w:after="0" w:line="183" w:lineRule="exact"/>
        <w:rPr>
          <w:sz w:val="20"/>
          <w:szCs w:val="20"/>
          <w:color w:val="auto"/>
        </w:rPr>
      </w:pPr>
    </w:p>
    <w:p>
      <w:pPr>
        <w:ind w:left="1280" w:hanging="638"/>
        <w:spacing w:after="0"/>
        <w:tabs>
          <w:tab w:leader="none" w:pos="128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of Restricted Stock Units</w:t>
      </w:r>
    </w:p>
    <w:p>
      <w:pPr>
        <w:spacing w:after="0" w:line="18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1.a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hereby grants to the Grantee an award of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in the amount set forth above, subject to, and in accordance with, the restrictions, terms, and conditions set forth in this Agreement and the Plan. The grant date of this award of RSUs is set forth above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1.b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48"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1.c </w:t>
      </w:r>
      <w:r>
        <w:rPr>
          <w:rFonts w:ascii="Times New Roman" w:cs="Times New Roman" w:eastAsia="Times New Roman" w:hAnsi="Times New Roman"/>
          <w:sz w:val="21"/>
          <w:szCs w:val="21"/>
          <w:u w:val="single" w:color="auto"/>
          <w:color w:val="auto"/>
        </w:rPr>
        <w:t>Execution of the Agreement</w:t>
      </w:r>
      <w:r>
        <w:rPr>
          <w:rFonts w:ascii="Times New Roman" w:cs="Times New Roman" w:eastAsia="Times New Roman" w:hAnsi="Times New Roman"/>
          <w:sz w:val="21"/>
          <w:szCs w:val="21"/>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w:t>
      </w:r>
    </w:p>
    <w:p>
      <w:pPr>
        <w:sectPr>
          <w:pgSz w:w="11900" w:h="16838" w:orient="portrait"/>
          <w:cols w:equalWidth="0" w:num="1">
            <w:col w:w="11240"/>
          </w:cols>
          <w:pgMar w:left="320" w:top="119" w:right="339" w:bottom="1440" w:gutter="0" w:footer="0" w:header="0"/>
        </w:sectPr>
      </w:pPr>
    </w:p>
    <w:bookmarkStart w:id="143" w:name="page144"/>
    <w:bookmarkEnd w:id="143"/>
    <w:p>
      <w:pPr>
        <w:spacing w:after="0" w:line="245" w:lineRule="auto"/>
        <w:rPr>
          <w:sz w:val="20"/>
          <w:szCs w:val="20"/>
          <w:color w:val="auto"/>
        </w:rPr>
      </w:pPr>
      <w:r>
        <w:rPr>
          <w:rFonts w:ascii="Times New Roman" w:cs="Times New Roman" w:eastAsia="Times New Roman" w:hAnsi="Times New Roman"/>
          <w:sz w:val="21"/>
          <w:szCs w:val="21"/>
          <w:color w:val="auto"/>
        </w:rPr>
        <w:t>within thirty (30) days of the Date of Grant, it may be canceled by the Committee, resulting in the immediate forfeiture of all RSUs granted hereunder.</w:t>
      </w:r>
    </w:p>
    <w:p>
      <w:pPr>
        <w:spacing w:after="0" w:line="139" w:lineRule="exact"/>
        <w:rPr>
          <w:sz w:val="20"/>
          <w:szCs w:val="20"/>
          <w:color w:val="auto"/>
        </w:rPr>
      </w:pPr>
    </w:p>
    <w:p>
      <w:pPr>
        <w:ind w:left="1280" w:hanging="638"/>
        <w:spacing w:after="0"/>
        <w:tabs>
          <w:tab w:leader="none" w:pos="128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Settlement; Termination of Employment</w:t>
      </w:r>
    </w:p>
    <w:p>
      <w:pPr>
        <w:spacing w:after="0" w:line="187"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1.a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if the Grantee remains employed by the Company through the Vesting Date set forth above (the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xml:space="preserve">”), the RSUs shall vest in accordance with the vesting schedule set forth above. Except as otherwise provided herein, as soon as practicable (and no later than thirty (30) days after the Vesting Date (or such earlier vesting date in the event of a termination of employment as provided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a number of Shares equal to the number of vested RSUs shall be issued to the Grantee (or, if the Grantee has died, to his or her surviving spouse or, if none, to the Grantee’s estate) free and clear of all restrictions imposed by this Agreement (except those imposed by </w:t>
      </w:r>
      <w:r>
        <w:rPr>
          <w:rFonts w:ascii="Times New Roman" w:cs="Times New Roman" w:eastAsia="Times New Roman" w:hAnsi="Times New Roman"/>
          <w:sz w:val="21"/>
          <w:szCs w:val="21"/>
          <w:u w:val="single" w:color="auto"/>
          <w:color w:val="auto"/>
        </w:rPr>
        <w:t>Sections 3.3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below). For purposes of this Agreement, employment with a Subsidiary of the Company or service as a member of the Board of Directors of the Company or a Subsidiary shall be considered employment with the Company.</w:t>
      </w:r>
    </w:p>
    <w:p>
      <w:pPr>
        <w:spacing w:after="0" w:line="153"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 xml:space="preserve">1.b </w:t>
      </w:r>
      <w:r>
        <w:rPr>
          <w:rFonts w:ascii="Times New Roman" w:cs="Times New Roman" w:eastAsia="Times New Roman" w:hAnsi="Times New Roman"/>
          <w:sz w:val="21"/>
          <w:szCs w:val="21"/>
          <w:u w:val="single" w:color="auto"/>
          <w:color w:val="auto"/>
        </w:rPr>
        <w:t>Termination of Employment Due to Death or Disability</w:t>
      </w:r>
      <w:r>
        <w:rPr>
          <w:rFonts w:ascii="Times New Roman" w:cs="Times New Roman" w:eastAsia="Times New Roman" w:hAnsi="Times New Roman"/>
          <w:sz w:val="21"/>
          <w:szCs w:val="21"/>
          <w:color w:val="auto"/>
        </w:rPr>
        <w:t xml:space="preserve">. If the Grantee’s employment is terminated by the Company as a result of death or Disability, the unvested RSUs shall fully vest immediately as of the Date of Termination, and a number of Shares equal to the number of such vested RSUs shall be issued to the Grantee (or the Grantee’s surviving spouse or estate) in the manner and at the time provided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21"/>
          <w:szCs w:val="21"/>
          <w:color w:val="auto"/>
        </w:rPr>
        <w:t>1.c</w:t>
      </w:r>
      <w:r>
        <w:rPr>
          <w:sz w:val="20"/>
          <w:szCs w:val="20"/>
          <w:color w:val="auto"/>
        </w:rPr>
        <w:tab/>
      </w:r>
      <w:r>
        <w:rPr>
          <w:rFonts w:ascii="Times New Roman" w:cs="Times New Roman" w:eastAsia="Times New Roman" w:hAnsi="Times New Roman"/>
          <w:sz w:val="21"/>
          <w:szCs w:val="21"/>
          <w:u w:val="single" w:color="auto"/>
          <w:color w:val="auto"/>
        </w:rPr>
        <w:t>Termination of Employment by the Company Without Cause or by the Grantee for Good Reason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531"/>
        <w:spacing w:after="0" w:line="223" w:lineRule="auto"/>
        <w:rPr>
          <w:sz w:val="20"/>
          <w:szCs w:val="20"/>
          <w:color w:val="auto"/>
        </w:rPr>
      </w:pPr>
      <w:r>
        <w:rPr>
          <w:rFonts w:ascii="Times New Roman" w:cs="Times New Roman" w:eastAsia="Times New Roman" w:hAnsi="Times New Roman"/>
          <w:sz w:val="21"/>
          <w:szCs w:val="21"/>
          <w:color w:val="auto"/>
        </w:rPr>
        <w:t xml:space="preserve">1.1.iIf the Grantee’s employment is terminated and such termination is either (i) an involuntary termination by the Company without Cause (as defined herein), and the termination does not arise as a result of the Grantee’s death or Disability, or (ii) a termination by the Grantee for Good Reason (as defined herein), the unvested RSUs shall fully vest immediately upon the Date of Termination, and a number of Shares equal to the number of such vested RSUs shall be issued to the Grantee in the manner and at the time provided under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472"/>
        <w:spacing w:after="0" w:line="217" w:lineRule="auto"/>
        <w:rPr>
          <w:sz w:val="20"/>
          <w:szCs w:val="20"/>
          <w:color w:val="auto"/>
        </w:rPr>
      </w:pPr>
      <w:r>
        <w:rPr>
          <w:rFonts w:ascii="Times New Roman" w:cs="Times New Roman" w:eastAsia="Times New Roman" w:hAnsi="Times New Roman"/>
          <w:sz w:val="21"/>
          <w:szCs w:val="21"/>
          <w:color w:val="auto"/>
        </w:rPr>
        <w:t xml:space="preserve">1.1.iiFor purposes of this Agreement (except as otherwise provided in </w:t>
      </w:r>
      <w:r>
        <w:rPr>
          <w:rFonts w:ascii="Times New Roman" w:cs="Times New Roman" w:eastAsia="Times New Roman" w:hAnsi="Times New Roman"/>
          <w:sz w:val="21"/>
          <w:szCs w:val="21"/>
          <w:u w:val="single" w:color="auto"/>
          <w:color w:val="auto"/>
        </w:rPr>
        <w:t>Section 2.3.4</w:t>
      </w:r>
      <w:r>
        <w:rPr>
          <w:rFonts w:ascii="Times New Roman" w:cs="Times New Roman" w:eastAsia="Times New Roman" w:hAnsi="Times New Roman"/>
          <w:sz w:val="21"/>
          <w:szCs w:val="21"/>
          <w:color w:val="auto"/>
        </w:rPr>
        <w:t>), (i) on or after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shall have the meaning set forth in the Plan (without regard to the last sentence thereof), and (ii) prior to a Change in Control, the term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shall mean (a) the Grantee’s continued intentional failure or refusal to perform substantially the Grantee’s assigned duties (other than as a result of total or partial mental or physical incapacity); (b) the Grantee’s engagement in willful misconduct, including without limitation, fraud, embezzlement, theft or dishonesty, in the course of the Grantee’s employment with the Company; (c) the Grantee’s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(other than a felony) that involves moral turpitude or a breach of trust or fiduciary duty owed to the Company or any of its affiliates; (d) a material breach of the restrictive covenants applicable to the Grantee, including those set forth in this Agreement; or (e) a material breach of the Company’s Code of Conduct or another written policy of the Company applicable to the Grantee, that does, or could reasonably be expected to, result in material harm to the Company, including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1" w:right="339" w:bottom="1440" w:gutter="0" w:footer="0" w:header="0"/>
        </w:sectPr>
      </w:pPr>
    </w:p>
    <w:bookmarkStart w:id="144" w:name="page145"/>
    <w:bookmarkEnd w:id="144"/>
    <w:p>
      <w:pPr>
        <w:jc w:val="both"/>
        <w:ind w:firstLine="1413"/>
        <w:spacing w:after="0" w:line="233" w:lineRule="auto"/>
        <w:rPr>
          <w:sz w:val="20"/>
          <w:szCs w:val="20"/>
          <w:color w:val="auto"/>
        </w:rPr>
      </w:pPr>
      <w:r>
        <w:rPr>
          <w:rFonts w:ascii="Times New Roman" w:cs="Times New Roman" w:eastAsia="Times New Roman" w:hAnsi="Times New Roman"/>
          <w:sz w:val="21"/>
          <w:szCs w:val="21"/>
          <w:color w:val="auto"/>
        </w:rPr>
        <w:t xml:space="preserve">1.1.iiiFor purposes of this Agreement (except as otherwise provided in </w:t>
      </w:r>
      <w:r>
        <w:rPr>
          <w:rFonts w:ascii="Times New Roman" w:cs="Times New Roman" w:eastAsia="Times New Roman" w:hAnsi="Times New Roman"/>
          <w:sz w:val="21"/>
          <w:szCs w:val="21"/>
          <w:u w:val="single" w:color="auto"/>
          <w:color w:val="auto"/>
        </w:rPr>
        <w:t>Section 2.3.4</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for termination by the Grantee of the Grantee’s employment shall mean the occurrence (without the Grantee’s express written consent) of any one of the following acts by the Company:</w:t>
      </w:r>
    </w:p>
    <w:p>
      <w:pPr>
        <w:spacing w:after="0" w:line="149" w:lineRule="exact"/>
        <w:rPr>
          <w:sz w:val="20"/>
          <w:szCs w:val="20"/>
          <w:color w:val="auto"/>
        </w:rPr>
      </w:pPr>
    </w:p>
    <w:p>
      <w:pPr>
        <w:ind w:left="1900" w:hanging="622"/>
        <w:spacing w:after="0"/>
        <w:tabs>
          <w:tab w:leader="none" w:pos="19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reduction in the Grantee’s responsibilities at the Company;</w:t>
      </w:r>
    </w:p>
    <w:p>
      <w:pPr>
        <w:spacing w:after="0" w:line="182" w:lineRule="exact"/>
        <w:rPr>
          <w:rFonts w:ascii="Times New Roman" w:cs="Times New Roman" w:eastAsia="Times New Roman" w:hAnsi="Times New Roman"/>
          <w:sz w:val="21"/>
          <w:szCs w:val="21"/>
          <w:color w:val="auto"/>
        </w:rPr>
      </w:pPr>
    </w:p>
    <w:p>
      <w:pPr>
        <w:jc w:val="both"/>
        <w:ind w:left="640" w:firstLine="638"/>
        <w:spacing w:after="0" w:line="232" w:lineRule="auto"/>
        <w:tabs>
          <w:tab w:leader="none" w:pos="190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relocation of the Grantee’s employment to a primary worksite location that is more than thirty-five (35) miles from the Grantee’s primary worksite location and increases the distance between the Grantee’s home location and primary worksite location by more than thirty-five (35) miles;</w:t>
      </w:r>
    </w:p>
    <w:p>
      <w:pPr>
        <w:spacing w:after="0" w:line="147" w:lineRule="exact"/>
        <w:rPr>
          <w:rFonts w:ascii="Times New Roman" w:cs="Times New Roman" w:eastAsia="Times New Roman" w:hAnsi="Times New Roman"/>
          <w:sz w:val="21"/>
          <w:szCs w:val="21"/>
          <w:color w:val="auto"/>
        </w:rPr>
      </w:pPr>
    </w:p>
    <w:p>
      <w:pPr>
        <w:ind w:left="640" w:right="20" w:firstLine="638"/>
        <w:spacing w:after="0" w:line="245" w:lineRule="auto"/>
        <w:tabs>
          <w:tab w:leader="none" w:pos="190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Grantee’s base salary (other than a temporary reduction in connection with a specific circumstance that is consistently applied to other similarly situated executives of the Company); or</w:t>
      </w:r>
    </w:p>
    <w:p>
      <w:pPr>
        <w:spacing w:after="0" w:line="142" w:lineRule="exact"/>
        <w:rPr>
          <w:rFonts w:ascii="Times New Roman" w:cs="Times New Roman" w:eastAsia="Times New Roman" w:hAnsi="Times New Roman"/>
          <w:sz w:val="21"/>
          <w:szCs w:val="21"/>
          <w:color w:val="auto"/>
        </w:rPr>
      </w:pPr>
    </w:p>
    <w:p>
      <w:pPr>
        <w:jc w:val="both"/>
        <w:ind w:left="640" w:firstLine="638"/>
        <w:spacing w:after="0" w:line="232" w:lineRule="auto"/>
        <w:tabs>
          <w:tab w:leader="none" w:pos="190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Grantee’s target annual incentive compensation opportunity or target long-term incentive compensation opportunity (other than a reduction in connection with a change to the incentive compensation program of the Company that is consistently applied to other similarly situated executives of the Company).</w:t>
      </w:r>
    </w:p>
    <w:p>
      <w:pPr>
        <w:spacing w:after="0" w:line="148"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1"/>
          <w:szCs w:val="21"/>
          <w:color w:val="auto"/>
        </w:rPr>
        <w:t>The Grantee must give the Company notice of any event or condition that would constitute Good Reason within ninety (90) days of the initial existence of the event or condition, and upon receipt of such notice, the Company shall have thirty (30) days to remedy such event or condition. If such event or condition is not remedied within such thirty (30)-day period, any termination of employment by the Grantee for Good Reason must occur, if at all, within six (6) months of the Grantee learning of the initial existence of the condition or event in order for such termination as a result of such condition to constitute a termination for Good Reason.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155" w:lineRule="exact"/>
        <w:rPr>
          <w:sz w:val="20"/>
          <w:szCs w:val="20"/>
          <w:color w:val="auto"/>
        </w:rPr>
      </w:pPr>
    </w:p>
    <w:p>
      <w:pPr>
        <w:jc w:val="both"/>
        <w:ind w:firstLine="1425"/>
        <w:spacing w:after="0"/>
        <w:rPr>
          <w:sz w:val="20"/>
          <w:szCs w:val="20"/>
          <w:color w:val="auto"/>
        </w:rPr>
      </w:pPr>
      <w:r>
        <w:rPr>
          <w:rFonts w:ascii="Times New Roman" w:cs="Times New Roman" w:eastAsia="Times New Roman" w:hAnsi="Times New Roman"/>
          <w:sz w:val="21"/>
          <w:szCs w:val="21"/>
          <w:color w:val="auto"/>
        </w:rPr>
        <w:t xml:space="preserve">1.1.ivNotwithstanding anything contained herein to the contrary, if the Grantee has entered into an employment or similar agreement that applies prior to a Change in Control (or a term of similar meaning) or a severance or similar agreement that applies on or after a Change in Control (or a term of similar meaning) and, if such agreement defines “Good Reason,” and/or provides procedures and/or standards for determining whether Cause or Good Reason exists, such definition of Good Reason and the procedures and/or standards for determining the existence of Cause or Good Reason, as applicable, shall apply as if set forth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such an agreement that applies on or after a Change in Control (or a term of similar meaning) such alternative definitions and procedures and/or standards, as applicable, shall apply with respect to the applicable period under such agreement from and after a Change in Control (or a term of similar meaning). Notwithstanding anything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7" w:right="339" w:bottom="1440" w:gutter="0" w:footer="0" w:header="0"/>
        </w:sectPr>
      </w:pPr>
    </w:p>
    <w:bookmarkStart w:id="145" w:name="page146"/>
    <w:bookmarkEnd w:id="145"/>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herein to the contrary, nothing herein shall limit the right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of certain determinations as provided in Section 3.5 of the Plan.</w:t>
      </w:r>
    </w:p>
    <w:p>
      <w:pPr>
        <w:spacing w:after="0" w:line="141" w:lineRule="exact"/>
        <w:rPr>
          <w:sz w:val="20"/>
          <w:szCs w:val="20"/>
          <w:color w:val="auto"/>
        </w:rPr>
      </w:pPr>
    </w:p>
    <w:p>
      <w:pPr>
        <w:jc w:val="both"/>
        <w:ind w:firstLine="1272"/>
        <w:spacing w:after="0" w:line="232" w:lineRule="auto"/>
        <w:rPr>
          <w:sz w:val="20"/>
          <w:szCs w:val="20"/>
          <w:color w:val="auto"/>
        </w:rPr>
      </w:pPr>
      <w:r>
        <w:rPr>
          <w:rFonts w:ascii="Times New Roman" w:cs="Times New Roman" w:eastAsia="Times New Roman" w:hAnsi="Times New Roman"/>
          <w:sz w:val="21"/>
          <w:szCs w:val="21"/>
          <w:color w:val="auto"/>
        </w:rPr>
        <w:t xml:space="preserve">1.d </w:t>
      </w:r>
      <w:r>
        <w:rPr>
          <w:rFonts w:ascii="Times New Roman" w:cs="Times New Roman" w:eastAsia="Times New Roman" w:hAnsi="Times New Roman"/>
          <w:sz w:val="21"/>
          <w:szCs w:val="21"/>
          <w:u w:val="single" w:color="auto"/>
          <w:color w:val="auto"/>
        </w:rPr>
        <w:t>Termination of Employment for Other Reasons</w:t>
      </w:r>
      <w:r>
        <w:rPr>
          <w:rFonts w:ascii="Times New Roman" w:cs="Times New Roman" w:eastAsia="Times New Roman" w:hAnsi="Times New Roman"/>
          <w:sz w:val="21"/>
          <w:szCs w:val="21"/>
          <w:color w:val="auto"/>
        </w:rPr>
        <w:t xml:space="preserve">. If the Grantee’s employment is terminated by the Company or by the Grantee prior to the Vesting Date for any reason other than as set forth in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the outstanding unvested RSUs shall immediately be forfeited as of the Date of Termination.</w:t>
      </w:r>
    </w:p>
    <w:p>
      <w:pPr>
        <w:spacing w:after="0" w:line="148"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 xml:space="preserve">1.e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The RSUs may not be sold, assigned, transferred, pledged, or otherwise encumbered prior to the date the Grantee becomes vested in the RSUs and the Shares are issued.</w:t>
      </w:r>
    </w:p>
    <w:p>
      <w:pPr>
        <w:spacing w:after="0" w:line="143"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21"/>
          <w:szCs w:val="21"/>
          <w:color w:val="auto"/>
        </w:rPr>
        <w:t xml:space="preserve">1.f </w:t>
      </w: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To the extent applicable, this Agreement shall at all times be interpreted and operated in compliance with the requirements of Section 409A of the Code and the standards, regulations or other guidance promulgated thereunder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To the extent required under the provisions of Section 409A to avoid the imposition of additional income and other taxes, the provisions of Section 11.2(b) of the Plan shall apply to the RSUs. For purposes of this Agreement, termination of employment shall be construed consistent with the meaning of a separation from service within the meaning of Section 409A and to the extent required under the provisions of Section 409A to avoid the imposition of additional income and other taxes, the Date of Termination as used for purposes of the settlement of any vested RSUs shall not occur prior to the Grantee’s separation from service.</w:t>
      </w:r>
    </w:p>
    <w:p>
      <w:pPr>
        <w:spacing w:after="0" w:line="151" w:lineRule="exact"/>
        <w:rPr>
          <w:sz w:val="20"/>
          <w:szCs w:val="20"/>
          <w:color w:val="auto"/>
        </w:rPr>
      </w:pPr>
    </w:p>
    <w:p>
      <w:pPr>
        <w:ind w:left="1280" w:hanging="638"/>
        <w:spacing w:after="0"/>
        <w:tabs>
          <w:tab w:leader="none" w:pos="128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Shareholder; Dividends; Change in Capitalization; Deferral Rights</w:t>
      </w:r>
    </w:p>
    <w:p>
      <w:pPr>
        <w:spacing w:after="0" w:line="187" w:lineRule="exact"/>
        <w:rPr>
          <w:sz w:val="20"/>
          <w:szCs w:val="20"/>
          <w:color w:val="auto"/>
        </w:rPr>
      </w:pPr>
    </w:p>
    <w:p>
      <w:pPr>
        <w:jc w:val="both"/>
        <w:ind w:firstLine="1272"/>
        <w:spacing w:after="0" w:line="214" w:lineRule="auto"/>
        <w:rPr>
          <w:sz w:val="20"/>
          <w:szCs w:val="20"/>
          <w:color w:val="auto"/>
        </w:rPr>
      </w:pPr>
      <w:r>
        <w:rPr>
          <w:rFonts w:ascii="Times New Roman" w:cs="Times New Roman" w:eastAsia="Times New Roman" w:hAnsi="Times New Roman"/>
          <w:sz w:val="21"/>
          <w:szCs w:val="21"/>
          <w:color w:val="auto"/>
        </w:rPr>
        <w:t>1.a The Grantee shall have no rights as a shareholder until such date as the Shares are delivered in settlement of vested RSUs; provided, however, that following the Date of Grant of the RSUs through the date that is the earlier of (i) the date that the RSUs are vested and Shares in settlement thereof are transferred to the Grantee pursuant to Section 2.1 or (ii) the date that the RSUs are forfeited, the Grantee shall be credited with dividend equivalents with respect to ordinary cash dividends (other than an extraordinary dividend for which an adjustment is made pursuant to Section 4.3(b) of the Plan) declared on the Shares represented by the RSU, which dividend equivalents shall vest or be forfeited on the same basis as applies to the underlying RSUs. Within thirty</w:t>
      </w:r>
    </w:p>
    <w:p>
      <w:pPr>
        <w:spacing w:after="0" w:line="4" w:lineRule="exact"/>
        <w:rPr>
          <w:sz w:val="20"/>
          <w:szCs w:val="20"/>
          <w:color w:val="auto"/>
        </w:rPr>
      </w:pPr>
    </w:p>
    <w:p>
      <w:pPr>
        <w:jc w:val="both"/>
        <w:ind w:firstLine="6"/>
        <w:spacing w:after="0" w:line="224" w:lineRule="auto"/>
        <w:tabs>
          <w:tab w:leader="none" w:pos="42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a Vesting Date (or such earlier date on which the RSUs vest in accordance with the terms of this Agreement), the Grantee shall be paid in cash the dividend equivalents with respect to the vested RSUs to which the dividend equivalents relate, less applicable withholdings.</w:t>
      </w:r>
    </w:p>
    <w:p>
      <w:pPr>
        <w:spacing w:after="0" w:line="148" w:lineRule="exact"/>
        <w:rPr>
          <w:sz w:val="20"/>
          <w:szCs w:val="20"/>
          <w:color w:val="auto"/>
        </w:rPr>
      </w:pPr>
    </w:p>
    <w:p>
      <w:pPr>
        <w:ind w:right="20" w:firstLine="1272"/>
        <w:spacing w:after="0" w:line="245" w:lineRule="auto"/>
        <w:rPr>
          <w:sz w:val="20"/>
          <w:szCs w:val="20"/>
          <w:color w:val="auto"/>
        </w:rPr>
      </w:pPr>
      <w:r>
        <w:rPr>
          <w:rFonts w:ascii="Times New Roman" w:cs="Times New Roman" w:eastAsia="Times New Roman" w:hAnsi="Times New Roman"/>
          <w:sz w:val="21"/>
          <w:szCs w:val="21"/>
          <w:color w:val="auto"/>
        </w:rPr>
        <w:t xml:space="preserve">1.b In the event of a change in capitalization, the Committee shall make appropriate adjustments in accordance with Section 4.3 of the Plan to reflect the change in capitalization;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additional Shares or additional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color w:val="auto"/>
        </w:rPr>
        <w:t>different shares or securities reflected in any such adjustment shall remain subject to the restrictions in this Agreement.</w:t>
      </w:r>
    </w:p>
    <w:p>
      <w:pPr>
        <w:spacing w:after="0" w:line="183"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1.c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the federal or any state securities laws.</w:t>
      </w:r>
    </w:p>
    <w:p>
      <w:pPr>
        <w:spacing w:after="0" w:line="150" w:lineRule="exact"/>
        <w:rPr>
          <w:sz w:val="20"/>
          <w:szCs w:val="20"/>
          <w:color w:val="auto"/>
        </w:rPr>
      </w:pPr>
    </w:p>
    <w:p>
      <w:pPr>
        <w:jc w:val="both"/>
        <w:ind w:firstLine="1272"/>
        <w:spacing w:after="0"/>
        <w:rPr>
          <w:sz w:val="20"/>
          <w:szCs w:val="20"/>
          <w:color w:val="auto"/>
        </w:rPr>
      </w:pPr>
      <w:r>
        <w:rPr>
          <w:rFonts w:ascii="Times New Roman" w:cs="Times New Roman" w:eastAsia="Times New Roman" w:hAnsi="Times New Roman"/>
          <w:sz w:val="21"/>
          <w:szCs w:val="21"/>
          <w:color w:val="auto"/>
        </w:rPr>
        <w:t>1.d To the extent the Grantee makes a valid and timely deferral election with respect to the Shares deliverable upon vesting of the RSUs consistent with Section 11.1 of the Plan, the terms of such election and any applicable deferred compensation plan shall govern the delivery of the Shares and accrued dividend equivalents in respect of vested RSUs subject to such election.</w:t>
      </w:r>
    </w:p>
    <w:p>
      <w:pPr>
        <w:spacing w:after="0" w:line="332" w:lineRule="exact"/>
        <w:rPr>
          <w:sz w:val="20"/>
          <w:szCs w:val="20"/>
          <w:color w:val="auto"/>
        </w:rPr>
      </w:pPr>
    </w:p>
    <w:p>
      <w:pPr>
        <w:ind w:left="1280" w:hanging="638"/>
        <w:spacing w:after="0"/>
        <w:tabs>
          <w:tab w:leader="none" w:pos="128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Right to Continued Employment</w:t>
      </w:r>
    </w:p>
    <w:p>
      <w:pPr>
        <w:spacing w:after="0" w:line="187"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46" w:lineRule="exact"/>
        <w:rPr>
          <w:sz w:val="20"/>
          <w:szCs w:val="20"/>
          <w:color w:val="auto"/>
        </w:rPr>
      </w:pPr>
    </w:p>
    <w:p>
      <w:pPr>
        <w:ind w:left="1280" w:hanging="638"/>
        <w:spacing w:after="0"/>
        <w:tabs>
          <w:tab w:leader="none" w:pos="128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 and Withholding</w:t>
      </w:r>
    </w:p>
    <w:p>
      <w:pPr>
        <w:spacing w:after="0" w:line="187"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and any dividends or dividend equivalents in respect thereof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to withhold and cancel (for the minimum required withholdings or such other amounts as will not result in adverse accounting treatment to the Company) (in whole or in part) a number of Shares having a Fair Market Value not less than the amount of such taxes.</w:t>
      </w:r>
    </w:p>
    <w:p>
      <w:pPr>
        <w:spacing w:after="0" w:line="149" w:lineRule="exact"/>
        <w:rPr>
          <w:sz w:val="20"/>
          <w:szCs w:val="20"/>
          <w:color w:val="auto"/>
        </w:rPr>
      </w:pPr>
    </w:p>
    <w:p>
      <w:pPr>
        <w:ind w:left="1280" w:hanging="638"/>
        <w:spacing w:after="0"/>
        <w:tabs>
          <w:tab w:leader="none" w:pos="128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Grantee Bound by the Plan</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The Grantee hereby acknowledges receipt of a copy of the Plan and the prospectus for the Plan, and agrees to be bound by all the terms and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1" w:right="339" w:bottom="1440" w:gutter="0" w:footer="0" w:header="0"/>
        </w:sectPr>
      </w:pPr>
    </w:p>
    <w:bookmarkStart w:id="147" w:name="page148"/>
    <w:bookmarkEnd w:id="147"/>
    <w:p>
      <w:pPr>
        <w:ind w:left="1280" w:hanging="638"/>
        <w:spacing w:after="0"/>
        <w:tabs>
          <w:tab w:leader="none" w:pos="128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1.a In consideration for the grant of the RSUs, continued employment with the Company, and other good and valuable consideration, the Grantee agrees to the following:</w:t>
      </w:r>
    </w:p>
    <w:p>
      <w:pPr>
        <w:spacing w:after="0" w:line="143" w:lineRule="exact"/>
        <w:rPr>
          <w:sz w:val="20"/>
          <w:szCs w:val="20"/>
          <w:color w:val="auto"/>
        </w:rPr>
      </w:pPr>
    </w:p>
    <w:p>
      <w:pPr>
        <w:jc w:val="both"/>
        <w:ind w:left="640" w:firstLine="638"/>
        <w:spacing w:after="0" w:line="232" w:lineRule="auto"/>
        <w:tabs>
          <w:tab w:leader="none" w:pos="190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for a one (1)-year period after the Date of Termination, the Grantee will not directly or indirectly, individually, or on behalf of any Person other than the Company or a Subsidiary:</w:t>
      </w:r>
    </w:p>
    <w:p>
      <w:pPr>
        <w:spacing w:after="0" w:line="147" w:lineRule="exact"/>
        <w:rPr>
          <w:rFonts w:ascii="Times New Roman" w:cs="Times New Roman" w:eastAsia="Times New Roman" w:hAnsi="Times New Roman"/>
          <w:sz w:val="21"/>
          <w:szCs w:val="21"/>
          <w:color w:val="auto"/>
        </w:rPr>
      </w:pPr>
    </w:p>
    <w:p>
      <w:pPr>
        <w:ind w:left="1280" w:right="20" w:firstLine="634"/>
        <w:spacing w:after="0" w:line="245" w:lineRule="auto"/>
        <w:tabs>
          <w:tab w:leader="none" w:pos="254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Customers for the purpose of providing services identical to or reasonably substitutable for the Company’s Business;</w:t>
      </w:r>
    </w:p>
    <w:p>
      <w:pPr>
        <w:spacing w:after="0" w:line="142" w:lineRule="exact"/>
        <w:rPr>
          <w:rFonts w:ascii="Times New Roman" w:cs="Times New Roman" w:eastAsia="Times New Roman" w:hAnsi="Times New Roman"/>
          <w:sz w:val="21"/>
          <w:szCs w:val="21"/>
          <w:color w:val="auto"/>
        </w:rPr>
      </w:pPr>
    </w:p>
    <w:p>
      <w:pPr>
        <w:jc w:val="both"/>
        <w:ind w:left="1280" w:firstLine="634"/>
        <w:spacing w:after="0" w:line="226" w:lineRule="auto"/>
        <w:tabs>
          <w:tab w:leader="none" w:pos="254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induce, or in any manner attempt to solicit or induce, any Person employed by or providing services to the Company or any Subsidiary (as of the date of such solicitation or during the six (6) months prior thereto) to leave such employment or service, whether or not such employment or service is pursuant to a written contract with the Company or any Subsidiary or is at will; or</w:t>
      </w:r>
    </w:p>
    <w:p>
      <w:pPr>
        <w:spacing w:after="0" w:line="150" w:lineRule="exact"/>
        <w:rPr>
          <w:rFonts w:ascii="Times New Roman" w:cs="Times New Roman" w:eastAsia="Times New Roman" w:hAnsi="Times New Roman"/>
          <w:sz w:val="21"/>
          <w:szCs w:val="21"/>
          <w:color w:val="auto"/>
        </w:rPr>
      </w:pPr>
    </w:p>
    <w:p>
      <w:pPr>
        <w:jc w:val="both"/>
        <w:ind w:left="1280" w:firstLine="634"/>
        <w:spacing w:after="0" w:line="232" w:lineRule="auto"/>
        <w:tabs>
          <w:tab w:leader="none" w:pos="254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pacing w:after="0" w:line="147" w:lineRule="exact"/>
        <w:rPr>
          <w:rFonts w:ascii="Times New Roman" w:cs="Times New Roman" w:eastAsia="Times New Roman" w:hAnsi="Times New Roman"/>
          <w:sz w:val="21"/>
          <w:szCs w:val="21"/>
          <w:color w:val="auto"/>
        </w:rPr>
      </w:pPr>
    </w:p>
    <w:p>
      <w:pPr>
        <w:jc w:val="both"/>
        <w:ind w:left="640" w:firstLine="638"/>
        <w:spacing w:after="0" w:line="232" w:lineRule="auto"/>
        <w:tabs>
          <w:tab w:leader="none" w:pos="190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Grantee’s employment with the Company or any Subsidiary and at all times thereafter, the Grantee will not disclose or use Confidential Information, except as necessary to carry out Grantee’s duties as an employee of the Company or any Subsidiary.</w:t>
      </w:r>
    </w:p>
    <w:p>
      <w:pPr>
        <w:spacing w:after="0" w:line="147" w:lineRule="exact"/>
        <w:rPr>
          <w:rFonts w:ascii="Times New Roman" w:cs="Times New Roman" w:eastAsia="Times New Roman" w:hAnsi="Times New Roman"/>
          <w:sz w:val="21"/>
          <w:szCs w:val="21"/>
          <w:color w:val="auto"/>
        </w:rPr>
      </w:pPr>
    </w:p>
    <w:p>
      <w:pPr>
        <w:jc w:val="both"/>
        <w:ind w:left="640" w:firstLine="638"/>
        <w:spacing w:after="0" w:line="226" w:lineRule="auto"/>
        <w:tabs>
          <w:tab w:leader="none" w:pos="190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or expiration of the Grantee’s employment with the Company for any reason whatsoever or at any time, the Grantee will upon request by the Company deliver promptly to the Company all materials (including electronically stored materials), documents, plans, records, notes, or other papers, and any copies in the Grantee’s possession or control, relating in any way to the Company’s Business, which at all times shall be the property of the Company.</w:t>
      </w:r>
    </w:p>
    <w:p>
      <w:pPr>
        <w:spacing w:after="0" w:line="150" w:lineRule="exact"/>
        <w:rPr>
          <w:sz w:val="20"/>
          <w:szCs w:val="20"/>
          <w:color w:val="auto"/>
        </w:rPr>
      </w:pPr>
    </w:p>
    <w:p>
      <w:pPr>
        <w:jc w:val="center"/>
        <w:ind w:right="60"/>
        <w:spacing w:after="0"/>
        <w:tabs>
          <w:tab w:leader="none" w:pos="360" w:val="left"/>
        </w:tabs>
        <w:rPr>
          <w:sz w:val="20"/>
          <w:szCs w:val="20"/>
          <w:color w:val="auto"/>
        </w:rPr>
      </w:pPr>
      <w:r>
        <w:rPr>
          <w:rFonts w:ascii="Times New Roman" w:cs="Times New Roman" w:eastAsia="Times New Roman" w:hAnsi="Times New Roman"/>
          <w:sz w:val="21"/>
          <w:szCs w:val="21"/>
          <w:color w:val="auto"/>
        </w:rPr>
        <w:t>1.b</w:t>
      </w:r>
      <w:r>
        <w:rPr>
          <w:sz w:val="20"/>
          <w:szCs w:val="20"/>
          <w:color w:val="auto"/>
        </w:rPr>
        <w:tab/>
      </w:r>
      <w:r>
        <w:rPr>
          <w:rFonts w:ascii="Times New Roman" w:cs="Times New Roman" w:eastAsia="Times New Roman" w:hAnsi="Times New Roman"/>
          <w:sz w:val="21"/>
          <w:szCs w:val="21"/>
          <w:color w:val="auto"/>
        </w:rPr>
        <w:t>For purposes of this Agreement, the following terms shall have the meanings specified below:</w:t>
      </w:r>
    </w:p>
    <w:p>
      <w:pPr>
        <w:spacing w:after="0" w:line="179" w:lineRule="exact"/>
        <w:rPr>
          <w:sz w:val="20"/>
          <w:szCs w:val="20"/>
          <w:color w:val="auto"/>
        </w:rPr>
      </w:pPr>
    </w:p>
    <w:p>
      <w:pPr>
        <w:jc w:val="both"/>
        <w:ind w:left="640" w:firstLine="638"/>
        <w:spacing w:after="0" w:line="233" w:lineRule="auto"/>
        <w:tabs>
          <w:tab w:leader="none" w:pos="190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Company’s Business</w:t>
      </w:r>
      <w:r>
        <w:rPr>
          <w:rFonts w:ascii="Times New Roman" w:cs="Times New Roman" w:eastAsia="Times New Roman" w:hAnsi="Times New Roman"/>
          <w:sz w:val="21"/>
          <w:szCs w:val="21"/>
          <w:color w:val="auto"/>
        </w:rPr>
        <w:t>” means the business of operating a commercial or retail bank, savings association, mutual thrift, credit union, trust company, securities brokerage, wealth management, insurance agency, or equipment financing business.</w:t>
      </w:r>
    </w:p>
    <w:p>
      <w:pPr>
        <w:spacing w:after="0" w:line="144" w:lineRule="exact"/>
        <w:rPr>
          <w:rFonts w:ascii="Times New Roman" w:cs="Times New Roman" w:eastAsia="Times New Roman" w:hAnsi="Times New Roman"/>
          <w:sz w:val="21"/>
          <w:szCs w:val="21"/>
          <w:color w:val="auto"/>
        </w:rPr>
      </w:pPr>
    </w:p>
    <w:p>
      <w:pPr>
        <w:jc w:val="both"/>
        <w:ind w:left="640" w:firstLine="638"/>
        <w:spacing w:after="0" w:line="227" w:lineRule="auto"/>
        <w:tabs>
          <w:tab w:leader="none" w:pos="190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information, without regard to form, relating to the Company’s or any Subsidiary’s customers, operation, finances, and business that has value to the Company or any Subsidiary, that is not generally known to competitors of the Company or a Subsidiary, and that the Grantee became aware of due to Grantee’s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7" w:right="339" w:bottom="1440" w:gutter="0" w:footer="0" w:header="0"/>
        </w:sectPr>
      </w:pPr>
    </w:p>
    <w:bookmarkStart w:id="148" w:name="page149"/>
    <w:bookmarkEnd w:id="148"/>
    <w:p>
      <w:pPr>
        <w:jc w:val="both"/>
        <w:ind w:left="640"/>
        <w:spacing w:after="0" w:line="221" w:lineRule="auto"/>
        <w:rPr>
          <w:sz w:val="20"/>
          <w:szCs w:val="20"/>
          <w:color w:val="auto"/>
        </w:rPr>
      </w:pPr>
      <w:r>
        <w:rPr>
          <w:rFonts w:ascii="Times New Roman" w:cs="Times New Roman" w:eastAsia="Times New Roman" w:hAnsi="Times New Roman"/>
          <w:sz w:val="21"/>
          <w:szCs w:val="21"/>
          <w:color w:val="auto"/>
        </w:rPr>
        <w:t>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w:t>
      </w:r>
    </w:p>
    <w:p>
      <w:pPr>
        <w:spacing w:after="0" w:line="146" w:lineRule="exact"/>
        <w:rPr>
          <w:sz w:val="20"/>
          <w:szCs w:val="20"/>
          <w:color w:val="auto"/>
        </w:rPr>
      </w:pPr>
    </w:p>
    <w:p>
      <w:pPr>
        <w:jc w:val="both"/>
        <w:ind w:left="640" w:firstLine="638"/>
        <w:spacing w:after="0" w:line="224" w:lineRule="auto"/>
        <w:tabs>
          <w:tab w:leader="none" w:pos="19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Customers</w:t>
      </w:r>
      <w:r>
        <w:rPr>
          <w:rFonts w:ascii="Times New Roman" w:cs="Times New Roman" w:eastAsia="Times New Roman" w:hAnsi="Times New Roman"/>
          <w:sz w:val="21"/>
          <w:szCs w:val="21"/>
          <w:color w:val="auto"/>
        </w:rPr>
        <w:t>” means all Persons that (i) the Grantee serviced or solicited on behalf of the Company or any Subsidiary during the twenty-four (24) months prior to the Date of Termination, (ii) whose dealings with the Company or any Subsidiary were coordinated or supervised, in whole or in part, by the Grantee during the twenty-four (24) months prior to the Date of Termination, or (iii) about whom the Grantee obtained Confidential Information during the twenty-four (24) months prior to the Date of Termination, as a result of the Grantee’s association with the Company.</w:t>
      </w:r>
    </w:p>
    <w:p>
      <w:pPr>
        <w:spacing w:after="0" w:line="145" w:lineRule="exact"/>
        <w:rPr>
          <w:rFonts w:ascii="Times New Roman" w:cs="Times New Roman" w:eastAsia="Times New Roman" w:hAnsi="Times New Roman"/>
          <w:sz w:val="21"/>
          <w:szCs w:val="21"/>
          <w:color w:val="auto"/>
        </w:rPr>
      </w:pPr>
    </w:p>
    <w:p>
      <w:pPr>
        <w:ind w:left="640" w:firstLine="638"/>
        <w:spacing w:after="0" w:line="249" w:lineRule="auto"/>
        <w:tabs>
          <w:tab w:leader="none" w:pos="19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Date of Termination</w:t>
      </w:r>
      <w:r>
        <w:rPr>
          <w:rFonts w:ascii="Times New Roman" w:cs="Times New Roman" w:eastAsia="Times New Roman" w:hAnsi="Times New Roman"/>
          <w:sz w:val="21"/>
          <w:szCs w:val="21"/>
          <w:color w:val="auto"/>
        </w:rPr>
        <w:t>” means the date upon which the Grantee’s employment with the Company or any Subsidiary ceases for any reason.</w:t>
      </w:r>
    </w:p>
    <w:p>
      <w:pPr>
        <w:spacing w:after="0" w:line="134" w:lineRule="exact"/>
        <w:rPr>
          <w:rFonts w:ascii="Times New Roman" w:cs="Times New Roman" w:eastAsia="Times New Roman" w:hAnsi="Times New Roman"/>
          <w:sz w:val="21"/>
          <w:szCs w:val="21"/>
          <w:color w:val="auto"/>
        </w:rPr>
      </w:pPr>
    </w:p>
    <w:p>
      <w:pPr>
        <w:ind w:left="640" w:firstLine="638"/>
        <w:spacing w:after="0" w:line="249" w:lineRule="auto"/>
        <w:tabs>
          <w:tab w:leader="none" w:pos="19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individual, corporation, bank, partnership, joint venture, association, joint-stock company, trust, unincorporated organization, or other entity.</w:t>
      </w:r>
    </w:p>
    <w:p>
      <w:pPr>
        <w:spacing w:after="0" w:line="139" w:lineRule="exact"/>
        <w:rPr>
          <w:sz w:val="20"/>
          <w:szCs w:val="20"/>
          <w:color w:val="auto"/>
        </w:rPr>
      </w:pPr>
    </w:p>
    <w:p>
      <w:pPr>
        <w:jc w:val="both"/>
        <w:ind w:firstLine="1272"/>
        <w:spacing w:after="0" w:line="216" w:lineRule="auto"/>
        <w:rPr>
          <w:sz w:val="20"/>
          <w:szCs w:val="20"/>
          <w:color w:val="auto"/>
        </w:rPr>
      </w:pPr>
      <w:r>
        <w:rPr>
          <w:rFonts w:ascii="Times New Roman" w:cs="Times New Roman" w:eastAsia="Times New Roman" w:hAnsi="Times New Roman"/>
          <w:sz w:val="21"/>
          <w:szCs w:val="21"/>
          <w:color w:val="auto"/>
        </w:rPr>
        <w:t xml:space="preserve">1.c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then the Company shall be entitled to all remedies available in law or equity. In addition (and without limiting the foregoing), if the Grantee violates the restrictive covenants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the Committee shall, notwithstanding any other provision in this Agreement to the contrary, (i) cancel the outstanding RSUs that are not yet vested or with respect to which Shares have not yet been issued to the Grantee, and</w:t>
      </w:r>
    </w:p>
    <w:p>
      <w:pPr>
        <w:spacing w:after="0" w:line="3" w:lineRule="exact"/>
        <w:rPr>
          <w:sz w:val="20"/>
          <w:szCs w:val="20"/>
          <w:color w:val="auto"/>
        </w:rPr>
      </w:pPr>
    </w:p>
    <w:p>
      <w:pPr>
        <w:jc w:val="both"/>
        <w:ind w:firstLine="6"/>
        <w:spacing w:after="0" w:line="224" w:lineRule="auto"/>
        <w:tabs>
          <w:tab w:leader="none" w:pos="31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Grantee to return to the Company any Shares issued to the Grantee pursuant to vesting of the RSUs (or to pay to the Company the greater of the then-current value of any such Shares or the value of the shares as of the applicable Vesting Date) that occurred (or will occur) during the period six (6) months prior to and one (1) year after the Date of Termination.</w:t>
      </w:r>
    </w:p>
    <w:p>
      <w:pPr>
        <w:spacing w:after="0" w:line="148" w:lineRule="exact"/>
        <w:rPr>
          <w:sz w:val="20"/>
          <w:szCs w:val="20"/>
          <w:color w:val="auto"/>
        </w:rPr>
      </w:pPr>
    </w:p>
    <w:p>
      <w:pPr>
        <w:jc w:val="both"/>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1.d The Grantee acknowledges and agrees that the provisions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are reasonable as to time, scope and territory given the Company’s need to protect its and its Subsidiaries’ Confidential Information and its and their relationships and goodwill with its and their customers, suppliers, employees, and contractors, all of which have been developed at great time and expense to the Company. The Grantee represents that the Grantee has the skills and abilities to obtain alternative employment after the Date of Termination that would not violate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that these covenants do not pose an undue hardship on the Grantee. The Grantee further acknowledges that the Grantee’s breach of any of the covenants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would likely cause irreparable injury to the Company, and therefore entitles the Company to injunctive relief, in addition to any other remedies available in law or equity.</w:t>
      </w:r>
    </w:p>
    <w:p>
      <w:pPr>
        <w:spacing w:after="0" w:line="153"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21"/>
          <w:szCs w:val="21"/>
          <w:color w:val="auto"/>
        </w:rPr>
        <w:t>1.e The Defend Trade Secrets Act (18 U.S.C. § 1833(b)) states: “An individual shall not be held criminally or civilly liable under any federal or state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1" w:right="339" w:bottom="1440" w:gutter="0" w:footer="0" w:header="0"/>
        </w:sectPr>
      </w:pPr>
    </w:p>
    <w:bookmarkStart w:id="149" w:name="page150"/>
    <w:bookmarkEnd w:id="149"/>
    <w:p>
      <w:pPr>
        <w:spacing w:after="0" w:line="222" w:lineRule="auto"/>
        <w:rPr>
          <w:sz w:val="20"/>
          <w:szCs w:val="20"/>
          <w:color w:val="auto"/>
        </w:rPr>
      </w:pPr>
      <w:r>
        <w:rPr>
          <w:rFonts w:ascii="Times New Roman" w:cs="Times New Roman" w:eastAsia="Times New Roman" w:hAnsi="Times New Roman"/>
          <w:sz w:val="21"/>
          <w:szCs w:val="21"/>
          <w:color w:val="auto"/>
        </w:rPr>
        <w:t>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 w:lineRule="exact"/>
        <w:rPr>
          <w:sz w:val="20"/>
          <w:szCs w:val="20"/>
          <w:color w:val="auto"/>
        </w:rPr>
      </w:pPr>
    </w:p>
    <w:p>
      <w:pPr>
        <w:jc w:val="both"/>
        <w:ind w:firstLine="6"/>
        <w:spacing w:after="0" w:line="215" w:lineRule="auto"/>
        <w:tabs>
          <w:tab w:leader="none" w:pos="33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In addition, nothing in this Agreement shall impair the Grantee’s right under the whistleblower provisions of any applicable federal law or regulation or, for the avoidance of doubt, limit the Grantee’s right to receive an award for the information provided to any government authority under such law or regulation.</w:t>
      </w:r>
    </w:p>
    <w:p>
      <w:pPr>
        <w:spacing w:after="0" w:line="149" w:lineRule="exact"/>
        <w:rPr>
          <w:sz w:val="20"/>
          <w:szCs w:val="20"/>
          <w:color w:val="auto"/>
        </w:rPr>
      </w:pPr>
    </w:p>
    <w:p>
      <w:pPr>
        <w:ind w:left="1020" w:hanging="378"/>
        <w:spacing w:after="0"/>
        <w:tabs>
          <w:tab w:leader="none" w:pos="102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 of Agreement; Severability</w:t>
      </w:r>
    </w:p>
    <w:p>
      <w:pPr>
        <w:spacing w:after="0" w:line="187" w:lineRule="exact"/>
        <w:rPr>
          <w:sz w:val="20"/>
          <w:szCs w:val="20"/>
          <w:color w:val="auto"/>
        </w:rPr>
      </w:pPr>
    </w:p>
    <w:p>
      <w:pPr>
        <w:jc w:val="both"/>
        <w:ind w:firstLine="1272"/>
        <w:spacing w:after="0" w:line="221" w:lineRule="auto"/>
        <w:rPr>
          <w:sz w:val="20"/>
          <w:szCs w:val="20"/>
          <w:color w:val="auto"/>
        </w:rPr>
      </w:pPr>
      <w:r>
        <w:rPr>
          <w:rFonts w:ascii="Times New Roman" w:cs="Times New Roman" w:eastAsia="Times New Roman" w:hAnsi="Times New Roman"/>
          <w:sz w:val="21"/>
          <w:szCs w:val="21"/>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46" w:lineRule="exact"/>
        <w:rPr>
          <w:sz w:val="20"/>
          <w:szCs w:val="20"/>
          <w:color w:val="auto"/>
        </w:rPr>
      </w:pPr>
    </w:p>
    <w:p>
      <w:pPr>
        <w:ind w:left="1020" w:hanging="378"/>
        <w:spacing w:after="0"/>
        <w:tabs>
          <w:tab w:leader="none" w:pos="102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and Forum</w:t>
      </w:r>
    </w:p>
    <w:p>
      <w:pPr>
        <w:spacing w:after="0" w:line="187"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46" w:lineRule="exact"/>
        <w:rPr>
          <w:sz w:val="20"/>
          <w:szCs w:val="20"/>
          <w:color w:val="auto"/>
        </w:rPr>
      </w:pPr>
    </w:p>
    <w:p>
      <w:pPr>
        <w:ind w:left="1120" w:hanging="478"/>
        <w:spacing w:after="0"/>
        <w:tabs>
          <w:tab w:leader="none" w:pos="112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 in Interest</w:t>
      </w:r>
    </w:p>
    <w:p>
      <w:pPr>
        <w:spacing w:after="0" w:line="187" w:lineRule="exact"/>
        <w:rPr>
          <w:sz w:val="20"/>
          <w:szCs w:val="20"/>
          <w:color w:val="auto"/>
        </w:rPr>
      </w:pPr>
    </w:p>
    <w:p>
      <w:pPr>
        <w:jc w:val="both"/>
        <w:ind w:firstLine="1272"/>
        <w:spacing w:after="0" w:line="226"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46" w:lineRule="exact"/>
        <w:rPr>
          <w:sz w:val="20"/>
          <w:szCs w:val="20"/>
          <w:color w:val="auto"/>
        </w:rPr>
      </w:pPr>
    </w:p>
    <w:p>
      <w:pPr>
        <w:ind w:left="1100" w:hanging="458"/>
        <w:spacing w:after="0"/>
        <w:tabs>
          <w:tab w:leader="none" w:pos="110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p>
    <w:p>
      <w:pPr>
        <w:spacing w:after="0" w:line="187" w:lineRule="exact"/>
        <w:rPr>
          <w:sz w:val="20"/>
          <w:szCs w:val="20"/>
          <w:color w:val="auto"/>
        </w:rPr>
      </w:pPr>
    </w:p>
    <w:p>
      <w:pPr>
        <w:ind w:firstLine="1272"/>
        <w:spacing w:after="0" w:line="245" w:lineRule="auto"/>
        <w:rPr>
          <w:sz w:val="20"/>
          <w:szCs w:val="20"/>
          <w:color w:val="auto"/>
        </w:rPr>
      </w:pPr>
      <w:r>
        <w:rPr>
          <w:rFonts w:ascii="Times New Roman" w:cs="Times New Roman" w:eastAsia="Times New Roman" w:hAnsi="Times New Roman"/>
          <w:sz w:val="21"/>
          <w:szCs w:val="21"/>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1" w:right="339" w:bottom="1440" w:gutter="0" w:footer="0" w:header="0"/>
        </w:sectPr>
      </w:pPr>
    </w:p>
    <w:bookmarkStart w:id="150" w:name="page151"/>
    <w:bookmarkEnd w:id="150"/>
    <w:p>
      <w:pPr>
        <w:spacing w:after="0" w:line="245" w:lineRule="auto"/>
        <w:rPr>
          <w:sz w:val="20"/>
          <w:szCs w:val="20"/>
          <w:color w:val="auto"/>
        </w:rPr>
      </w:pPr>
      <w:r>
        <w:rPr>
          <w:rFonts w:ascii="Times New Roman" w:cs="Times New Roman" w:eastAsia="Times New Roman" w:hAnsi="Times New Roman"/>
          <w:sz w:val="21"/>
          <w:szCs w:val="21"/>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39" w:lineRule="exact"/>
        <w:rPr>
          <w:sz w:val="20"/>
          <w:szCs w:val="20"/>
          <w:color w:val="auto"/>
        </w:rPr>
      </w:pPr>
    </w:p>
    <w:p>
      <w:pPr>
        <w:ind w:left="1120" w:hanging="478"/>
        <w:spacing w:after="0"/>
        <w:tabs>
          <w:tab w:leader="none" w:pos="112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Resolution of Disputes</w:t>
      </w:r>
    </w:p>
    <w:p>
      <w:pPr>
        <w:spacing w:after="0" w:line="187"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 or application of this Agreement and the Plan shall be determined by the Committee. Except as otherwise provided in Section 3.5 of the Plan with respect to certain determinations following a Change in Control, any determination made by the Committee shall be final, binding, and conclusive on the Grantee and the Company and their successors, assigns, heirs, executors, administrators, and legal representatives for all purposes.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ind w:left="3180"/>
        <w:spacing w:after="0"/>
        <w:rPr>
          <w:sz w:val="20"/>
          <w:szCs w:val="20"/>
          <w:color w:val="auto"/>
        </w:rPr>
      </w:pPr>
      <w:r>
        <w:rPr>
          <w:rFonts w:ascii="Times New Roman" w:cs="Times New Roman" w:eastAsia="Times New Roman" w:hAnsi="Times New Roman"/>
          <w:sz w:val="21"/>
          <w:szCs w:val="21"/>
          <w:b w:val="1"/>
          <w:bCs w:val="1"/>
          <w:color w:val="auto"/>
        </w:rPr>
        <w:t>UNITED COMMUNITY BANKS, INC.</w:t>
      </w:r>
    </w:p>
    <w:p>
      <w:pPr>
        <w:spacing w:after="0" w:line="15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-8890</wp:posOffset>
            </wp:positionV>
            <wp:extent cx="1346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3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-8890</wp:posOffset>
            </wp:positionV>
            <wp:extent cx="1346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3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-8890</wp:posOffset>
            </wp:positionV>
            <wp:extent cx="1346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jc w:val="both"/>
        <w:ind w:firstLine="636"/>
        <w:spacing w:after="0" w:line="221" w:lineRule="auto"/>
        <w:rPr>
          <w:sz w:val="20"/>
          <w:szCs w:val="20"/>
          <w:color w:val="auto"/>
        </w:rPr>
      </w:pPr>
      <w:r>
        <w:rPr>
          <w:rFonts w:ascii="Times New Roman" w:cs="Times New Roman" w:eastAsia="Times New Roman" w:hAnsi="Times New Roman"/>
          <w:sz w:val="21"/>
          <w:szCs w:val="21"/>
          <w:color w:val="auto"/>
        </w:rPr>
        <w:t xml:space="preserve">By accepting this Agreement, the Grantee hereby accepts the RSU grant subject to all its terms and provisions and agrees to be bound by the terms and provisions of this Agreement, including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and the Plan. Except as otherwise provided under Section 3.5 of the Plan with respect to certain determinations following a Change in Control,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150"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By accepting this Agreement, the Grantee hereby consents to the holding and processing of personal data provided by the</w:t>
      </w:r>
    </w:p>
    <w:p>
      <w:pPr>
        <w:spacing w:after="0" w:line="210" w:lineRule="auto"/>
        <w:rPr>
          <w:sz w:val="20"/>
          <w:szCs w:val="20"/>
          <w:color w:val="auto"/>
        </w:rPr>
      </w:pPr>
      <w:r>
        <w:rPr>
          <w:rFonts w:ascii="Times New Roman" w:cs="Times New Roman" w:eastAsia="Times New Roman" w:hAnsi="Times New Roman"/>
          <w:sz w:val="21"/>
          <w:szCs w:val="21"/>
          <w:color w:val="auto"/>
        </w:rPr>
        <w:t>Grantee to the Company for all purposes necessary for the operation of the Plan. These include, but are not limited to:</w:t>
      </w:r>
    </w:p>
    <w:p>
      <w:pPr>
        <w:ind w:left="1900" w:hanging="622"/>
        <w:spacing w:after="0" w:line="211" w:lineRule="auto"/>
        <w:tabs>
          <w:tab w:leader="none" w:pos="19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and maintaining Plan records;</w:t>
      </w:r>
    </w:p>
    <w:p>
      <w:pPr>
        <w:ind w:left="1900" w:hanging="622"/>
        <w:spacing w:after="0" w:line="210" w:lineRule="auto"/>
        <w:tabs>
          <w:tab w:leader="none" w:pos="19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any registrars, brokers, or third-party administrators of the Plan; and</w:t>
      </w:r>
    </w:p>
    <w:p>
      <w:pPr>
        <w:ind w:left="1900" w:hanging="622"/>
        <w:spacing w:after="0"/>
        <w:tabs>
          <w:tab w:leader="none" w:pos="19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information to future purchasers of the Company or the business in which the Grantee works.</w:t>
      </w:r>
    </w:p>
    <w:p>
      <w:pPr>
        <w:spacing w:after="0" w:line="4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18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-8890</wp:posOffset>
            </wp:positionV>
            <wp:extent cx="1346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3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-8890</wp:posOffset>
            </wp:positionV>
            <wp:extent cx="1346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3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-8890</wp:posOffset>
            </wp:positionV>
            <wp:extent cx="1346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3"/>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358"/>
        </w:trPr>
        <w:tc>
          <w:tcPr>
            <w:tcW w:w="6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Subsidiaries of United Community Banks, Inc. as of December 31, 2022</w:t>
            </w:r>
          </w:p>
        </w:tc>
      </w:tr>
      <w:tr>
        <w:trPr>
          <w:trHeight w:val="3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6"/>
              </w:rPr>
              <w:t>Subsidiary</w:t>
            </w:r>
          </w:p>
        </w:tc>
        <w:tc>
          <w:tcPr>
            <w:tcW w:w="5360" w:type="dxa"/>
            <w:vAlign w:val="bottom"/>
            <w:gridSpan w:val="5"/>
          </w:tcPr>
          <w:p>
            <w:pPr>
              <w:jc w:val="right"/>
              <w:ind w:right="3412"/>
              <w:spacing w:after="0"/>
              <w:rPr>
                <w:sz w:val="20"/>
                <w:szCs w:val="20"/>
                <w:color w:val="auto"/>
              </w:rPr>
            </w:pPr>
            <w:r>
              <w:rPr>
                <w:rFonts w:ascii="Times New Roman" w:cs="Times New Roman" w:eastAsia="Times New Roman" w:hAnsi="Times New Roman"/>
                <w:sz w:val="18"/>
                <w:szCs w:val="18"/>
                <w:color w:val="auto"/>
              </w:rPr>
              <w:t>State of Organization</w:t>
            </w:r>
          </w:p>
        </w:tc>
      </w:tr>
      <w:tr>
        <w:trPr>
          <w:trHeight w:val="20"/>
        </w:trPr>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79"/>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United Community Bank</w:t>
            </w:r>
          </w:p>
        </w:tc>
        <w:tc>
          <w:tcPr>
            <w:tcW w:w="4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358"/>
        </w:trPr>
        <w:tc>
          <w:tcPr>
            <w:tcW w:w="1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Navitas Credit Corp.</w:t>
            </w:r>
          </w:p>
        </w:tc>
        <w:tc>
          <w:tcPr>
            <w:tcW w:w="4300" w:type="dxa"/>
            <w:vAlign w:val="bottom"/>
            <w:gridSpan w:val="3"/>
          </w:tcPr>
          <w:p>
            <w:pPr>
              <w:jc w:val="right"/>
              <w:ind w:right="3692"/>
              <w:spacing w:after="0"/>
              <w:rPr>
                <w:sz w:val="20"/>
                <w:szCs w:val="20"/>
                <w:color w:val="auto"/>
              </w:rPr>
            </w:pPr>
            <w:r>
              <w:rPr>
                <w:rFonts w:ascii="Times New Roman" w:cs="Times New Roman" w:eastAsia="Times New Roman" w:hAnsi="Times New Roman"/>
                <w:sz w:val="18"/>
                <w:szCs w:val="18"/>
                <w:color w:val="auto"/>
                <w:w w:val="96"/>
              </w:rPr>
              <w:t>Florida</w:t>
            </w:r>
          </w:p>
        </w:tc>
      </w:tr>
      <w:tr>
        <w:trPr>
          <w:trHeight w:val="371"/>
        </w:trPr>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NLFC Reinsurance Corp.</w:t>
            </w:r>
          </w:p>
        </w:tc>
        <w:tc>
          <w:tcPr>
            <w:tcW w:w="3960" w:type="dxa"/>
            <w:vAlign w:val="bottom"/>
            <w:gridSpan w:val="2"/>
          </w:tcPr>
          <w:p>
            <w:pPr>
              <w:jc w:val="right"/>
              <w:ind w:right="3152"/>
              <w:spacing w:after="0"/>
              <w:rPr>
                <w:sz w:val="20"/>
                <w:szCs w:val="20"/>
                <w:color w:val="auto"/>
              </w:rPr>
            </w:pPr>
            <w:r>
              <w:rPr>
                <w:rFonts w:ascii="Times New Roman" w:cs="Times New Roman" w:eastAsia="Times New Roman" w:hAnsi="Times New Roman"/>
                <w:sz w:val="18"/>
                <w:szCs w:val="18"/>
                <w:color w:val="auto"/>
                <w:w w:val="93"/>
              </w:rPr>
              <w:t>Tennessee</w:t>
            </w:r>
          </w:p>
        </w:tc>
      </w:tr>
      <w:tr>
        <w:trPr>
          <w:trHeight w:val="358"/>
        </w:trPr>
        <w:tc>
          <w:tcPr>
            <w:tcW w:w="61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UCB Investments, Inc.  North Carolina</w:t>
            </w:r>
          </w:p>
        </w:tc>
      </w:tr>
      <w:tr>
        <w:trPr>
          <w:trHeight w:val="358"/>
        </w:trPr>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8"/>
              </w:rPr>
              <w:t>UCB Funding Corp.</w:t>
            </w: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Georgia</w:t>
            </w:r>
          </w:p>
        </w:tc>
      </w:tr>
      <w:tr>
        <w:trPr>
          <w:trHeight w:val="371"/>
        </w:trPr>
        <w:tc>
          <w:tcPr>
            <w:tcW w:w="61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United Community Development Corporation  Georgia</w:t>
            </w:r>
          </w:p>
        </w:tc>
      </w:tr>
      <w:tr>
        <w:trPr>
          <w:trHeight w:val="358"/>
        </w:trPr>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7"/>
              </w:rPr>
              <w:t>UCBI Georgia Credits LLC</w:t>
            </w:r>
          </w:p>
        </w:tc>
        <w:tc>
          <w:tcPr>
            <w:tcW w:w="3960" w:type="dxa"/>
            <w:vAlign w:val="bottom"/>
            <w:gridSpan w:val="2"/>
          </w:tcPr>
          <w:p>
            <w:pPr>
              <w:jc w:val="right"/>
              <w:ind w:right="3152"/>
              <w:spacing w:after="0"/>
              <w:rPr>
                <w:sz w:val="20"/>
                <w:szCs w:val="20"/>
                <w:color w:val="auto"/>
              </w:rPr>
            </w:pPr>
            <w:r>
              <w:rPr>
                <w:rFonts w:ascii="Times New Roman" w:cs="Times New Roman" w:eastAsia="Times New Roman" w:hAnsi="Times New Roman"/>
                <w:sz w:val="18"/>
                <w:szCs w:val="18"/>
                <w:color w:val="auto"/>
              </w:rPr>
              <w:t>Georgia</w:t>
            </w:r>
          </w:p>
        </w:tc>
      </w:tr>
    </w:tbl>
    <w:p>
      <w:pPr>
        <w:spacing w:after="0" w:line="126" w:lineRule="exact"/>
        <w:rPr>
          <w:sz w:val="20"/>
          <w:szCs w:val="20"/>
          <w:color w:val="auto"/>
        </w:rPr>
      </w:pPr>
    </w:p>
    <w:p>
      <w:pPr>
        <w:ind w:left="180" w:right="2959" w:firstLine="3"/>
        <w:spacing w:after="0" w:line="422" w:lineRule="auto"/>
        <w:rPr>
          <w:sz w:val="20"/>
          <w:szCs w:val="20"/>
          <w:color w:val="auto"/>
        </w:rPr>
      </w:pPr>
      <w:r>
        <w:rPr>
          <w:rFonts w:ascii="Times New Roman" w:cs="Times New Roman" w:eastAsia="Times New Roman" w:hAnsi="Times New Roman"/>
          <w:sz w:val="18"/>
          <w:szCs w:val="18"/>
          <w:color w:val="auto"/>
        </w:rPr>
        <w:t>United Community Payment Systems, LLC (50% owned by United Community Bank) Delaware TFG Holdings, LLC Delaware</w:t>
      </w:r>
    </w:p>
    <w:p>
      <w:pPr>
        <w:spacing w:after="0" w:line="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Seaside Capital Management, Inc.</w:t>
      </w:r>
      <w:r>
        <w:rPr>
          <w:sz w:val="20"/>
          <w:szCs w:val="20"/>
          <w:color w:val="auto"/>
        </w:rPr>
        <w:tab/>
      </w:r>
      <w:r>
        <w:rPr>
          <w:rFonts w:ascii="Times New Roman" w:cs="Times New Roman" w:eastAsia="Times New Roman" w:hAnsi="Times New Roman"/>
          <w:sz w:val="17"/>
          <w:szCs w:val="17"/>
          <w:color w:val="auto"/>
        </w:rPr>
        <w:t>Florida</w:t>
      </w:r>
    </w:p>
    <w:p>
      <w:pPr>
        <w:spacing w:after="0" w:line="15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FinTrust Brokerage Services, LLC</w:t>
      </w:r>
      <w:r>
        <w:rPr>
          <w:sz w:val="20"/>
          <w:szCs w:val="20"/>
          <w:color w:val="auto"/>
        </w:rPr>
        <w:tab/>
      </w:r>
      <w:r>
        <w:rPr>
          <w:rFonts w:ascii="Times New Roman" w:cs="Times New Roman" w:eastAsia="Times New Roman" w:hAnsi="Times New Roman"/>
          <w:sz w:val="17"/>
          <w:szCs w:val="17"/>
          <w:color w:val="auto"/>
        </w:rPr>
        <w:t>North Carolina</w:t>
      </w:r>
    </w:p>
    <w:p>
      <w:pPr>
        <w:spacing w:after="0" w:line="15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FinTrust Insurance and Benefits, Inc.</w:t>
      </w:r>
      <w:r>
        <w:rPr>
          <w:sz w:val="20"/>
          <w:szCs w:val="20"/>
          <w:color w:val="auto"/>
        </w:rPr>
        <w:tab/>
      </w:r>
      <w:r>
        <w:rPr>
          <w:rFonts w:ascii="Times New Roman" w:cs="Times New Roman" w:eastAsia="Times New Roman" w:hAnsi="Times New Roman"/>
          <w:sz w:val="17"/>
          <w:szCs w:val="17"/>
          <w:color w:val="auto"/>
        </w:rPr>
        <w:t>Florida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FinTrust Capital Advisors, LLC</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358"/>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Community First Trups Holding Company  Tennessee</w:t>
            </w:r>
          </w:p>
        </w:tc>
      </w:tr>
      <w:tr>
        <w:trPr>
          <w:trHeight w:val="35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First Capital Trust I</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371"/>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First Capital Trust II</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35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Community First Capital Trust III</w:t>
            </w: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35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Tidelands Statutory Trust I</w:t>
            </w: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7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Four Oaks Statutory Trust I</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139"/>
          </w:cols>
          <w:pgMar w:left="320" w:top="1312" w:right="1440" w:bottom="1440" w:gutter="0" w:footer="0" w:header="0"/>
        </w:sectPr>
      </w:pPr>
    </w:p>
    <w:bookmarkStart w:id="153" w:name="page154"/>
    <w:bookmarkEnd w:id="15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80"/>
        <w:spacing w:after="0"/>
        <w:rPr>
          <w:sz w:val="20"/>
          <w:szCs w:val="20"/>
          <w:color w:val="auto"/>
        </w:rPr>
      </w:pPr>
      <w:r>
        <w:rPr>
          <w:rFonts w:ascii="Georgia" w:cs="Georgia" w:eastAsia="Georgia" w:hAnsi="Georgia"/>
          <w:sz w:val="21"/>
          <w:szCs w:val="21"/>
          <w:u w:val="single" w:color="auto"/>
          <w:color w:val="auto"/>
        </w:rPr>
        <w:t>CONSENT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1"/>
          <w:szCs w:val="21"/>
          <w:color w:val="auto"/>
        </w:rPr>
        <w:t>We hereby consent to the incorporation by reference in the Registration Statements on Form S-3 (Nos. 333-268788) and S-8 (Nos. 333-265839, 333-269144) of United Community Banks, Inc. of our report dated February 24, 2023 relating to the financial statements and the effectiveness of internal control over financial reporting, which appears in this Form 10-K.</w:t>
      </w:r>
    </w:p>
    <w:p>
      <w:pPr>
        <w:spacing w:after="0" w:line="384"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47536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475361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Atlanta, Georgia</w:t>
      </w:r>
    </w:p>
    <w:p>
      <w:pPr>
        <w:spacing w:after="0" w:line="26" w:lineRule="exact"/>
        <w:rPr>
          <w:sz w:val="20"/>
          <w:szCs w:val="20"/>
          <w:color w:val="auto"/>
        </w:rPr>
      </w:pPr>
    </w:p>
    <w:p>
      <w:pPr>
        <w:ind w:left="20"/>
        <w:spacing w:after="0"/>
        <w:rPr>
          <w:sz w:val="20"/>
          <w:szCs w:val="20"/>
          <w:color w:val="auto"/>
        </w:rPr>
      </w:pPr>
      <w:r>
        <w:rPr>
          <w:rFonts w:ascii="Georgia" w:cs="Georgia" w:eastAsia="Georgia" w:hAnsi="Georgia"/>
          <w:sz w:val="21"/>
          <w:szCs w:val="21"/>
          <w:color w:val="auto"/>
        </w:rPr>
        <w:t>February 24, 2023</w:t>
      </w:r>
    </w:p>
    <w:p>
      <w:pPr>
        <w:sectPr>
          <w:pgSz w:w="11900" w:h="16838" w:orient="portrait"/>
          <w:cols w:equalWidth="0" w:num="1">
            <w:col w:w="10960"/>
          </w:cols>
          <w:pgMar w:left="320" w:top="874" w:right="6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17" w:lineRule="exact"/>
        <w:rPr>
          <w:sz w:val="20"/>
          <w:szCs w:val="20"/>
          <w:color w:val="auto"/>
        </w:rPr>
      </w:pPr>
    </w:p>
    <w:p>
      <w:pPr>
        <w:ind w:left="180" w:hanging="174"/>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7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firstLine="2"/>
        <w:spacing w:after="0" w:line="274" w:lineRule="auto"/>
        <w:tabs>
          <w:tab w:leader="none" w:pos="86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3" w:lineRule="exact"/>
        <w:rPr>
          <w:rFonts w:ascii="Times New Roman" w:cs="Times New Roman" w:eastAsia="Times New Roman" w:hAnsi="Times New Roman"/>
          <w:sz w:val="18"/>
          <w:szCs w:val="18"/>
          <w:color w:val="auto"/>
        </w:rPr>
      </w:pPr>
    </w:p>
    <w:p>
      <w:pPr>
        <w:ind w:left="640" w:firstLine="81"/>
        <w:spacing w:after="0" w:line="274" w:lineRule="auto"/>
        <w:tabs>
          <w:tab w:leader="none" w:pos="91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firstLine="81"/>
        <w:spacing w:after="0" w:line="274" w:lineRule="auto"/>
        <w:tabs>
          <w:tab w:leader="none" w:pos="91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7"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2023</w:t>
      </w:r>
    </w:p>
    <w:p>
      <w:pPr>
        <w:sectPr>
          <w:pgSz w:w="11900" w:h="16838" w:orient="portrait"/>
          <w:cols w:equalWidth="0" w:num="1">
            <w:col w:w="11240"/>
          </w:cols>
          <w:pgMar w:left="320" w:top="875"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17" w:lineRule="exact"/>
        <w:rPr>
          <w:sz w:val="20"/>
          <w:szCs w:val="20"/>
          <w:color w:val="auto"/>
        </w:rPr>
      </w:pPr>
    </w:p>
    <w:p>
      <w:pPr>
        <w:ind w:left="180" w:hanging="174"/>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United Community Banks, Inc. (the “Registrant”);</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4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firstLine="2"/>
        <w:spacing w:after="0" w:line="274" w:lineRule="auto"/>
        <w:tabs>
          <w:tab w:leader="none" w:pos="8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8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3" w:lineRule="exact"/>
        <w:rPr>
          <w:rFonts w:ascii="Times New Roman" w:cs="Times New Roman" w:eastAsia="Times New Roman" w:hAnsi="Times New Roman"/>
          <w:sz w:val="18"/>
          <w:szCs w:val="18"/>
          <w:color w:val="auto"/>
        </w:rPr>
      </w:pPr>
    </w:p>
    <w:p>
      <w:pPr>
        <w:ind w:left="640" w:firstLine="2"/>
        <w:spacing w:after="0" w:line="274" w:lineRule="auto"/>
        <w:tabs>
          <w:tab w:leader="none" w:pos="8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firstLine="2"/>
        <w:spacing w:after="0" w:line="274" w:lineRule="auto"/>
        <w:tabs>
          <w:tab w:leader="none" w:pos="84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1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2023</w:t>
      </w:r>
    </w:p>
    <w:p>
      <w:pPr>
        <w:sectPr>
          <w:pgSz w:w="11900" w:h="16838" w:orient="portrait"/>
          <w:cols w:equalWidth="0" w:num="1">
            <w:col w:w="11240"/>
          </w:cols>
          <w:pgMar w:left="320" w:top="874"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United Community Banks, Inc. (“United”) on Form 10-K for the period ending December 31, 2022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0" w:lineRule="exact"/>
        <w:rPr>
          <w:sz w:val="20"/>
          <w:szCs w:val="20"/>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134"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H. Lynn Harton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3" w:lineRule="exact"/>
        <w:rPr>
          <w:sz w:val="20"/>
          <w:szCs w:val="20"/>
          <w:color w:val="auto"/>
        </w:rPr>
      </w:pPr>
    </w:p>
    <w:p>
      <w:pPr>
        <w:ind w:left="440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17145</wp:posOffset>
            </wp:positionV>
            <wp:extent cx="32391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Date: February 24, 2023</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Roman"/>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lowerLetter"/>
      <w:start w:val="1"/>
    </w:lvl>
    <w:lvl w:ilvl="1">
      <w:lvlJc w:val="left"/>
      <w:lvlText w:val="(%2)"/>
      <w:numFmt w:val="lowerLetter"/>
      <w:start w:val="2"/>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decimal"/>
      <w:start w:val="2"/>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23"/>
    </w:lvl>
  </w:abstractNum>
  <w:abstractNum w:abstractNumId="39">
    <w:nsid w:val="741226BB"/>
    <w:multiLevelType w:val="hybridMultilevel"/>
    <w:lvl w:ilvl="0">
      <w:lvlJc w:val="left"/>
      <w:lvlText w:val="#"/>
      <w:numFmt w:val="bullet"/>
      <w:start w:val="1"/>
    </w:lvl>
    <w:lvl w:ilvl="1">
      <w:lvlJc w:val="left"/>
      <w:lvlText w:val="%2"/>
      <w:numFmt w:val="decimal"/>
      <w:start w:val="104"/>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2"/>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3"/>
    </w:lvl>
  </w:abstractNum>
  <w:abstractNum w:abstractNumId="45">
    <w:nsid w:val="77AE35EB"/>
    <w:multiLevelType w:val="hybridMultilevel"/>
    <w:lvl w:ilvl="0">
      <w:lvlJc w:val="left"/>
      <w:lvlText w:val="(%1)"/>
      <w:numFmt w:val="lowerRoman"/>
      <w:start w:val="2"/>
    </w:lvl>
  </w:abstractNum>
  <w:abstractNum w:abstractNumId="46">
    <w:nsid w:val="579BE4F1"/>
    <w:multiLevelType w:val="hybridMultilevel"/>
    <w:lvl w:ilvl="0">
      <w:lvlJc w:val="left"/>
      <w:lvlText w:val="%1."/>
      <w:numFmt w:val="decimal"/>
      <w:start w:val="4"/>
    </w:lvl>
  </w:abstractNum>
  <w:abstractNum w:abstractNumId="47">
    <w:nsid w:val="310C50B3"/>
    <w:multiLevelType w:val="hybridMultilevel"/>
    <w:lvl w:ilvl="0">
      <w:lvlJc w:val="left"/>
      <w:lvlText w:val="%1."/>
      <w:numFmt w:val="decimal"/>
      <w:start w:val="5"/>
    </w:lvl>
  </w:abstractNum>
  <w:abstractNum w:abstractNumId="48">
    <w:nsid w:val="5FF87E05"/>
    <w:multiLevelType w:val="hybridMultilevel"/>
    <w:lvl w:ilvl="0">
      <w:lvlJc w:val="left"/>
      <w:lvlText w:val="%1."/>
      <w:numFmt w:val="decimal"/>
      <w:start w:val="6"/>
    </w:lvl>
  </w:abstractNum>
  <w:abstractNum w:abstractNumId="49">
    <w:nsid w:val="2F305DEF"/>
    <w:multiLevelType w:val="hybridMultilevel"/>
    <w:lvl w:ilvl="0">
      <w:lvlJc w:val="left"/>
      <w:lvlText w:val="%1."/>
      <w:numFmt w:val="decimal"/>
      <w:start w:val="7"/>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8"/>
    </w:lvl>
  </w:abstractNum>
  <w:abstractNum w:abstractNumId="52">
    <w:nsid w:val="4AD084E9"/>
    <w:multiLevelType w:val="hybridMultilevel"/>
    <w:lvl w:ilvl="0">
      <w:lvlJc w:val="left"/>
      <w:lvlText w:val="%1."/>
      <w:numFmt w:val="decimal"/>
      <w:start w:val="9"/>
    </w:lvl>
  </w:abstractNum>
  <w:abstractNum w:abstractNumId="53">
    <w:nsid w:val="1F48EAA1"/>
    <w:multiLevelType w:val="hybridMultilevel"/>
    <w:lvl w:ilvl="0">
      <w:lvlJc w:val="left"/>
      <w:lvlText w:val="%1."/>
      <w:numFmt w:val="decimal"/>
      <w:start w:val="10"/>
    </w:lvl>
  </w:abstractNum>
  <w:abstractNum w:abstractNumId="54">
    <w:nsid w:val="1381823A"/>
    <w:multiLevelType w:val="hybridMultilevel"/>
    <w:lvl w:ilvl="0">
      <w:lvlJc w:val="left"/>
      <w:lvlText w:val="%1."/>
      <w:numFmt w:val="decimal"/>
      <w:start w:val="11"/>
    </w:lvl>
  </w:abstractNum>
  <w:abstractNum w:abstractNumId="55">
    <w:nsid w:val="5DB70AE5"/>
    <w:multiLevelType w:val="hybridMultilevel"/>
    <w:lvl w:ilvl="0">
      <w:lvlJc w:val="left"/>
      <w:lvlText w:val="%1."/>
      <w:numFmt w:val="decimal"/>
      <w:start w:val="12"/>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1."/>
      <w:numFmt w:val="decimal"/>
      <w:start w:val="2"/>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3"/>
    </w:lvl>
  </w:abstractNum>
  <w:abstractNum w:abstractNumId="61">
    <w:nsid w:val="799D0247"/>
    <w:multiLevelType w:val="hybridMultilevel"/>
    <w:lvl w:ilvl="0">
      <w:lvlJc w:val="left"/>
      <w:lvlText w:val="(%1)"/>
      <w:numFmt w:val="decimal"/>
      <w:start w:val="30"/>
    </w:lvl>
  </w:abstractNum>
  <w:abstractNum w:abstractNumId="62">
    <w:nsid w:val="6B94764"/>
    <w:multiLevelType w:val="hybridMultilevel"/>
    <w:lvl w:ilvl="0">
      <w:lvlJc w:val="left"/>
      <w:lvlText w:val="%1."/>
      <w:numFmt w:val="decimal"/>
      <w:start w:val="4"/>
    </w:lvl>
  </w:abstractNum>
  <w:abstractNum w:abstractNumId="63">
    <w:nsid w:val="42C296BD"/>
    <w:multiLevelType w:val="hybridMultilevel"/>
    <w:lvl w:ilvl="0">
      <w:lvlJc w:val="left"/>
      <w:lvlText w:val="%1."/>
      <w:numFmt w:val="decimal"/>
      <w:start w:val="5"/>
    </w:lvl>
  </w:abstractNum>
  <w:abstractNum w:abstractNumId="64">
    <w:nsid w:val="168E121F"/>
    <w:multiLevelType w:val="hybridMultilevel"/>
    <w:lvl w:ilvl="0">
      <w:lvlJc w:val="left"/>
      <w:lvlText w:val="%1."/>
      <w:numFmt w:val="decimal"/>
      <w:start w:val="6"/>
    </w:lvl>
  </w:abstractNum>
  <w:abstractNum w:abstractNumId="65">
    <w:nsid w:val="1EBA5D23"/>
    <w:multiLevelType w:val="hybridMultilevel"/>
    <w:lvl w:ilvl="0">
      <w:lvlJc w:val="left"/>
      <w:lvlText w:val="%1."/>
      <w:numFmt w:val="decimal"/>
      <w:start w:val="7"/>
    </w:lvl>
  </w:abstractNum>
  <w:abstractNum w:abstractNumId="66">
    <w:nsid w:val="661E3F1E"/>
    <w:multiLevelType w:val="hybridMultilevel"/>
    <w:lvl w:ilvl="0">
      <w:lvlJc w:val="left"/>
      <w:lvlText w:val="(%1)"/>
      <w:numFmt w:val="decimal"/>
      <w:start w:val="1"/>
    </w:lvl>
    <w:lvl w:ilvl="1">
      <w:lvlJc w:val="left"/>
      <w:lvlText w:val="(%2)"/>
      <w:numFmt w:val="lowerLetter"/>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3"/>
    </w:lvl>
  </w:abstractNum>
  <w:abstractNum w:abstractNumId="69">
    <w:nsid w:val="7BD3EE7B"/>
    <w:multiLevelType w:val="hybridMultilevel"/>
    <w:lvl w:ilvl="0">
      <w:lvlJc w:val="left"/>
      <w:lvlText w:val="(%1)"/>
      <w:numFmt w:val="lowerRoman"/>
      <w:start w:val="2"/>
    </w:lvl>
  </w:abstractNum>
  <w:abstractNum w:abstractNumId="70">
    <w:nsid w:val="51D9C564"/>
    <w:multiLevelType w:val="hybridMultilevel"/>
    <w:lvl w:ilvl="0">
      <w:lvlJc w:val="left"/>
      <w:lvlText w:val="(%1)"/>
      <w:numFmt w:val="upperLetter"/>
      <w:start w:val="2"/>
    </w:lvl>
  </w:abstractNum>
  <w:abstractNum w:abstractNumId="71">
    <w:nsid w:val="613EFDC5"/>
    <w:multiLevelType w:val="hybridMultilevel"/>
    <w:lvl w:ilvl="0">
      <w:lvlJc w:val="left"/>
      <w:lvlText w:val="%1."/>
      <w:numFmt w:val="decimal"/>
      <w:start w:val="8"/>
    </w:lvl>
  </w:abstractNum>
  <w:abstractNum w:abstractNumId="72">
    <w:nsid w:val="BF72B14"/>
    <w:multiLevelType w:val="hybridMultilevel"/>
    <w:lvl w:ilvl="0">
      <w:lvlJc w:val="left"/>
      <w:lvlText w:val="%1."/>
      <w:numFmt w:val="decimal"/>
      <w:start w:val="9"/>
    </w:lvl>
  </w:abstractNum>
  <w:abstractNum w:abstractNumId="73">
    <w:nsid w:val="11447B73"/>
    <w:multiLevelType w:val="hybridMultilevel"/>
    <w:lvl w:ilvl="0">
      <w:lvlJc w:val="left"/>
      <w:lvlText w:val="%1."/>
      <w:numFmt w:val="decimal"/>
      <w:start w:val="10"/>
    </w:lvl>
  </w:abstractNum>
  <w:abstractNum w:abstractNumId="74">
    <w:nsid w:val="42963E5A"/>
    <w:multiLevelType w:val="hybridMultilevel"/>
    <w:lvl w:ilvl="0">
      <w:lvlJc w:val="left"/>
      <w:lvlText w:val="%1."/>
      <w:numFmt w:val="decimal"/>
      <w:start w:val="11"/>
    </w:lvl>
  </w:abstractNum>
  <w:abstractNum w:abstractNumId="75">
    <w:nsid w:val="A0382C5"/>
    <w:multiLevelType w:val="hybridMultilevel"/>
    <w:lvl w:ilvl="0">
      <w:lvlJc w:val="left"/>
      <w:lvlText w:val="%1."/>
      <w:numFmt w:val="decimal"/>
      <w:start w:val="12"/>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6"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198" Type="http://schemas.openxmlformats.org/officeDocument/2006/relationships/hyperlink" Target="http://www.sec.gov/Archives/edgar/data/857855/000110465921097702/tm2123399-1_s4.htm" TargetMode="External"/><Relationship Id="rId199" Type="http://schemas.openxmlformats.org/officeDocument/2006/relationships/hyperlink" Target="http://www.sec.gov/Archives/edgar/data/0000857855/000110465921129088/tm2128683-6_424b3.htm" TargetMode="External"/><Relationship Id="rId200" Type="http://schemas.openxmlformats.org/officeDocument/2006/relationships/hyperlink" Target="http://www.sec.gov/Archives/edgar/data/857855/000110465922076762/tm2219182-3_s4a.htm#tAAAA" TargetMode="External"/><Relationship Id="rId201" Type="http://schemas.openxmlformats.org/officeDocument/2006/relationships/hyperlink" Target="http://www.sec.gov/Archives/edgar/data/857855/000085785521000109/ucbi93021ex31restatedartic.htm" TargetMode="External"/><Relationship Id="rId202" Type="http://schemas.openxmlformats.org/officeDocument/2006/relationships/hyperlink" Target="http://www.sec.gov/Archives/edgar/data/857855/000157104915003882/t82199_ex3-2.htm" TargetMode="External"/><Relationship Id="rId203" Type="http://schemas.openxmlformats.org/officeDocument/2006/relationships/hyperlink" Target="http://www.sec.gov/Archives/edgar/data/857855/000085785520000011/ucbi1231201910kex41.htm" TargetMode="External"/><Relationship Id="rId204" Type="http://schemas.openxmlformats.org/officeDocument/2006/relationships/hyperlink" Target="http://www.sec.gov/Archives/edgar/data/857855/000157104915006745/t1501908_ex4-1.htm" TargetMode="External"/><Relationship Id="rId205" Type="http://schemas.openxmlformats.org/officeDocument/2006/relationships/hyperlink" Target="http://www.sec.gov/Archives/edgar/data/857855/000157104915006745/t1501908_ex4-2.htm" TargetMode="External"/><Relationship Id="rId207" Type="http://schemas.openxmlformats.org/officeDocument/2006/relationships/hyperlink" Target="http://www.sec.gov/Archives/edgar/data/857855/000114420418003238/tv483592_ex4-1.htm" TargetMode="External"/><Relationship Id="rId208" Type="http://schemas.openxmlformats.org/officeDocument/2006/relationships/hyperlink" Target="http://www.sec.gov/Archives/edgar/data/857855/000114420418003238/tv483592_ex4-2.htm" TargetMode="External"/><Relationship Id="rId209" Type="http://schemas.openxmlformats.org/officeDocument/2006/relationships/hyperlink" Target="http://www.sec.gov/Archives/edgar/data/857855/000110465920072017/tm2022256d1_ex4-2.htm" TargetMode="External"/><Relationship Id="rId210" Type="http://schemas.openxmlformats.org/officeDocument/2006/relationships/hyperlink" Target="http://www.sec.gov/Archives/edgar/data/857855/000085785521000012/ucbi1231202010kex411.htm" TargetMode="External"/><Relationship Id="rId211" Type="http://schemas.openxmlformats.org/officeDocument/2006/relationships/hyperlink" Target="http://www.sec.gov/Archives/edgar/data/857855/000110465920074182/tm2022777d1_ex4-1.htm" TargetMode="External"/><Relationship Id="rId212" Type="http://schemas.openxmlformats.org/officeDocument/2006/relationships/hyperlink" Target="http://www.sec.gov/Archives/edgar/data/857855/000110465920074182/tm2022777d1_ex4-2.htm" TargetMode="External"/><Relationship Id="rId213" Type="http://schemas.openxmlformats.org/officeDocument/2006/relationships/hyperlink" Target="https://www.sec.gov/Archives/edgar/data/857855/000114036122013333/ny20003550x2_def14a.htm#a002_v2" TargetMode="External"/><Relationship Id="rId214" Type="http://schemas.openxmlformats.org/officeDocument/2006/relationships/hyperlink" Target="http://www.sec.gov/Archives/edgar/data/857855/000114036122013333/ny20003550x2_def14a.htm#a002_v2" TargetMode="External"/><Relationship Id="rId215" Type="http://schemas.openxmlformats.org/officeDocument/2006/relationships/hyperlink" Target="https://www.sec.gov/Archives/edgar/data/857855/000085785522000043/ex102ucb2022omnibusequityp.htm" TargetMode="External"/><Relationship Id="rId216" Type="http://schemas.openxmlformats.org/officeDocument/2006/relationships/hyperlink" Target="https://www.sec.gov/Archives/edgar/data/857855/000085785521000012/ucbi1231202010kex1026.htm" TargetMode="External"/><Relationship Id="rId217" Type="http://schemas.openxmlformats.org/officeDocument/2006/relationships/hyperlink" Target="https://www.sec.gov/Archives/edgar/data/857855/000085785521000012/ucbi1231202010kex1027.htm" TargetMode="External"/><Relationship Id="rId218" Type="http://schemas.openxmlformats.org/officeDocument/2006/relationships/hyperlink" Target="http://www.sec.gov/Archives/edgar/data/857855/000085785520000011/ucbi1231201910kex1015.htm" TargetMode="External"/><Relationship Id="rId219" Type="http://schemas.openxmlformats.org/officeDocument/2006/relationships/hyperlink" Target="http://www.sec.gov/Archives/edgar/data/857855/000085785520000011/ucbi1231201910kex1016.htm" TargetMode="External"/><Relationship Id="rId220" Type="http://schemas.openxmlformats.org/officeDocument/2006/relationships/hyperlink" Target="http://www.sec.gov/Archives/edgar/data/857855/000085785520000011/ucbi1231201910kex1017.htm" TargetMode="External"/><Relationship Id="rId221" Type="http://schemas.openxmlformats.org/officeDocument/2006/relationships/hyperlink" Target="http://www.sec.gov/Archives/edgar/data/857855/000085785520000011/ucbi1231201910kex1018.htm" TargetMode="External"/><Relationship Id="rId224" Type="http://schemas.openxmlformats.org/officeDocument/2006/relationships/hyperlink" Target="http://www.sec.gov/Archives/edgar/data/857855/000085785520000011/ucbi1231201910kex1019.htm" TargetMode="External"/><Relationship Id="rId225" Type="http://schemas.openxmlformats.org/officeDocument/2006/relationships/hyperlink" Target="http://www.sec.gov/Archives/edgar/data/857855/000095014407004014/g07026exv10w5.htm" TargetMode="External"/><Relationship Id="rId226" Type="http://schemas.openxmlformats.org/officeDocument/2006/relationships/hyperlink" Target="http://www.sec.gov/Archives/edgar/data/857855/000114420417040548/v472005_ex10-1.htm" TargetMode="External"/><Relationship Id="rId227" Type="http://schemas.openxmlformats.org/officeDocument/2006/relationships/hyperlink" Target="http://www.sec.gov/Archives/edgar/data/857855/000085785520000011/ucbi1231201910kex1030.htm" TargetMode="External"/><Relationship Id="rId228" Type="http://schemas.openxmlformats.org/officeDocument/2006/relationships/hyperlink" Target="http://www.sec.gov/Archives/edgar/data/857855/000085785520000011/ucbi1231201910kex1031.htm" TargetMode="External"/><Relationship Id="rId229" Type="http://schemas.openxmlformats.org/officeDocument/2006/relationships/hyperlink" Target="https://www.sec.gov/Archives/edgar/data/857855/000085785522000006/ucbi1231202110k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2023-02-24T14:10:51Z</dcterms:created>
  <dcterms:modified xsi:type="dcterms:W3CDTF">2023-02-24T14:10:51Z</dcterms:modified>
</cp:coreProperties>
</file>