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960"/>
        <w:spacing w:after="0"/>
        <w:tabs>
          <w:tab w:leader="none" w:pos="6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001-35095</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6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Georgia</w:t>
            </w:r>
          </w:p>
        </w:tc>
        <w:tc>
          <w:tcPr>
            <w:tcW w:w="5660" w:type="dxa"/>
            <w:vAlign w:val="bottom"/>
            <w:gridSpan w:val="4"/>
          </w:tcPr>
          <w:p>
            <w:pPr>
              <w:jc w:val="right"/>
              <w:ind w:right="17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406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(State of Incorporation)</w:t>
            </w: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406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125 Highway 515 East</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4"/>
        </w:trPr>
        <w:tc>
          <w:tcPr>
            <w:tcW w:w="406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Blairsville, Georgia</w:t>
            </w:r>
          </w:p>
        </w:tc>
        <w:tc>
          <w:tcPr>
            <w:tcW w:w="5660" w:type="dxa"/>
            <w:vAlign w:val="bottom"/>
            <w:gridSpan w:val="4"/>
          </w:tcPr>
          <w:p>
            <w:pPr>
              <w:jc w:val="right"/>
              <w:ind w:right="2010"/>
              <w:spacing w:after="0"/>
              <w:rPr>
                <w:sz w:val="20"/>
                <w:szCs w:val="20"/>
                <w:color w:val="auto"/>
              </w:rPr>
            </w:pPr>
            <w:r>
              <w:rPr>
                <w:rFonts w:ascii="Arial" w:cs="Arial" w:eastAsia="Arial" w:hAnsi="Arial"/>
                <w:sz w:val="18"/>
                <w:szCs w:val="18"/>
                <w:b w:val="1"/>
                <w:bCs w:val="1"/>
                <w:color w:val="auto"/>
              </w:rPr>
              <w:t>30512</w:t>
            </w:r>
          </w:p>
        </w:tc>
      </w:tr>
      <w:tr>
        <w:trPr>
          <w:trHeight w:val="228"/>
        </w:trPr>
        <w:tc>
          <w:tcPr>
            <w:tcW w:w="406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4"/>
              </w:rPr>
              <w:t>(Zip Code)</w:t>
            </w:r>
          </w:p>
        </w:tc>
      </w:tr>
      <w:tr>
        <w:trPr>
          <w:trHeight w:val="400"/>
        </w:trPr>
        <w:tc>
          <w:tcPr>
            <w:tcW w:w="4060" w:type="dxa"/>
            <w:vAlign w:val="bottom"/>
          </w:tcPr>
          <w:p>
            <w:pPr>
              <w:spacing w:after="0"/>
              <w:rPr>
                <w:sz w:val="24"/>
                <w:szCs w:val="24"/>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(706) 781-2265</w:t>
            </w:r>
          </w:p>
        </w:tc>
        <w:tc>
          <w:tcPr>
            <w:tcW w:w="4060" w:type="dxa"/>
            <w:vAlign w:val="bottom"/>
          </w:tcPr>
          <w:p>
            <w:pPr>
              <w:spacing w:after="0"/>
              <w:rPr>
                <w:sz w:val="24"/>
                <w:szCs w:val="24"/>
                <w:color w:val="auto"/>
              </w:rPr>
            </w:pPr>
          </w:p>
        </w:tc>
      </w:tr>
      <w:tr>
        <w:trPr>
          <w:trHeight w:val="228"/>
        </w:trPr>
        <w:tc>
          <w:tcPr>
            <w:tcW w:w="4060" w:type="dxa"/>
            <w:vAlign w:val="bottom"/>
          </w:tcPr>
          <w:p>
            <w:pPr>
              <w:spacing w:after="0"/>
              <w:rPr>
                <w:sz w:val="19"/>
                <w:szCs w:val="19"/>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(Telephone Number)</w:t>
            </w:r>
          </w:p>
        </w:tc>
        <w:tc>
          <w:tcPr>
            <w:tcW w:w="4060" w:type="dxa"/>
            <w:vAlign w:val="bottom"/>
          </w:tcPr>
          <w:p>
            <w:pPr>
              <w:spacing w:after="0"/>
              <w:rPr>
                <w:sz w:val="19"/>
                <w:szCs w:val="19"/>
                <w:color w:val="auto"/>
              </w:rPr>
            </w:pPr>
          </w:p>
        </w:tc>
      </w:tr>
    </w:tbl>
    <w:p>
      <w:pPr>
        <w:spacing w:after="0" w:line="139" w:lineRule="exact"/>
        <w:rPr>
          <w:sz w:val="20"/>
          <w:szCs w:val="20"/>
          <w:color w:val="auto"/>
        </w:rPr>
      </w:pPr>
    </w:p>
    <w:p>
      <w:pPr>
        <w:jc w:val="both"/>
        <w:ind w:left="340" w:right="17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16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227" w:lineRule="exact"/>
        <w:rPr>
          <w:sz w:val="20"/>
          <w:szCs w:val="20"/>
          <w:color w:val="auto"/>
        </w:rPr>
      </w:pPr>
    </w:p>
    <w:p>
      <w:pPr>
        <w:jc w:val="both"/>
        <w:ind w:left="340" w:right="159"/>
        <w:spacing w:after="0" w:line="314" w:lineRule="auto"/>
        <w:rPr>
          <w:sz w:val="20"/>
          <w:szCs w:val="20"/>
          <w:color w:val="auto"/>
        </w:rPr>
      </w:pPr>
      <w:r>
        <w:rPr>
          <w:rFonts w:ascii="Arial" w:cs="Arial" w:eastAsia="Arial" w:hAnsi="Arial"/>
          <w:sz w:val="16"/>
          <w:szCs w:val="16"/>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0"/>
          <w:szCs w:val="20"/>
          <w:color w:val="auto"/>
        </w:rPr>
      </w:pPr>
    </w:p>
    <w:p>
      <w:pPr>
        <w:jc w:val="center"/>
        <w:ind w:right="-16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213" w:lineRule="exact"/>
        <w:rPr>
          <w:sz w:val="20"/>
          <w:szCs w:val="20"/>
          <w:color w:val="auto"/>
        </w:rPr>
      </w:pPr>
    </w:p>
    <w:p>
      <w:pPr>
        <w:jc w:val="both"/>
        <w:ind w:left="340" w:right="1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Non-accelerated filer </w:t>
      </w:r>
      <w:r>
        <w:rPr>
          <w:rFonts w:ascii="Arial" w:cs="Arial" w:eastAsia="Arial" w:hAnsi="Arial"/>
          <w:sz w:val="18"/>
          <w:szCs w:val="18"/>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434" w:lineRule="exact"/>
        <w:rPr>
          <w:sz w:val="20"/>
          <w:szCs w:val="20"/>
          <w:color w:val="auto"/>
        </w:rPr>
      </w:pPr>
    </w:p>
    <w:p>
      <w:pPr>
        <w:sectPr>
          <w:pgSz w:w="11900" w:h="16838" w:orient="portrait"/>
          <w:cols w:equalWidth="0" w:num="4">
            <w:col w:w="2220" w:space="180"/>
            <w:col w:w="1480" w:space="160"/>
            <w:col w:w="3540" w:space="120"/>
            <w:col w:w="2519"/>
          </w:cols>
          <w:pgMar w:left="240" w:top="122" w:right="1440"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156" w:lineRule="exact"/>
        <w:rPr>
          <w:sz w:val="20"/>
          <w:szCs w:val="20"/>
          <w:color w:val="auto"/>
        </w:rPr>
      </w:pPr>
    </w:p>
    <w:p>
      <w:pPr>
        <w:ind w:left="4700"/>
        <w:spacing w:after="0" w:line="207" w:lineRule="exact"/>
        <w:rPr>
          <w:sz w:val="20"/>
          <w:szCs w:val="20"/>
          <w:color w:val="auto"/>
        </w:rPr>
      </w:pPr>
      <w:r>
        <w:rPr>
          <w:rFonts w:ascii="Arial" w:cs="Arial" w:eastAsia="Arial" w:hAnsi="Arial"/>
          <w:sz w:val="18"/>
          <w:szCs w:val="18"/>
          <w:b w:val="1"/>
          <w:bCs w:val="1"/>
          <w:color w:val="auto"/>
        </w:rPr>
        <w:t xml:space="preserve">YES o NO </w:t>
      </w:r>
      <w:r>
        <w:rPr>
          <w:rFonts w:ascii="MS PGothic" w:cs="MS PGothic" w:eastAsia="MS PGothic" w:hAnsi="MS PGothic"/>
          <w:sz w:val="18"/>
          <w:szCs w:val="18"/>
          <w:color w:val="auto"/>
        </w:rPr>
        <w:t>☑</w:t>
      </w:r>
    </w:p>
    <w:p>
      <w:pPr>
        <w:spacing w:after="0" w:line="21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Common stock, par value $1 per share 41,611,596 shares voting and 15,914,209 shares non-voting outstanding as of</w:t>
      </w:r>
    </w:p>
    <w:p>
      <w:pPr>
        <w:spacing w:after="0" w:line="6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October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80" w:type="dxa"/>
            <w:vAlign w:val="bottom"/>
            <w:gridSpan w:val="26"/>
          </w:tcPr>
          <w:p>
            <w:pPr>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0"/>
                <w:szCs w:val="20"/>
                <w:color w:val="auto"/>
              </w:rPr>
            </w:pPr>
          </w:p>
        </w:tc>
      </w:tr>
      <w:tr>
        <w:trPr>
          <w:trHeight w:val="405"/>
        </w:trPr>
        <w:tc>
          <w:tcPr>
            <w:tcW w:w="2560" w:type="dxa"/>
            <w:vAlign w:val="bottom"/>
            <w:tcBorders>
              <w:bottom w:val="single" w:sz="8" w:color="0000EE"/>
            </w:tcBorders>
            <w:gridSpan w:val="12"/>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6320" w:type="dxa"/>
            <w:vAlign w:val="bottom"/>
            <w:gridSpan w:val="14"/>
          </w:tcPr>
          <w:p>
            <w:pPr>
              <w:spacing w:after="0"/>
              <w:rPr>
                <w:sz w:val="24"/>
                <w:szCs w:val="24"/>
                <w:color w:val="auto"/>
              </w:rPr>
            </w:pPr>
          </w:p>
        </w:tc>
        <w:tc>
          <w:tcPr>
            <w:tcW w:w="74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Borders>
              <w:bottom w:val="single" w:sz="8" w:color="0000EE"/>
            </w:tcBorders>
            <w:gridSpan w:val="9"/>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w:t>
              </w:r>
            </w:hyperlink>
          </w:p>
        </w:tc>
        <w:tc>
          <w:tcPr>
            <w:tcW w:w="6480" w:type="dxa"/>
            <w:vAlign w:val="bottom"/>
            <w:gridSpan w:val="15"/>
          </w:tcPr>
          <w:p>
            <w:pPr>
              <w:spacing w:after="0"/>
              <w:rPr>
                <w:sz w:val="24"/>
                <w:szCs w:val="24"/>
                <w:color w:val="auto"/>
              </w:rPr>
            </w:pPr>
          </w:p>
        </w:tc>
        <w:tc>
          <w:tcPr>
            <w:tcW w:w="74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tcBorders>
              <w:bottom w:val="single" w:sz="8" w:color="0000EE"/>
            </w:tcBorders>
            <w:gridSpan w:val="18"/>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Operations (unaudited) for the Three and Nine Months Ended</w:t>
              </w:r>
            </w:hyperlink>
          </w:p>
        </w:tc>
        <w:tc>
          <w:tcPr>
            <w:tcW w:w="162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7"/>
              </w:rPr>
            </w:pPr>
            <w:hyperlink w:anchor="page4">
              <w:r>
                <w:rPr>
                  <w:rFonts w:ascii="Arial" w:cs="Arial" w:eastAsia="Arial" w:hAnsi="Arial"/>
                  <w:sz w:val="18"/>
                  <w:szCs w:val="18"/>
                  <w:b w:val="1"/>
                  <w:bCs w:val="1"/>
                  <w:color w:val="0000EE"/>
                  <w:w w:val="87"/>
                </w:rPr>
                <w:t>September 30, 2011 and 2010</w:t>
              </w:r>
            </w:hyperlink>
          </w:p>
        </w:tc>
        <w:tc>
          <w:tcPr>
            <w:tcW w:w="6040" w:type="dxa"/>
            <w:vAlign w:val="bottom"/>
            <w:gridSpan w:val="1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80" w:type="dxa"/>
            <w:vAlign w:val="bottom"/>
            <w:gridSpan w:val="2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 at September 30, 2011 (unaudited), December 31, 2010 (audited) and</w:t>
              </w:r>
            </w:hyperlink>
          </w:p>
        </w:tc>
        <w:tc>
          <w:tcPr>
            <w:tcW w:w="7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September 30, 2010 (unaudited)</w:t>
              </w:r>
            </w:hyperlink>
          </w:p>
        </w:tc>
        <w:tc>
          <w:tcPr>
            <w:tcW w:w="106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80" w:type="dxa"/>
            <w:vAlign w:val="bottom"/>
            <w:gridSpan w:val="23"/>
          </w:tcPr>
          <w:p>
            <w:pPr>
              <w:spacing w:after="0"/>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Consolidated Statement of Changes in Shareholders’ Equity (unaudited) for the Nine Months Ended</w:t>
              </w:r>
            </w:hyperlink>
          </w:p>
        </w:tc>
        <w:tc>
          <w:tcPr>
            <w:tcW w:w="7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September 30, 2011 and 2010</w:t>
              </w:r>
            </w:hyperlink>
          </w:p>
        </w:tc>
        <w:tc>
          <w:tcPr>
            <w:tcW w:w="5260" w:type="dxa"/>
            <w:vAlign w:val="bottom"/>
            <w:tcBorders>
              <w:top w:val="single" w:sz="8" w:color="0000EE"/>
            </w:tcBorders>
            <w:gridSpan w:val="9"/>
          </w:tcPr>
          <w:p>
            <w:pPr>
              <w:spacing w:after="0"/>
              <w:rPr>
                <w:sz w:val="17"/>
                <w:szCs w:val="17"/>
                <w:color w:val="auto"/>
              </w:rPr>
            </w:pPr>
          </w:p>
        </w:tc>
        <w:tc>
          <w:tcPr>
            <w:tcW w:w="78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tcBorders>
              <w:bottom w:val="single" w:sz="8" w:color="0000EE"/>
            </w:tcBorders>
            <w:gridSpan w:val="22"/>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 of Cash Flows (unaudited) for the Nine Months Ended September 30, 2011 and</w:t>
              </w:r>
            </w:hyperlink>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640" w:type="dxa"/>
            <w:vAlign w:val="bottom"/>
            <w:gridSpan w:val="4"/>
          </w:tcPr>
          <w:p>
            <w:pPr>
              <w:spacing w:after="0"/>
              <w:rPr>
                <w:sz w:val="17"/>
                <w:szCs w:val="17"/>
                <w:color w:val="auto"/>
              </w:rPr>
            </w:pPr>
          </w:p>
        </w:tc>
        <w:tc>
          <w:tcPr>
            <w:tcW w:w="320" w:type="dxa"/>
            <w:vAlign w:val="bottom"/>
            <w:tcBorders>
              <w:bottom w:val="single" w:sz="8" w:color="0000EE"/>
            </w:tcBorders>
          </w:tcPr>
          <w:p>
            <w:pPr>
              <w:spacing w:after="0" w:line="196" w:lineRule="exact"/>
              <w:rPr>
                <w:rFonts w:ascii="Arial" w:cs="Arial" w:eastAsia="Arial" w:hAnsi="Arial"/>
                <w:sz w:val="18"/>
                <w:szCs w:val="18"/>
                <w:b w:val="1"/>
                <w:bCs w:val="1"/>
                <w:color w:val="0000EE"/>
                <w:w w:val="74"/>
              </w:rPr>
            </w:pPr>
            <w:hyperlink w:anchor="page8">
              <w:r>
                <w:rPr>
                  <w:rFonts w:ascii="Arial" w:cs="Arial" w:eastAsia="Arial" w:hAnsi="Arial"/>
                  <w:sz w:val="18"/>
                  <w:szCs w:val="18"/>
                  <w:b w:val="1"/>
                  <w:bCs w:val="1"/>
                  <w:color w:val="0000EE"/>
                  <w:w w:val="74"/>
                </w:rPr>
                <w:t>2010</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5"/>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51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20"/>
          </w:tcPr>
          <w:p>
            <w:pPr>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Item 2. Management’s Discussion and Analysis of Financial Condition and Results of Operations</w:t>
              </w:r>
            </w:hyperlink>
          </w:p>
        </w:tc>
        <w:tc>
          <w:tcPr>
            <w:tcW w:w="126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80" w:type="dxa"/>
            <w:vAlign w:val="bottom"/>
            <w:gridSpan w:val="2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4. Controls and Procedures</w:t>
              </w:r>
            </w:hyperlink>
          </w:p>
        </w:tc>
        <w:tc>
          <w:tcPr>
            <w:tcW w:w="344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8880" w:type="dxa"/>
            <w:vAlign w:val="bottom"/>
            <w:gridSpan w:val="26"/>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 Other Information</w:t>
              </w:r>
            </w:hyperlink>
          </w:p>
        </w:tc>
        <w:tc>
          <w:tcPr>
            <w:tcW w:w="740" w:type="dxa"/>
            <w:vAlign w:val="bottom"/>
          </w:tcPr>
          <w:p>
            <w:pPr>
              <w:spacing w:after="0"/>
              <w:rPr>
                <w:sz w:val="24"/>
                <w:szCs w:val="24"/>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8"/>
          </w:tcPr>
          <w:p>
            <w:pPr>
              <w:spacing w:after="0"/>
              <w:rPr>
                <w:rFonts w:ascii="Arial" w:cs="Arial" w:eastAsia="Arial" w:hAnsi="Arial"/>
                <w:sz w:val="18"/>
                <w:szCs w:val="18"/>
                <w:b w:val="1"/>
                <w:bCs w:val="1"/>
                <w:color w:val="0000EE"/>
                <w:w w:val="96"/>
              </w:rPr>
            </w:pPr>
            <w:hyperlink w:anchor="page64">
              <w:r>
                <w:rPr>
                  <w:rFonts w:ascii="Arial" w:cs="Arial" w:eastAsia="Arial" w:hAnsi="Arial"/>
                  <w:sz w:val="18"/>
                  <w:szCs w:val="18"/>
                  <w:b w:val="1"/>
                  <w:bCs w:val="1"/>
                  <w:color w:val="0000EE"/>
                  <w:w w:val="96"/>
                </w:rPr>
                <w:t>Item 1. Legal Proceedings</w:t>
              </w:r>
            </w:hyperlink>
          </w:p>
        </w:tc>
        <w:tc>
          <w:tcPr>
            <w:tcW w:w="6520" w:type="dxa"/>
            <w:vAlign w:val="bottom"/>
            <w:gridSpan w:val="1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1A. Risk Factors</w:t>
              </w:r>
            </w:hyperlink>
          </w:p>
        </w:tc>
        <w:tc>
          <w:tcPr>
            <w:tcW w:w="670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80" w:type="dxa"/>
            <w:vAlign w:val="bottom"/>
            <w:gridSpan w:val="24"/>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3. Defaults Upon Senior Securities</w:t>
              </w:r>
            </w:hyperlink>
          </w:p>
        </w:tc>
        <w:tc>
          <w:tcPr>
            <w:tcW w:w="354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4. (Removed and Reserved)</w:t>
              </w:r>
            </w:hyperlink>
          </w:p>
        </w:tc>
        <w:tc>
          <w:tcPr>
            <w:tcW w:w="566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5. Other Information</w:t>
              </w:r>
            </w:hyperlink>
          </w:p>
        </w:tc>
        <w:tc>
          <w:tcPr>
            <w:tcW w:w="618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0"/>
              </w:rPr>
            </w:pPr>
            <w:hyperlink w:anchor="page66">
              <w:r>
                <w:rPr>
                  <w:rFonts w:ascii="Arial" w:cs="Arial" w:eastAsia="Arial" w:hAnsi="Arial"/>
                  <w:sz w:val="18"/>
                  <w:szCs w:val="18"/>
                  <w:b w:val="1"/>
                  <w:bCs w:val="1"/>
                  <w:color w:val="0000EE"/>
                  <w:w w:val="90"/>
                </w:rPr>
                <w:t>Item 6. Exhibits</w:t>
              </w:r>
            </w:hyperlink>
          </w:p>
        </w:tc>
        <w:tc>
          <w:tcPr>
            <w:tcW w:w="800" w:type="dxa"/>
            <w:vAlign w:val="bottom"/>
            <w:tcBorders>
              <w:top w:val="single" w:sz="8" w:color="0000EE"/>
            </w:tcBorders>
            <w:gridSpan w:val="3"/>
          </w:tcPr>
          <w:p>
            <w:pPr>
              <w:spacing w:after="0"/>
              <w:rPr>
                <w:sz w:val="24"/>
                <w:szCs w:val="24"/>
                <w:color w:val="auto"/>
              </w:rPr>
            </w:pPr>
          </w:p>
        </w:tc>
        <w:tc>
          <w:tcPr>
            <w:tcW w:w="6660" w:type="dxa"/>
            <w:vAlign w:val="bottom"/>
            <w:gridSpan w:val="1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412"/>
        </w:trPr>
        <w:tc>
          <w:tcPr>
            <w:tcW w:w="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6"/>
              </w:rPr>
              <w:t>EX-31.1</w:t>
            </w:r>
          </w:p>
        </w:tc>
        <w:tc>
          <w:tcPr>
            <w:tcW w:w="8240" w:type="dxa"/>
            <w:vAlign w:val="bottom"/>
            <w:gridSpan w:val="22"/>
          </w:tcPr>
          <w:p>
            <w:pPr>
              <w:spacing w:after="0"/>
              <w:rPr>
                <w:sz w:val="24"/>
                <w:szCs w:val="24"/>
                <w:color w:val="auto"/>
              </w:rPr>
            </w:pPr>
          </w:p>
        </w:tc>
        <w:tc>
          <w:tcPr>
            <w:tcW w:w="740" w:type="dxa"/>
            <w:vAlign w:val="bottom"/>
          </w:tcPr>
          <w:p>
            <w:pPr>
              <w:spacing w:after="0"/>
              <w:rPr>
                <w:sz w:val="24"/>
                <w:szCs w:val="24"/>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w w:val="99"/>
              </w:rPr>
              <w:t xml:space="preserve">Consolidated Statement of Operations </w:t>
            </w:r>
            <w:r>
              <w:rPr>
                <w:rFonts w:ascii="Arial" w:cs="Arial" w:eastAsia="Arial" w:hAnsi="Arial"/>
                <w:sz w:val="18"/>
                <w:szCs w:val="18"/>
                <w:i w:val="1"/>
                <w:iCs w:val="1"/>
                <w:color w:val="auto"/>
                <w:w w:val="99"/>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Loans, including fees</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59,294</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68,419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181,359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211,245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Investment securities, including tax exempt of $244,</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$279, $754 and $886</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14,568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14,711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42,964</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46,743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5"/>
              </w:rPr>
              <w:t>Federal funds sold, commercial paper and deposits in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banks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83,849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226,155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260,404</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NOW</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1,705</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3,191</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Savings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54,015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ind w:left="600"/>
              <w:spacing w:after="0"/>
              <w:rPr>
                <w:sz w:val="20"/>
                <w:szCs w:val="20"/>
                <w:color w:val="auto"/>
              </w:rPr>
            </w:pPr>
            <w:r>
              <w:rPr>
                <w:rFonts w:ascii="Arial" w:cs="Arial" w:eastAsia="Arial" w:hAnsi="Arial"/>
                <w:sz w:val="18"/>
                <w:szCs w:val="18"/>
                <w:color w:val="auto"/>
              </w:rPr>
              <w:t>Total deposit interest expense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19,817</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39,853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Federal funds purchased, repurchase agreements and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short-term borrowings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Federal Home Loan Bank advances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1,601</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Total interest expense</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52,820</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173,335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181,416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50,500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237,000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Net interest revenue after provision for loan losses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(63,665)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Mortgage loan and other related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3,594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Brokerage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Securities gains,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2,491</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prepayment of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2,153</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9,534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fee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36,106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Salaries and employee benefits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25,262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24,891</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76,622</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72,841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Communications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11,673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Advertising and public relations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Postage, printing and supplies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3,239</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Foreclosed property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19,752</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69,603</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210,590</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210,590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sale of nonperforming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275,496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210,519</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Loss from continuing operations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(253,632)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(236,943)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(403,451)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(17,217)</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(95,872)</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(73,046)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Net loss from continuing operations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(236,415)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(141,071)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(330,405)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w w:val="92"/>
              </w:rPr>
              <w:t>Loss from discontinued operations, net of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Gain from sale of subsidiary, net of income taxes and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selling costs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(236,415)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(141,071)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(329,240)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dividends and discount accretion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 loss available to common shareholders</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(238,996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(149,884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Loss from continuing operations per common share —</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98"/>
              </w:rPr>
              <w:t>Loss from continuing operations per common share —</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bl>
    <w:p>
      <w:pPr>
        <w:sectPr>
          <w:pgSz w:w="11900" w:h="16925" w:orient="portrait"/>
          <w:cols w:equalWidth="0" w:num="1">
            <w:col w:w="10219"/>
          </w:cols>
          <w:pgMar w:left="240" w:top="405"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 Basic</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(12.62)</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(4.41)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Loss per common share — Diluted</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(12.62)</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(4.41)</w:t>
            </w:r>
          </w:p>
        </w:tc>
        <w:tc>
          <w:tcPr>
            <w:tcW w:w="98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57,599</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18,936</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33,973</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18,905</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w w:val="99"/>
              </w:rPr>
              <w:t>Weighted average common shares outstanding — Diluted</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57,599</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18,936</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33,973</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18,905</w:t>
            </w:r>
          </w:p>
        </w:tc>
      </w:tr>
    </w:tbl>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40" w:type="dxa"/>
            <w:vAlign w:val="bottom"/>
            <w:gridSpan w:val="4"/>
          </w:tcPr>
          <w:p>
            <w:pPr>
              <w:ind w:left="14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57,780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95,994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104,033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241,440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w w:val="98"/>
              </w:rPr>
              <w:t>Federal funds sold, commercial paper and short-term investments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441,562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108,579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299,220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1,769,083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1,224,417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1,053,518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Securities held to maturity (fair value $369,020, $267,988 and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$263,012)</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353,739</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265,807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Mortgage loans held for sale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22,050</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35,908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net of unearned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4,109,875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4,604,126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4,759,504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Less allowance for loan losses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146,092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174,695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174,613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Loans,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3,963,783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4,429,431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4,584,891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Assets covered by loss sharing agreements with the FDIC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83,623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144,581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176,839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Accrued interest receivable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19,744</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and other intangible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Foreclosed property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44,263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129,964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deferred tax asset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264,275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153,329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183,160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183,189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7,159,123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7,013,049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Demand</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966,452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793,414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783,251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NOW</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1,299,512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1,424,781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1,338,371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804,644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Savings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200,231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183,894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Less than $100,000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1,393,559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1,496,700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1,498,379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Greater than $100,000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905,183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1,033,132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600"/>
              <w:spacing w:after="0"/>
              <w:rPr>
                <w:sz w:val="20"/>
                <w:szCs w:val="20"/>
                <w:color w:val="auto"/>
              </w:rPr>
            </w:pPr>
            <w:r>
              <w:rPr>
                <w:rFonts w:ascii="Arial" w:cs="Arial" w:eastAsia="Arial" w:hAnsi="Arial"/>
                <w:sz w:val="18"/>
                <w:szCs w:val="18"/>
                <w:color w:val="auto"/>
              </w:rPr>
              <w:t>Brokered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209,998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676,772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354,243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Total deposits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6,005,305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5,998,637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0"/>
              </w:rPr>
              <w:t>Federal funds purchased, repurchase agreements, and other short-term</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borrowings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102,883</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103,780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120,206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150,146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150,126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Unsettled securities purchases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10,585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31,302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32,171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42,906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6,310,906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6,807,681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6,350,574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$1 par value; 10,000,000 shares authorized;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w w:val="94"/>
              </w:rPr>
              <w:t>Series A; $10 stated value; 21,700 shares issued and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9"/>
              </w:rPr>
              <w:t>Series B; $1,000 stated value; 180,000 shares issued and outstanding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176,739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w w:val="90"/>
              </w:rPr>
              <w:t>Series D; $1,000 stated value; 16,613 shares issued and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16,613</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$1 par value; 100,000,000 shares authorized;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41,595,692, 18,937,001 and 18,886,660 shares issued and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41,596</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non-voting, $1 par value; 30,000,000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color w:val="auto"/>
              </w:rPr>
              <w:t>authorized; 15,914,209 shares issued and outstanding</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15,914</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issuable; 88,501, 67,287 and 61,119 shares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1,052,690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741,244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740,151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(485,451)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(335,567)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(316,587)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26,309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31,079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40,468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662,475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7,159,123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7,443,196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65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651"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(Accumulated</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8"/>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7"/>
          </w:tcPr>
          <w:p>
            <w:pPr>
              <w:jc w:val="right"/>
              <w:ind w:right="100"/>
              <w:spacing w:after="0" w:line="158" w:lineRule="exact"/>
              <w:rPr>
                <w:sz w:val="20"/>
                <w:szCs w:val="20"/>
                <w:color w:val="auto"/>
              </w:rPr>
            </w:pPr>
            <w:r>
              <w:rPr>
                <w:rFonts w:ascii="Arial" w:cs="Arial" w:eastAsia="Arial" w:hAnsi="Arial"/>
                <w:sz w:val="14"/>
                <w:szCs w:val="14"/>
                <w:b w:val="1"/>
                <w:bCs w:val="1"/>
                <w:color w:val="auto"/>
                <w:w w:val="97"/>
              </w:rPr>
              <w:t>Non-Voting Common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28"/>
              <w:spacing w:after="0" w:line="158" w:lineRule="exact"/>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Series</w:t>
            </w:r>
          </w:p>
        </w:tc>
        <w:tc>
          <w:tcPr>
            <w:tcW w:w="6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Series</w:t>
            </w:r>
          </w:p>
        </w:tc>
        <w:tc>
          <w:tcPr>
            <w:tcW w:w="56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Series</w:t>
            </w: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7"/>
              </w:rPr>
              <w:t>Series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w w:val="97"/>
              </w:rPr>
              <w:t>Series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5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5"/>
              </w:rPr>
              <w:t>Stock</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28"/>
              <w:spacing w:after="0" w:line="119" w:lineRule="exact"/>
              <w:rPr>
                <w:sz w:val="20"/>
                <w:szCs w:val="20"/>
                <w:color w:val="auto"/>
              </w:rPr>
            </w:pPr>
            <w:r>
              <w:rPr>
                <w:rFonts w:ascii="Arial" w:cs="Arial" w:eastAsia="Arial" w:hAnsi="Arial"/>
                <w:sz w:val="13"/>
                <w:szCs w:val="13"/>
                <w:b w:val="1"/>
                <w:bCs w:val="1"/>
                <w:color w:val="auto"/>
              </w:rPr>
              <w:t>Retained</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w w:val="93"/>
              </w:rPr>
              <w:t>(in thousands, except share and per share data)</w:t>
            </w:r>
          </w:p>
        </w:tc>
        <w:tc>
          <w:tcPr>
            <w:tcW w:w="10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rPr>
              <w:t>A</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B</w:t>
            </w:r>
          </w:p>
        </w:tc>
        <w:tc>
          <w:tcPr>
            <w:tcW w:w="80" w:type="dxa"/>
            <w:vAlign w:val="bottom"/>
          </w:tcPr>
          <w:p>
            <w:pPr>
              <w:spacing w:after="0"/>
              <w:rPr>
                <w:sz w:val="14"/>
                <w:szCs w:val="14"/>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w:t>
            </w:r>
          </w:p>
        </w:tc>
        <w:tc>
          <w:tcPr>
            <w:tcW w:w="8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Issuable</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Surplus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3"/>
              </w:rPr>
              <w:t>$ 174,408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18,809</w:t>
            </w:r>
          </w:p>
        </w:tc>
        <w:tc>
          <w:tcPr>
            <w:tcW w:w="160" w:type="dxa"/>
            <w:vAlign w:val="bottom"/>
            <w:gridSpan w:val="2"/>
            <w:shd w:val="clear" w:color="auto" w:fill="CCEEFF"/>
          </w:tcPr>
          <w:p>
            <w:pPr>
              <w:jc w:val="right"/>
              <w:ind w:right="1"/>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3,597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697,271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20,384</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47,635</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8"/>
              </w:rPr>
              <w:t>962,321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(329,240)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(329,240)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for sale securities, net of deferred</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tax expense and reclassification</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Unrealized losses on 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financial instruments qualifying as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4"/>
              </w:rPr>
              <w:t>cash flow hedges, net of deferred tax</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600"/>
              <w:spacing w:after="0"/>
              <w:rPr>
                <w:sz w:val="20"/>
                <w:szCs w:val="20"/>
                <w:color w:val="auto"/>
              </w:rPr>
            </w:pPr>
            <w:r>
              <w:rPr>
                <w:rFonts w:ascii="Arial" w:cs="Arial" w:eastAsia="Arial" w:hAnsi="Arial"/>
                <w:sz w:val="14"/>
                <w:szCs w:val="14"/>
                <w:color w:val="auto"/>
              </w:rPr>
              <w:t>benefit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(7,906)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(7,906)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(329,240)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(7,167)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(336,407)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4"/>
              </w:rPr>
              <w:t>Issuance of equity instruments in private equity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transaction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39,813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39,813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Common stock issued to dividend reinvestment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plan and employee benefit plans (72,281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rPr>
              <w:t>Amortization of stock option and restricted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1,887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2"/>
              </w:rPr>
              <w:t>Vesting of restricted stock (2,112 shares issued,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8,304 shares deferred)</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dividend equivalents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2"/>
              </w:rPr>
              <w:t>Shares issued from deferred compensation plan</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(3,145 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Dividends on Series A preferred 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Dividends on Series B preferred stock</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56"/>
        </w:trPr>
        <w:tc>
          <w:tcPr>
            <w:tcW w:w="2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September 30, 2010</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175,378</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18,887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740,151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(316,587</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40,468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662,475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$ 175,711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18,937</w:t>
            </w:r>
          </w:p>
        </w:tc>
        <w:tc>
          <w:tcPr>
            <w:tcW w:w="16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741,244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(335,567)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31,079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635,515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(141,071)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(141,071)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for sale securities, net of deferred</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tax expense and reclassification</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2,910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Unrealized losses on 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financial instruments qualifying as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4"/>
              </w:rPr>
              <w:t>cash flow hedges, net of deferred tax</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600"/>
              <w:spacing w:after="0"/>
              <w:rPr>
                <w:sz w:val="20"/>
                <w:szCs w:val="20"/>
                <w:color w:val="auto"/>
              </w:rPr>
            </w:pPr>
            <w:r>
              <w:rPr>
                <w:rFonts w:ascii="Arial" w:cs="Arial" w:eastAsia="Arial" w:hAnsi="Arial"/>
                <w:sz w:val="14"/>
                <w:szCs w:val="14"/>
                <w:color w:val="auto"/>
              </w:rPr>
              <w:t>benefit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(7,680)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(7,680)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(141,071)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(4,770)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(145,841)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7"/>
              </w:rPr>
              <w:t>Penalty received on incomplete private equity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transaction, net of tax expense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2,375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Preferred for common equity exchange related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to tax benefits preservation plan (1,551,126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16,613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(15,062)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5"/>
              </w:rPr>
              <w:t>Conversion of Series F and Series G Preferred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9"/>
              </w:rPr>
              <w:t>Stock (20,618,156 voting and 15,914,209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non-voting common 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(195,872)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(151,185)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20,618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15,914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310,525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Common stock issued to dividend reinvestment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plan and employee benefit plans (113,787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3"/>
              </w:rPr>
              <w:t>Common and preferred stock issued (3,467,699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195,872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151,185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3,468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11,035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361,560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Amortization of stock options and restricted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stock awards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2"/>
              </w:rPr>
              <w:t>Vesting of restricted stock (6,709 shares issued,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6,382 shares deferred)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dividend equivalents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2"/>
              </w:rPr>
              <w:t>Shares issued from deferred compensation plan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(3,466 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538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Tax on option exercise and restricted stock</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vesting</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Dividends on Series A preferred 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Dividends on Series B preferred stock</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(7,798)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Dividends on Series D preferred 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September 30, 2011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176,739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16,613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41,596</w:t>
            </w:r>
          </w:p>
        </w:tc>
        <w:tc>
          <w:tcPr>
            <w:tcW w:w="16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1,052,690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(485,451) $</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26,309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848,217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right"/>
        <w:ind w:right="3520"/>
        <w:spacing w:after="0"/>
        <w:rPr>
          <w:sz w:val="20"/>
          <w:szCs w:val="20"/>
          <w:color w:val="auto"/>
        </w:rPr>
      </w:pPr>
      <w:r>
        <w:rPr>
          <w:rFonts w:ascii="Arial" w:cs="Arial" w:eastAsia="Arial" w:hAnsi="Arial"/>
          <w:sz w:val="16"/>
          <w:szCs w:val="16"/>
          <w:color w:val="auto"/>
        </w:rPr>
        <w:t>Comprehensive loss for the third quarters of 2011 and 2010 was $10.2 million and $241 million, respectively.</w:t>
      </w:r>
    </w:p>
    <w:p>
      <w:pPr>
        <w:spacing w:after="0" w:line="208"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(141,071)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(329,240)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14,670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210,590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Securities gains,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Losses and write downs on sales of other real estate owned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61,473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Gain from sale of subsidiary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Loss on sale of nonperforming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Loss on prepayment of borrowings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Other assets and accrued interest receivable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(35,735)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Mortgage loans held for sale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13,858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148,894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148,714</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securities held to maturity: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Proceeds from maturities and calls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52,520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81,384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Investment securities available for sale: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Proceeds from sales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106,603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Proceeds from maturities and calls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363,333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634,305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(1,000,378)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(544,793)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decrease in loans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106,341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65,570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loan sales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99,298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premises and equipment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cash received from sale of subsidiary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received from sale of nonperforming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70,951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110,459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(349,915)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441,532</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change in deposits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(463,867)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(625,437)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Net change in federal funds purchased, repurchase agreements, and other short-term</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borrowings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1,816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Repayments of Federal Home Loan Bank advances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Proceeds from issuance of common stock for dividend reinvestment and employee benefit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plans</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and preferred stock, net of offering costs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361,560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penalty on incomplete private equity transaction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dividends on preferred stock</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(7,785)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(149,216)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(689,593)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(350,237)</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(99,347)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649,457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376,367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299,220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277,020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89,359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(37,194)</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71"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71"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2010 annual report filed on Form 10-K.</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6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8"/>
          <w:szCs w:val="18"/>
          <w:i w:val="1"/>
          <w:iCs w:val="1"/>
          <w:color w:val="auto"/>
        </w:rPr>
        <w:t>Real Estate Sales</w:t>
      </w:r>
      <w:r>
        <w:rPr>
          <w:rFonts w:ascii="Arial" w:cs="Arial" w:eastAsia="Arial" w:hAnsi="Arial"/>
          <w:sz w:val="18"/>
          <w:szCs w:val="18"/>
          <w:color w:val="auto"/>
        </w:rPr>
        <w:t xml:space="preserve"> (“ASC 360-20”)</w:t>
      </w:r>
      <w:r>
        <w:rPr>
          <w:rFonts w:ascii="Arial" w:cs="Arial" w:eastAsia="Arial" w:hAnsi="Arial"/>
          <w:sz w:val="18"/>
          <w:szCs w:val="18"/>
          <w:i w:val="1"/>
          <w:iCs w:val="1"/>
          <w:color w:val="auto"/>
        </w:rPr>
        <w:t>.</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Accounting Standards Updates</w:t>
      </w:r>
    </w:p>
    <w:p>
      <w:pPr>
        <w:spacing w:after="0" w:line="18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 xml:space="preserve">In July 2011, the FASB issued Accounting Standards Update No. 2011-06, </w:t>
      </w:r>
      <w:r>
        <w:rPr>
          <w:rFonts w:ascii="Arial" w:cs="Arial" w:eastAsia="Arial" w:hAnsi="Arial"/>
          <w:sz w:val="17"/>
          <w:szCs w:val="17"/>
          <w:i w:val="1"/>
          <w:iCs w:val="1"/>
          <w:color w:val="auto"/>
        </w:rPr>
        <w:t>Fees Paid to the Federal Government by Health Insurers</w:t>
      </w:r>
      <w:r>
        <w:rPr>
          <w:rFonts w:ascii="Arial" w:cs="Arial" w:eastAsia="Arial" w:hAnsi="Arial"/>
          <w:sz w:val="17"/>
          <w:szCs w:val="17"/>
          <w:color w:val="auto"/>
        </w:rPr>
        <w:t xml:space="preserve"> (“ASU No. 2011-06”). ASU No. 2011-06 states that the liability for the annual fee for health insurers mandated by the Patient protection and Affordable Care Act as amended by the Health Care and Education Reconciliation Act, should be estimated and recorded in full once the entity provides qualifying health insurance. Along with the fee liability, a corresponding deferred cost should be recorded and amortized into expense, typically using a straight-line method. ASU No. 2011-06 is effective for calendar years beginning after December 31, 2013, and does not apply to United.</w:t>
      </w:r>
    </w:p>
    <w:p>
      <w:pPr>
        <w:spacing w:after="0" w:line="15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In July 2011, the FASB issued Accounting Standards Update No. 2011-07, </w:t>
      </w:r>
      <w:r>
        <w:rPr>
          <w:rFonts w:ascii="Arial" w:cs="Arial" w:eastAsia="Arial" w:hAnsi="Arial"/>
          <w:sz w:val="18"/>
          <w:szCs w:val="18"/>
          <w:i w:val="1"/>
          <w:iCs w:val="1"/>
          <w:color w:val="auto"/>
        </w:rPr>
        <w:t>Presentation and Disclosure of Patient Service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Provision for Bad Debts, and the Allowance for Doubtful Accounts for Certain Health Care Entities </w:t>
      </w:r>
      <w:r>
        <w:rPr>
          <w:rFonts w:ascii="Arial" w:cs="Arial" w:eastAsia="Arial" w:hAnsi="Arial"/>
          <w:sz w:val="18"/>
          <w:szCs w:val="18"/>
          <w:color w:val="auto"/>
        </w:rPr>
        <w:t>(“ASU No. 2011-07”).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2011-07 requires certain health care entities to change the presentation of their statement of operations by reclassifying the provision for bad debts associated with patient service revenue from an operating expense to a deduction from patient service revenue. Also, these entities are required to provide enhanced disclosure about their policies on recognizing revenue and assessing bad debts. The guidance is effective for fiscal years and interim periods within those fiscal years beginning after December 15, 2012, and does not apply to United.</w:t>
      </w:r>
    </w:p>
    <w:p>
      <w:pPr>
        <w:spacing w:after="0" w:line="149"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(“ASU No. 2011-08”). ASU No. 2011-08 allows an entity first to assess qualitatively whether it is necessary to perform step one of the two-step annual goodwill impairment test. An entity is required to perform step one only if the entity concludes that it is more likely than not that a reporting unit’s fair value is less than its carrying amount (that is, a likelihood of more than 50 percent). This amends the existing guidance, which required entities to perform step one of the test, at least annually, by calculating and comparing the fair value of a reporting unit to its carrying amount. The revised standard is effective for annual and interim goodwill impairment tests performed for fiscal years beginning after December 15, 2011. However, an entity can choose to early adopt the revised standard even if its annual test date is before September 15, 2011 (the date on which the revised standard was issued), provided that the entity has not yet issued its financial statements for the period that includes its annual test date. Since United has no goodwill balance, ASU No. 2011-08 will not currently have an impact on the Company’s financial position, results of operation, or disclosures.</w:t>
      </w:r>
    </w:p>
    <w:p>
      <w:pPr>
        <w:spacing w:after="0" w:line="12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In September 2011, the FASB issued Accounting Standards Update No. 2011-09, </w:t>
      </w:r>
      <w:r>
        <w:rPr>
          <w:rFonts w:ascii="Arial" w:cs="Arial" w:eastAsia="Arial" w:hAnsi="Arial"/>
          <w:sz w:val="18"/>
          <w:szCs w:val="18"/>
          <w:i w:val="1"/>
          <w:iCs w:val="1"/>
          <w:color w:val="auto"/>
        </w:rPr>
        <w:t>Disclosures about an Employer’s Participation in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(“ASU No. 2011-09”). ASU No. 2011-09 is intended to provide more information about an employer’s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to a multiemployer pension plan and, therefore help financial statement users better understand the financial health of all significant plans in which the employer participates. It is effective for public entities for fiscal years ending after December 15, 2011, with a one year deferral for non-public entities. United does not participate in a multiemployer plan, so this revised standard does not apply to the Company.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Mergers and Acquisitions</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June 19, 2009, United Community Bank (“UCB” or the “Bank”) purchased substantially all the assets and assumed substantially all the liabilities of Southern Community Bank (“SCB”) from the Federal Deposit Insurance Corporation (“FDIC”), as Receiver of SCB.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4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Under the loss sharing agreement, the portion of the losses expected to be indemnified by the FDIC is considered an indemnification asset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66"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Loans, foreclosed property and the estimated FDIC reimbursement resulting from the loss sharing agreements with the FDIC are reported as “Assets covered by loss sharing agreements with the FDIC” in the consolidated balance sheet.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shows the components of covered assets at September 30,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Impaired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2,485</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2,485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10,282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Residential mortgage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8,376</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8,562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23"/>
        </w:trPr>
        <w:tc>
          <w:tcPr>
            <w:tcW w:w="4280" w:type="dxa"/>
            <w:vAlign w:val="bottom"/>
          </w:tcPr>
          <w:p>
            <w:pPr>
              <w:ind w:left="200"/>
              <w:spacing w:after="0"/>
              <w:rPr>
                <w:sz w:val="20"/>
                <w:szCs w:val="20"/>
                <w:color w:val="auto"/>
              </w:rPr>
            </w:pPr>
            <w:r>
              <w:rPr>
                <w:rFonts w:ascii="Arial" w:cs="Arial" w:eastAsia="Arial" w:hAnsi="Arial"/>
                <w:sz w:val="18"/>
                <w:szCs w:val="18"/>
                <w:color w:val="auto"/>
              </w:rPr>
              <w:t>Total covered loans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57,833</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Covered foreclosed property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11,488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Estimated loss reimbursement from the FDIC</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14,302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14,302</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covered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55,870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83,623</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Securities</w:t>
      </w:r>
    </w:p>
    <w:p>
      <w:pPr>
        <w:spacing w:after="0" w:line="202"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and nine month periods ended September 30, 2011 and 2010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720" w:type="dxa"/>
            <w:vAlign w:val="bottom"/>
            <w:gridSpan w:val="2"/>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106,603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75,528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Gross gains on sales</w:t>
            </w: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566"/>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2,491</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1,169</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Impairment losses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gains on sales of securities</w:t>
            </w:r>
          </w:p>
        </w:tc>
        <w:tc>
          <w:tcPr>
            <w:tcW w:w="720" w:type="dxa"/>
            <w:vAlign w:val="bottom"/>
            <w:gridSpan w:val="2"/>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Income tax expense attributable to sales</w:t>
            </w: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Substantially all securities with a carrying value of $1.89 billion, $1.43 billion, and $1.26 billion were pledged to secure public deposits, FHLB advances and other secured borrowings at September 30, 2011, December 31, 2010 and September 30, 2010,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 xml:space="preserve">Securities are classified as held to maturity when management has the positive intent and ability to hold them until maturity. Securities held to maturity are carried at amortized cost. The amortized cost, gross unrealized gains and losses and fair value of securities held to maturity at September 30, 2011, December 31, 2010 and September 30, 2010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Amortized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Unrealized</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Cost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2011</w:t>
            </w:r>
          </w:p>
        </w:tc>
        <w:tc>
          <w:tcPr>
            <w:tcW w:w="1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53,884</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11,871</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310,119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353,739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369,020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As of December 31, 2010</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47,007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46,418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206,861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209,552</w:t>
            </w:r>
          </w:p>
        </w:tc>
        <w:tc>
          <w:tcPr>
            <w:tcW w:w="0" w:type="dxa"/>
            <w:vAlign w:val="bottom"/>
          </w:tcPr>
          <w:p>
            <w:pPr>
              <w:spacing w:after="0"/>
              <w:rPr>
                <w:sz w:val="1"/>
                <w:szCs w:val="1"/>
                <w:color w:val="auto"/>
              </w:rPr>
            </w:pPr>
          </w:p>
        </w:tc>
      </w:tr>
      <w:tr>
        <w:trPr>
          <w:trHeight w:val="223"/>
        </w:trPr>
        <w:tc>
          <w:tcPr>
            <w:tcW w:w="3500" w:type="dxa"/>
            <w:vAlign w:val="bottom"/>
          </w:tcPr>
          <w:p>
            <w:pPr>
              <w:ind w:left="40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32,023</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218,981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4,929</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223,904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256,694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263,012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pacing w:after="0" w:line="185"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September 30, 2011, December 31, 2010 and September 30, 2010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Amortized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Unrealized</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Cost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2011</w:t>
            </w:r>
          </w:p>
        </w:tc>
        <w:tc>
          <w:tcPr>
            <w:tcW w:w="1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33,597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33,706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26,831</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1,556,639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39,177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1,595,400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securities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8,424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110,642</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1,737,241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1,769,083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As of December 31, 2010</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98,480</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991,008</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Corporate securities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105,359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1,516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104,035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23"/>
        </w:trPr>
        <w:tc>
          <w:tcPr>
            <w:tcW w:w="3500" w:type="dxa"/>
            <w:vAlign w:val="bottom"/>
          </w:tcPr>
          <w:p>
            <w:pPr>
              <w:ind w:left="40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1,198,855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30,341</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1,224,417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127,989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128,703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30,637</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762,322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35,060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797,321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securities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94,405</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1,017,452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1,053,518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ectPr>
          <w:pgSz w:w="11900" w:h="16838" w:orient="portrait"/>
          <w:cols w:equalWidth="0" w:num="1">
            <w:col w:w="10219"/>
          </w:cols>
          <w:pgMar w:left="240" w:top="419" w:right="1440" w:bottom="1124"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24"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following table summarizes held to maturity securities in an unrealized loss position as of September 30, 2011, December 31, 2010 and September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ind w:left="100"/>
              <w:spacing w:after="0"/>
              <w:rPr>
                <w:sz w:val="20"/>
                <w:szCs w:val="20"/>
                <w:color w:val="auto"/>
              </w:rPr>
            </w:pPr>
            <w:r>
              <w:rPr>
                <w:rFonts w:ascii="Arial" w:cs="Arial" w:eastAsia="Arial" w:hAnsi="Arial"/>
                <w:sz w:val="18"/>
                <w:szCs w:val="18"/>
                <w:color w:val="auto"/>
              </w:rPr>
              <w:t>Less than 12 Months</w:t>
            </w:r>
          </w:p>
        </w:tc>
        <w:tc>
          <w:tcPr>
            <w:tcW w:w="140" w:type="dxa"/>
            <w:vAlign w:val="bottom"/>
          </w:tcPr>
          <w:p>
            <w:pPr>
              <w:spacing w:after="0"/>
              <w:rPr>
                <w:sz w:val="20"/>
                <w:szCs w:val="20"/>
                <w:color w:val="auto"/>
              </w:rPr>
            </w:pPr>
          </w:p>
        </w:tc>
        <w:tc>
          <w:tcPr>
            <w:tcW w:w="1600" w:type="dxa"/>
            <w:vAlign w:val="bottom"/>
            <w:gridSpan w:val="4"/>
          </w:tcPr>
          <w:p>
            <w:pPr>
              <w:ind w:left="120"/>
              <w:spacing w:after="0"/>
              <w:rPr>
                <w:sz w:val="20"/>
                <w:szCs w:val="20"/>
                <w:color w:val="auto"/>
              </w:rPr>
            </w:pPr>
            <w:r>
              <w:rPr>
                <w:rFonts w:ascii="Arial" w:cs="Arial" w:eastAsia="Arial" w:hAnsi="Arial"/>
                <w:sz w:val="18"/>
                <w:szCs w:val="18"/>
                <w:color w:val="auto"/>
                <w:w w:val="96"/>
              </w:rPr>
              <w:t>12 Months or More</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Fair</w:t>
            </w: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Fair</w:t>
            </w:r>
          </w:p>
        </w:tc>
        <w:tc>
          <w:tcPr>
            <w:tcW w:w="980" w:type="dxa"/>
            <w:vAlign w:val="bottom"/>
            <w:tcBorders>
              <w:top w:val="single" w:sz="8" w:color="auto"/>
            </w:tcBorders>
            <w:gridSpan w:val="3"/>
          </w:tcPr>
          <w:p>
            <w:pPr>
              <w:ind w:left="180"/>
              <w:spacing w:after="0" w:line="195" w:lineRule="exact"/>
              <w:rPr>
                <w:sz w:val="20"/>
                <w:szCs w:val="20"/>
                <w:color w:val="auto"/>
              </w:rPr>
            </w:pPr>
            <w:r>
              <w:rPr>
                <w:rFonts w:ascii="Arial" w:cs="Arial" w:eastAsia="Arial" w:hAnsi="Arial"/>
                <w:sz w:val="18"/>
                <w:szCs w:val="18"/>
                <w:color w:val="auto"/>
                <w:w w:val="90"/>
              </w:rPr>
              <w:t>Unrealized</w:t>
            </w: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Fair</w:t>
            </w:r>
          </w:p>
        </w:tc>
        <w:tc>
          <w:tcPr>
            <w:tcW w:w="1160" w:type="dxa"/>
            <w:vAlign w:val="bottom"/>
            <w:tcBorders>
              <w:top w:val="single" w:sz="8" w:color="auto"/>
            </w:tcBorders>
            <w:gridSpan w:val="3"/>
          </w:tcPr>
          <w:p>
            <w:pPr>
              <w:ind w:left="380"/>
              <w:spacing w:after="0" w:line="195" w:lineRule="exact"/>
              <w:rPr>
                <w:sz w:val="20"/>
                <w:szCs w:val="20"/>
                <w:color w:val="auto"/>
              </w:rPr>
            </w:pPr>
            <w:r>
              <w:rPr>
                <w:rFonts w:ascii="Arial" w:cs="Arial" w:eastAsia="Arial" w:hAnsi="Arial"/>
                <w:sz w:val="18"/>
                <w:szCs w:val="18"/>
                <w:color w:val="auto"/>
                <w:w w:val="88"/>
              </w:rPr>
              <w:t>Unrealized</w:t>
            </w:r>
          </w:p>
        </w:tc>
        <w:tc>
          <w:tcPr>
            <w:tcW w:w="100" w:type="dxa"/>
            <w:vAlign w:val="bottom"/>
          </w:tcPr>
          <w:p>
            <w:pPr>
              <w:spacing w:after="0"/>
              <w:rPr>
                <w:sz w:val="16"/>
                <w:szCs w:val="16"/>
                <w:color w:val="auto"/>
              </w:rPr>
            </w:pPr>
          </w:p>
        </w:tc>
      </w:t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Loss</w:t>
            </w:r>
          </w:p>
        </w:tc>
        <w:tc>
          <w:tcPr>
            <w:tcW w:w="14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20"/>
                <w:szCs w:val="20"/>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5"/>
              </w:rPr>
              <w:t>Value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Loss</w:t>
            </w: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2011</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9,828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23"/>
        </w:trPr>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28,949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28,949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1,964</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1,964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following table summarizes available for sale securities in an unrealized loss position as of September 30, 2011, December 31, 2010 and September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ind w:left="100"/>
              <w:spacing w:after="0"/>
              <w:rPr>
                <w:sz w:val="20"/>
                <w:szCs w:val="20"/>
                <w:color w:val="auto"/>
              </w:rPr>
            </w:pPr>
            <w:r>
              <w:rPr>
                <w:rFonts w:ascii="Arial" w:cs="Arial" w:eastAsia="Arial" w:hAnsi="Arial"/>
                <w:sz w:val="18"/>
                <w:szCs w:val="18"/>
                <w:color w:val="auto"/>
              </w:rPr>
              <w:t>Less than 12 Months</w:t>
            </w:r>
          </w:p>
        </w:tc>
        <w:tc>
          <w:tcPr>
            <w:tcW w:w="140" w:type="dxa"/>
            <w:vAlign w:val="bottom"/>
          </w:tcPr>
          <w:p>
            <w:pPr>
              <w:spacing w:after="0"/>
              <w:rPr>
                <w:sz w:val="20"/>
                <w:szCs w:val="20"/>
                <w:color w:val="auto"/>
              </w:rPr>
            </w:pPr>
          </w:p>
        </w:tc>
        <w:tc>
          <w:tcPr>
            <w:tcW w:w="2180" w:type="dxa"/>
            <w:vAlign w:val="bottom"/>
            <w:gridSpan w:val="6"/>
          </w:tcPr>
          <w:p>
            <w:pPr>
              <w:ind w:left="120"/>
              <w:spacing w:after="0"/>
              <w:rPr>
                <w:sz w:val="20"/>
                <w:szCs w:val="20"/>
                <w:color w:val="auto"/>
              </w:rPr>
            </w:pPr>
            <w:r>
              <w:rPr>
                <w:rFonts w:ascii="Arial" w:cs="Arial" w:eastAsia="Arial" w:hAnsi="Arial"/>
                <w:sz w:val="18"/>
                <w:szCs w:val="18"/>
                <w:color w:val="auto"/>
              </w:rPr>
              <w:t>12 Months or More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Fair</w:t>
            </w: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96"/>
              </w:rPr>
              <w:t>Fair</w:t>
            </w:r>
          </w:p>
        </w:tc>
        <w:tc>
          <w:tcPr>
            <w:tcW w:w="980" w:type="dxa"/>
            <w:vAlign w:val="bottom"/>
            <w:tcBorders>
              <w:top w:val="single" w:sz="8" w:color="auto"/>
            </w:tcBorders>
            <w:gridSpan w:val="3"/>
          </w:tcPr>
          <w:p>
            <w:pPr>
              <w:ind w:left="180"/>
              <w:spacing w:after="0" w:line="195" w:lineRule="exact"/>
              <w:rPr>
                <w:sz w:val="20"/>
                <w:szCs w:val="20"/>
                <w:color w:val="auto"/>
              </w:rPr>
            </w:pPr>
            <w:r>
              <w:rPr>
                <w:rFonts w:ascii="Arial" w:cs="Arial" w:eastAsia="Arial" w:hAnsi="Arial"/>
                <w:sz w:val="18"/>
                <w:szCs w:val="18"/>
                <w:color w:val="auto"/>
                <w:w w:val="90"/>
              </w:rPr>
              <w:t>Unrealized</w:t>
            </w: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Fair</w:t>
            </w:r>
          </w:p>
        </w:tc>
        <w:tc>
          <w:tcPr>
            <w:tcW w:w="1160" w:type="dxa"/>
            <w:vAlign w:val="bottom"/>
            <w:tcBorders>
              <w:top w:val="single" w:sz="8" w:color="auto"/>
            </w:tcBorders>
            <w:gridSpan w:val="3"/>
          </w:tcPr>
          <w:p>
            <w:pPr>
              <w:ind w:left="380"/>
              <w:spacing w:after="0" w:line="195" w:lineRule="exact"/>
              <w:rPr>
                <w:sz w:val="20"/>
                <w:szCs w:val="20"/>
                <w:color w:val="auto"/>
              </w:rPr>
            </w:pPr>
            <w:r>
              <w:rPr>
                <w:rFonts w:ascii="Arial" w:cs="Arial" w:eastAsia="Arial" w:hAnsi="Arial"/>
                <w:sz w:val="18"/>
                <w:szCs w:val="18"/>
                <w:color w:val="auto"/>
                <w:w w:val="88"/>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Loss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5"/>
              </w:rPr>
              <w:t>Value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Loss</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2011</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255,896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255,896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44,251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110,592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300,147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366,498</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8,844</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As of December 31, 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68,412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68,412</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59,505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69,985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69,985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198,984</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201,795</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59,864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59,864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75,661</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At September 30, 2011, there were 32 available for sale securities and 2 held to maturity securities that were in an unrealized loss position. United does not intend to sell nor believes it will be required to sell securities in an unrealized loss position prior to the recovery of their amortized cost basis. Unrealized losses at September 30, 2011 were primarily attributable to changes in interest rates.</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the nine months ended September 30, 2010, United recorded impairment losses of $950,000 on investments in financial institutions that showed evidence of other-than-temporary impairment. No impairment losses were identified in the first nine months of 2011.</w:t>
      </w:r>
    </w:p>
    <w:p>
      <w:pPr>
        <w:spacing w:after="0" w:line="13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amortized cost and fair value of held to maturity and available for sale securities at September 30, 2011,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6"/>
          </w:tcPr>
          <w:p>
            <w:pPr>
              <w:jc w:val="right"/>
              <w:ind w:right="940"/>
              <w:spacing w:after="0"/>
              <w:rPr>
                <w:sz w:val="20"/>
                <w:szCs w:val="20"/>
                <w:color w:val="auto"/>
              </w:rPr>
            </w:pPr>
            <w:r>
              <w:rPr>
                <w:rFonts w:ascii="Arial" w:cs="Arial" w:eastAsia="Arial" w:hAnsi="Arial"/>
                <w:sz w:val="18"/>
                <w:szCs w:val="18"/>
                <w:color w:val="auto"/>
              </w:rPr>
              <w:t>Available for Sale</w:t>
            </w:r>
          </w:p>
        </w:tc>
        <w:tc>
          <w:tcPr>
            <w:tcW w:w="320" w:type="dxa"/>
            <w:vAlign w:val="bottom"/>
          </w:tcPr>
          <w:p>
            <w:pPr>
              <w:spacing w:after="0"/>
              <w:rPr>
                <w:sz w:val="20"/>
                <w:szCs w:val="20"/>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8"/>
                <w:szCs w:val="18"/>
                <w:color w:val="auto"/>
              </w:rPr>
              <w:t>Held to Maturity</w:t>
            </w:r>
          </w:p>
        </w:tc>
      </w:tr>
      <w:tr>
        <w:trPr>
          <w:trHeight w:val="210"/>
        </w:trPr>
        <w:tc>
          <w:tcPr>
            <w:tcW w:w="4320" w:type="dxa"/>
            <w:vAlign w:val="bottom"/>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Fair Value</w:t>
            </w:r>
          </w:p>
        </w:tc>
        <w:tc>
          <w:tcPr>
            <w:tcW w:w="360" w:type="dxa"/>
            <w:vAlign w:val="bottom"/>
          </w:tcPr>
          <w:p>
            <w:pPr>
              <w:spacing w:after="0"/>
              <w:rPr>
                <w:sz w:val="18"/>
                <w:szCs w:val="18"/>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Amortized Cost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25,047</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8,659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r>
      <w:tr>
        <w:trPr>
          <w:trHeight w:val="223"/>
        </w:trPr>
        <w:tc>
          <w:tcPr>
            <w:tcW w:w="4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33,706</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4,398</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15,198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6,344</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21,132</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27,671</w:t>
            </w:r>
          </w:p>
        </w:tc>
      </w:tr>
      <w:tr>
        <w:trPr>
          <w:trHeight w:val="223"/>
        </w:trPr>
        <w:tc>
          <w:tcPr>
            <w:tcW w:w="4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26,831</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53,884</w:t>
            </w:r>
          </w:p>
        </w:tc>
        <w:tc>
          <w:tcPr>
            <w:tcW w:w="10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18,549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16,848</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99,517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93,494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119,066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110,642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securities other than mortgage-backed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4,398</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32,046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130,456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124,885</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21,132</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12,354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32,688</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1,556,639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1,595,400</w:t>
            </w:r>
          </w:p>
        </w:tc>
        <w:tc>
          <w:tcPr>
            <w:tcW w:w="32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298,554</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310,119</w:t>
            </w:r>
          </w:p>
        </w:tc>
      </w:tr>
      <w:tr>
        <w:trPr>
          <w:trHeight w:val="223"/>
        </w:trPr>
        <w:tc>
          <w:tcPr>
            <w:tcW w:w="4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1,737,241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1,769,083</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353,739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369,020</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189"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 xml:space="preserve">Major classifications of loans as of September 30, 2011, December 31, 2010 and September 30, 2010, are summarized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1,771,101</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1,761,424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1,781,271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168,531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296,582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309,519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429,043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441,518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456,368</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2,368,675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7"/>
              </w:rPr>
              <w:t>2,499,524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2,547,158</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474,552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695,166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763,424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1,149,678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1,278,780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1,315,994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116,970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132,928</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4,109,875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7"/>
              </w:rPr>
              <w:t>4,604,126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4,759,504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146,092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174,695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174,613</w:t>
            </w:r>
          </w:p>
        </w:tc>
      </w:tr>
      <w:tr>
        <w:trPr>
          <w:trHeight w:val="223"/>
        </w:trPr>
        <w:tc>
          <w:tcPr>
            <w:tcW w:w="564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3,963,783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7"/>
              </w:rPr>
              <w:t>4,429,431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4,584,891</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80"/>
        <w:spacing w:after="0" w:line="259" w:lineRule="auto"/>
        <w:rPr>
          <w:sz w:val="20"/>
          <w:szCs w:val="20"/>
          <w:color w:val="auto"/>
        </w:rPr>
      </w:pPr>
      <w:r>
        <w:rPr>
          <w:rFonts w:ascii="Arial" w:cs="Arial" w:eastAsia="Arial" w:hAnsi="Arial"/>
          <w:sz w:val="18"/>
          <w:szCs w:val="18"/>
          <w:color w:val="auto"/>
        </w:rPr>
        <w:t>The Bank makes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60"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 xml:space="preserve">Changes in the allowance for loan losses for the three and nine months ended September 30, 2011 and 2010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127,638</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174,111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174,695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155,602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50,500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237,000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14,343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54,410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27,070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5,832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7,776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106,692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111,632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6,399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8,043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47,742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19,435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installment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270,025</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175,281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installment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49,998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265,603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167,989</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174,613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146,092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174,613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At September 30, 2011, December 31, 2010 and September 30, 2010, loans with a carrying value of $1.37 billion, $1.02 billion and $1.10 billion were pledged as collateral to secure FHLB advances and other contingent funding sources.</w:t>
      </w:r>
    </w:p>
    <w:p>
      <w:pPr>
        <w:spacing w:after="0" w:line="13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table presents the balance and activity in the allowance for loan losses by portfolio segment and the recorded investment in loans by portfolio segment based on the impairment method as of September 30, 2011, December 31, 2010 and September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Commercial</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(Commercial</w:t>
            </w: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2"/>
                <w:szCs w:val="12"/>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(Secured by</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Unallocated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Real Estate)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Industrial)</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Construction</w:t>
            </w:r>
          </w:p>
        </w:tc>
        <w:tc>
          <w:tcPr>
            <w:tcW w:w="10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Mortgage</w:t>
            </w:r>
          </w:p>
        </w:tc>
        <w:tc>
          <w:tcPr>
            <w:tcW w:w="9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Installment</w:t>
            </w:r>
          </w:p>
        </w:tc>
        <w:tc>
          <w:tcPr>
            <w:tcW w:w="10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8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Nine Months Ended</w:t>
            </w: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September 30, 2011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Allowance for loan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31,191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7,580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92,571</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22,305</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3,030</w:t>
            </w:r>
          </w:p>
        </w:tc>
        <w:tc>
          <w:tcPr>
            <w:tcW w:w="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11,238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Charge-offs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(54,410)</w:t>
            </w: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(52,400)</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(5,832)</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(106,692)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(47,742)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(2,949)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(270,025)</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Recoveries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849</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4,422</w:t>
            </w: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48,344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54,133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20,174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57,842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53,786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1,296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237,000</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25,477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8,704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22,771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45,265</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29,009</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2,203</w:t>
            </w:r>
          </w:p>
        </w:tc>
        <w:tc>
          <w:tcPr>
            <w:tcW w:w="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12,663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146,092</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color w:val="auto"/>
              </w:rPr>
              <w:t>Ending allowance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attributable to loans: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Individually evaluated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for impairment</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4,038</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17,067</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7,267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33,541</w:t>
            </w: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Collectively evaluated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400"/>
              <w:spacing w:after="0"/>
              <w:rPr>
                <w:sz w:val="20"/>
                <w:szCs w:val="20"/>
                <w:color w:val="auto"/>
              </w:rPr>
            </w:pPr>
            <w:r>
              <w:rPr>
                <w:rFonts w:ascii="Arial" w:cs="Arial" w:eastAsia="Arial" w:hAnsi="Arial"/>
                <w:sz w:val="14"/>
                <w:szCs w:val="14"/>
                <w:color w:val="auto"/>
              </w:rPr>
              <w:t>for impairment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21,407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4,666</w:t>
            </w:r>
          </w:p>
        </w:tc>
        <w:tc>
          <w:tcPr>
            <w:tcW w:w="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5,704</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37,998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27,947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12,663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112,551</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ending</w:t>
            </w: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allowance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balance</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25,477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8,704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22,771</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45,265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29,009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2,203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146,092</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Individually evaluated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for impairment</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54,126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23,844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52,433</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44,189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8,043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182,730</w:t>
            </w: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Collectively evaluated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400"/>
              <w:spacing w:after="0"/>
              <w:rPr>
                <w:sz w:val="20"/>
                <w:szCs w:val="20"/>
                <w:color w:val="auto"/>
              </w:rPr>
            </w:pPr>
            <w:r>
              <w:rPr>
                <w:rFonts w:ascii="Arial" w:cs="Arial" w:eastAsia="Arial" w:hAnsi="Arial"/>
                <w:sz w:val="14"/>
                <w:szCs w:val="14"/>
                <w:color w:val="auto"/>
              </w:rPr>
              <w:t>for impairment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1,716,975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144,687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376,610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430,363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1,141,635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116,875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3,927,145</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1,771,101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168,531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429,043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474,552</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1,149,678</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116,970</w:t>
            </w:r>
          </w:p>
        </w:tc>
        <w:tc>
          <w:tcPr>
            <w:tcW w:w="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4,109,875</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line="130" w:lineRule="exact"/>
              <w:rPr>
                <w:sz w:val="20"/>
                <w:szCs w:val="20"/>
                <w:color w:val="auto"/>
              </w:rPr>
            </w:pPr>
            <w:r>
              <w:rPr>
                <w:rFonts w:ascii="Arial" w:cs="Arial" w:eastAsia="Arial" w:hAnsi="Arial"/>
                <w:sz w:val="14"/>
                <w:szCs w:val="14"/>
                <w:color w:val="auto"/>
              </w:rPr>
              <w:t>Ending allowance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attributable to loans: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Individually evaluated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for impairment</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Collectively evaluated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400"/>
              <w:spacing w:after="0"/>
              <w:rPr>
                <w:sz w:val="20"/>
                <w:szCs w:val="20"/>
                <w:color w:val="auto"/>
              </w:rPr>
            </w:pPr>
            <w:r>
              <w:rPr>
                <w:rFonts w:ascii="Arial" w:cs="Arial" w:eastAsia="Arial" w:hAnsi="Arial"/>
                <w:sz w:val="14"/>
                <w:szCs w:val="14"/>
                <w:color w:val="auto"/>
              </w:rPr>
              <w:t>for impairment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30,923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6,780</w:t>
            </w:r>
          </w:p>
        </w:tc>
        <w:tc>
          <w:tcPr>
            <w:tcW w:w="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7,580</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91,927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22,168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11,238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173,646</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ending</w:t>
            </w: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allowance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balance</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31,191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6,780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7,580</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92,571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22,305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3,030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Individually evaluated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for impairment</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41,818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20,311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5,874</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39,505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15,468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122,976</w:t>
            </w: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Collectively evaluated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400"/>
              <w:spacing w:after="0"/>
              <w:rPr>
                <w:sz w:val="20"/>
                <w:szCs w:val="20"/>
                <w:color w:val="auto"/>
              </w:rPr>
            </w:pPr>
            <w:r>
              <w:rPr>
                <w:rFonts w:ascii="Arial" w:cs="Arial" w:eastAsia="Arial" w:hAnsi="Arial"/>
                <w:sz w:val="14"/>
                <w:szCs w:val="14"/>
                <w:color w:val="auto"/>
              </w:rPr>
              <w:t>for impairment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1,719,606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276,271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435,644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655,661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1,263,312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130,656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4,481,150</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1,761,424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296,582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441,518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695,166</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1,278,780</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130,656</w:t>
            </w:r>
          </w:p>
        </w:tc>
        <w:tc>
          <w:tcPr>
            <w:tcW w:w="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4,604,126</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78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780" w:type="dxa"/>
            <w:vAlign w:val="bottom"/>
          </w:tcPr>
          <w:p>
            <w:pPr>
              <w:ind w:left="200"/>
              <w:spacing w:after="0"/>
              <w:rPr>
                <w:sz w:val="20"/>
                <w:szCs w:val="20"/>
                <w:color w:val="auto"/>
              </w:rPr>
            </w:pPr>
            <w:r>
              <w:rPr>
                <w:rFonts w:ascii="Arial" w:cs="Arial" w:eastAsia="Arial" w:hAnsi="Arial"/>
                <w:sz w:val="14"/>
                <w:szCs w:val="14"/>
                <w:b w:val="1"/>
                <w:bCs w:val="1"/>
                <w:color w:val="auto"/>
              </w:rPr>
              <w:t>September 30, 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19,208</w:t>
            </w:r>
          </w:p>
        </w:tc>
        <w:tc>
          <w:tcPr>
            <w:tcW w:w="2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5,861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6,892</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93,585</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17,266</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2,545</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10,245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155,602</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Charge-offs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(27,070)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(5,660)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(7,776)</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(111,632)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(19,435)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(3,708)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(175,281)</w:t>
            </w: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Recoveries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1,592</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7,292</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30,412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7,764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7,667</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116,913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187,000</w:t>
            </w:r>
          </w:p>
        </w:tc>
        <w:tc>
          <w:tcPr>
            <w:tcW w:w="0" w:type="dxa"/>
            <w:vAlign w:val="bottom"/>
          </w:tcPr>
          <w:p>
            <w:pPr>
              <w:spacing w:after="0"/>
              <w:rPr>
                <w:sz w:val="1"/>
                <w:szCs w:val="1"/>
                <w:color w:val="auto"/>
              </w:rPr>
            </w:pPr>
          </w:p>
        </w:tc>
      </w:tr>
      <w:tr>
        <w:trPr>
          <w:trHeight w:val="156"/>
        </w:trPr>
        <w:tc>
          <w:tcPr>
            <w:tcW w:w="178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23,687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7,987</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8,375</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101,949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19,897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174,613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allowance</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attributable to loans: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Individually evaluated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400"/>
              <w:spacing w:after="0"/>
              <w:rPr>
                <w:sz w:val="20"/>
                <w:szCs w:val="20"/>
                <w:color w:val="auto"/>
              </w:rPr>
            </w:pPr>
            <w:r>
              <w:rPr>
                <w:rFonts w:ascii="Arial" w:cs="Arial" w:eastAsia="Arial" w:hAnsi="Arial"/>
                <w:sz w:val="14"/>
                <w:szCs w:val="14"/>
                <w:color w:val="auto"/>
              </w:rPr>
              <w:t>for impairment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578</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653</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20</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Collectively evaluated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for impairment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23,672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7,409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8,375</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101,296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3,032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9,686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173,347</w:t>
            </w:r>
          </w:p>
        </w:tc>
        <w:tc>
          <w:tcPr>
            <w:tcW w:w="0" w:type="dxa"/>
            <w:vAlign w:val="bottom"/>
          </w:tcPr>
          <w:p>
            <w:pPr>
              <w:spacing w:after="0"/>
              <w:rPr>
                <w:sz w:val="1"/>
                <w:szCs w:val="1"/>
                <w:color w:val="auto"/>
              </w:rPr>
            </w:pPr>
          </w:p>
        </w:tc>
      </w:tr>
      <w:tr>
        <w:trPr>
          <w:trHeight w:val="137"/>
        </w:trPr>
        <w:tc>
          <w:tcPr>
            <w:tcW w:w="1780" w:type="dxa"/>
            <w:vAlign w:val="bottom"/>
          </w:tcPr>
          <w:p>
            <w:pPr>
              <w:ind w:left="400"/>
              <w:spacing w:after="0" w:line="137" w:lineRule="exact"/>
              <w:rPr>
                <w:sz w:val="20"/>
                <w:szCs w:val="20"/>
                <w:color w:val="auto"/>
              </w:rPr>
            </w:pPr>
            <w:r>
              <w:rPr>
                <w:rFonts w:ascii="Arial" w:cs="Arial" w:eastAsia="Arial" w:hAnsi="Arial"/>
                <w:sz w:val="14"/>
                <w:szCs w:val="14"/>
                <w:color w:val="auto"/>
              </w:rPr>
              <w:t>Total ending</w:t>
            </w: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600"/>
              <w:spacing w:after="0" w:line="149" w:lineRule="exact"/>
              <w:rPr>
                <w:sz w:val="20"/>
                <w:szCs w:val="20"/>
                <w:color w:val="auto"/>
              </w:rPr>
            </w:pPr>
            <w:r>
              <w:rPr>
                <w:rFonts w:ascii="Arial" w:cs="Arial" w:eastAsia="Arial" w:hAnsi="Arial"/>
                <w:sz w:val="14"/>
                <w:szCs w:val="14"/>
                <w:color w:val="auto"/>
              </w:rPr>
              <w:t>allowance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600"/>
              <w:spacing w:after="0"/>
              <w:rPr>
                <w:sz w:val="20"/>
                <w:szCs w:val="20"/>
                <w:color w:val="auto"/>
              </w:rPr>
            </w:pPr>
            <w:r>
              <w:rPr>
                <w:rFonts w:ascii="Arial" w:cs="Arial" w:eastAsia="Arial" w:hAnsi="Arial"/>
                <w:sz w:val="14"/>
                <w:szCs w:val="14"/>
                <w:color w:val="auto"/>
              </w:rPr>
              <w:t>balance</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23,687</w:t>
            </w:r>
          </w:p>
        </w:tc>
        <w:tc>
          <w:tcPr>
            <w:tcW w:w="2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7,987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8,375</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101,949</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19,897</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3,032</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9,686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174,613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Loans: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Individually evaluated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400"/>
              <w:spacing w:after="0"/>
              <w:rPr>
                <w:sz w:val="20"/>
                <w:szCs w:val="20"/>
                <w:color w:val="auto"/>
              </w:rPr>
            </w:pPr>
            <w:r>
              <w:rPr>
                <w:rFonts w:ascii="Arial" w:cs="Arial" w:eastAsia="Arial" w:hAnsi="Arial"/>
                <w:sz w:val="14"/>
                <w:szCs w:val="14"/>
                <w:color w:val="auto"/>
              </w:rPr>
              <w:t>for impairment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47,880</w:t>
            </w:r>
          </w:p>
        </w:tc>
        <w:tc>
          <w:tcPr>
            <w:tcW w:w="2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15,156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8,182</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60,691</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25,067</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156,976</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Collectively evaluated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for impairment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1,733,391</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294,363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448,186</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702,733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1,290,927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132,928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4,602,528</w:t>
            </w:r>
          </w:p>
        </w:tc>
        <w:tc>
          <w:tcPr>
            <w:tcW w:w="0" w:type="dxa"/>
            <w:vAlign w:val="bottom"/>
          </w:tcPr>
          <w:p>
            <w:pPr>
              <w:spacing w:after="0"/>
              <w:rPr>
                <w:sz w:val="1"/>
                <w:szCs w:val="1"/>
                <w:color w:val="auto"/>
              </w:rPr>
            </w:pPr>
          </w:p>
        </w:tc>
      </w:tr>
      <w:tr>
        <w:trPr>
          <w:trHeight w:val="156"/>
        </w:trPr>
        <w:tc>
          <w:tcPr>
            <w:tcW w:w="1780" w:type="dxa"/>
            <w:vAlign w:val="bottom"/>
          </w:tcPr>
          <w:p>
            <w:pPr>
              <w:ind w:left="400"/>
              <w:spacing w:after="0" w:line="155" w:lineRule="exact"/>
              <w:rPr>
                <w:sz w:val="20"/>
                <w:szCs w:val="20"/>
                <w:color w:val="auto"/>
              </w:rPr>
            </w:pPr>
            <w:r>
              <w:rPr>
                <w:rFonts w:ascii="Arial" w:cs="Arial" w:eastAsia="Arial" w:hAnsi="Arial"/>
                <w:sz w:val="14"/>
                <w:szCs w:val="14"/>
                <w:color w:val="auto"/>
              </w:rPr>
              <w:t>Total loans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1,781,271</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309,519</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456,368</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763,424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1,315,994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132,928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4,759,504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United reviews all loans that are on nonaccrual with a balance of $500,000 or greater for impairment. A loan is considered impaired when, based on current events and circumstances, it is probable that all amounts due, according to the contractual terms of the loan, will not be collected. All troubled debt restructurings are considered impaired regardless of accrual status. Impaired loans are measured based on the present value of expected future cash flows, discounted at the loan’s effective interest rate, at the loan’s observable market price, or the fair value of the collateral if the loan is collateral dependent. Interest payments received on impaired nonaccrual loans are applied as a reduction of the outstanding principal balance. Impairment amounts calculated for nonaccrual collateral-dependent loans $500,000 and greater are recorded quarterly. Specific reserves are recorded in the allowance for loan losses for impairment amounts calculated on nonaccrual, non-collateral-dependent loans $500,000 and greater, and all accruing troubled debt restructured loans.</w:t>
      </w:r>
    </w:p>
    <w:p>
      <w:pPr>
        <w:sectPr>
          <w:pgSz w:w="11900" w:h="16838" w:orient="portrait"/>
          <w:cols w:equalWidth="0" w:num="1">
            <w:col w:w="10219"/>
          </w:cols>
          <w:pgMar w:left="240" w:top="419" w:right="1440" w:bottom="261" w:gutter="0" w:footer="0" w:header="0"/>
        </w:sectPr>
      </w:pPr>
    </w:p>
    <w:bookmarkStart w:id="15" w:name="page16"/>
    <w:bookmarkEnd w:id="15"/>
    <w:p>
      <w:pPr>
        <w:ind w:left="39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the first quarter 2011, United’s Board of Directors adopted an accelerated problem asset disposition plan which included the bulk sale of $267 million in classified loans. Those loans were classified as held for sale at the end of the first quarter and were written down to the expected proceeds from the sale. The charge-offs on the loans transferred to held for sale in anticipation of the bulk loan sale which closed on April 18, 2011, increased first quarter 2011 loan charge-offs by $186 million. The actual loss on the bulk loan sale at closing was less than the amount charged-off in the first quarter, resulting in a $7.27 million reduction of second quarter 2011 charge-offs.</w:t>
      </w:r>
    </w:p>
    <w:p>
      <w:pPr>
        <w:spacing w:after="0" w:line="153"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recorded investments in individually evaluated impaired loans at September 30, 2011, December 31, 2010 and September 30, 2010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5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Period-end loans with no allocated allowance for loan losses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66,636</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115,338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149,865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Period-end loans with allocated allowance for loan losses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116,094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7,638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r>
      <w:tr>
        <w:trPr>
          <w:trHeight w:val="27"/>
        </w:trPr>
        <w:tc>
          <w:tcPr>
            <w:tcW w:w="5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122,976</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156,976</w:t>
            </w: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640" w:type="dxa"/>
            <w:vAlign w:val="bottom"/>
          </w:tcPr>
          <w:p>
            <w:pPr>
              <w:spacing w:after="0"/>
              <w:rPr>
                <w:sz w:val="20"/>
                <w:szCs w:val="20"/>
                <w:color w:val="auto"/>
              </w:rPr>
            </w:pPr>
            <w:r>
              <w:rPr>
                <w:rFonts w:ascii="Arial" w:cs="Arial" w:eastAsia="Arial" w:hAnsi="Arial"/>
                <w:sz w:val="18"/>
                <w:szCs w:val="18"/>
                <w:color w:val="auto"/>
              </w:rPr>
              <w:t>Amount of allowance for loan losses allocated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33,541</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r>
    </w:tbl>
    <w:p>
      <w:pPr>
        <w:spacing w:after="0" w:line="16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average balances of impaired loans and income recognized on impaired loans while they were considered impaired is presented below for the three and nine months ended September 30, 2011 and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Average balance of individually evaluated impaired loans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period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109,164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159,271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81,031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180,531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income recognized during impairment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Cash-basis interest income recognized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September 30, 2011, December 31, 2010 and September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September 30, 2011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December 31, 2010</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w w:val="91"/>
              </w:rPr>
              <w:t>September 30, 2010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Unpaid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Allowance</w:t>
            </w:r>
          </w:p>
        </w:tc>
        <w:tc>
          <w:tcPr>
            <w:tcW w:w="260" w:type="dxa"/>
            <w:vAlign w:val="bottom"/>
          </w:tcPr>
          <w:p>
            <w:pPr>
              <w:spacing w:after="0"/>
              <w:rPr>
                <w:sz w:val="10"/>
                <w:szCs w:val="10"/>
                <w:color w:val="auto"/>
              </w:rPr>
            </w:pP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Unpaid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Allowance</w:t>
            </w:r>
          </w:p>
        </w:tc>
        <w:tc>
          <w:tcPr>
            <w:tcW w:w="280" w:type="dxa"/>
            <w:vAlign w:val="bottom"/>
          </w:tcPr>
          <w:p>
            <w:pPr>
              <w:spacing w:after="0"/>
              <w:rPr>
                <w:sz w:val="10"/>
                <w:szCs w:val="10"/>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Unpaid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Allowance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Recorded</w:t>
            </w: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for Loan</w:t>
            </w:r>
          </w:p>
        </w:tc>
        <w:tc>
          <w:tcPr>
            <w:tcW w:w="6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Recorded</w:t>
            </w: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 Loan</w:t>
            </w:r>
          </w:p>
        </w:tc>
        <w:tc>
          <w:tcPr>
            <w:tcW w:w="6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Recorded</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 Loan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Losses</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Losses</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Balance</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Allocated</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Balance</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Investment</w:t>
            </w: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Allocated</w:t>
            </w: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Investment</w:t>
            </w: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Allocated</w:t>
            </w:r>
          </w:p>
        </w:tc>
        <w:tc>
          <w:tcPr>
            <w:tcW w:w="0" w:type="dxa"/>
            <w:vAlign w:val="bottom"/>
          </w:tcPr>
          <w:p>
            <w:pPr>
              <w:spacing w:after="0"/>
              <w:rPr>
                <w:sz w:val="1"/>
                <w:szCs w:val="1"/>
                <w:color w:val="auto"/>
              </w:rPr>
            </w:pPr>
          </w:p>
        </w:tc>
      </w:tr>
      <w:tr>
        <w:trPr>
          <w:trHeight w:val="123"/>
        </w:trPr>
        <w:tc>
          <w:tcPr>
            <w:tcW w:w="17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With no related allowance</w:t>
            </w: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recorded:</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Commercial (secured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by real estate)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45,242</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38,242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60,238</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39,588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64,951</w:t>
            </w: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46,179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construction</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6,803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6,309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33,898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20,311</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27,876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13,041</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400"/>
              <w:spacing w:after="0" w:line="149" w:lineRule="exact"/>
              <w:rPr>
                <w:sz w:val="20"/>
                <w:szCs w:val="20"/>
                <w:color w:val="auto"/>
              </w:rPr>
            </w:pPr>
            <w:r>
              <w:rPr>
                <w:rFonts w:ascii="Arial" w:cs="Arial" w:eastAsia="Arial" w:hAnsi="Arial"/>
                <w:sz w:val="14"/>
                <w:szCs w:val="14"/>
                <w:color w:val="auto"/>
              </w:rPr>
              <w:t>(commercial and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industrial)</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10,115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12,078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8,182</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commercial</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52,093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44,599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104,251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65,773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104,905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67,402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Residential</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construction</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31,646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16,421</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59,502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34,597</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97,152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57,907</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7,745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5,588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21,528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14,968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33,413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24,556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3"/>
                <w:szCs w:val="13"/>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with no</w:t>
            </w: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related</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allowance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recorded</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91,512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66,636</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0"/>
              </w:rPr>
              <w:t>185,281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115,338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235,470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149,865</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4"/>
                <w:szCs w:val="14"/>
                <w:color w:val="auto"/>
              </w:rPr>
              <w:t>With an allowance</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0"/>
              <w:spacing w:after="0"/>
              <w:rPr>
                <w:sz w:val="20"/>
                <w:szCs w:val="20"/>
                <w:color w:val="auto"/>
              </w:rPr>
            </w:pPr>
            <w:r>
              <w:rPr>
                <w:rFonts w:ascii="Arial" w:cs="Arial" w:eastAsia="Arial" w:hAnsi="Arial"/>
                <w:sz w:val="14"/>
                <w:szCs w:val="14"/>
                <w:color w:val="auto"/>
              </w:rPr>
              <w:t>recorded: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Commercial (secured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by real estate)</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16,173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15,884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2,230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2,230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2,283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1,701</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construction</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17,850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17,535</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4,038</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2,115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2,115</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(commercial and</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industrial)</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54,259</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52,385</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17,067</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400"/>
              <w:spacing w:after="0" w:line="155" w:lineRule="exact"/>
              <w:rPr>
                <w:sz w:val="20"/>
                <w:szCs w:val="20"/>
                <w:color w:val="auto"/>
              </w:rPr>
            </w:pPr>
            <w:r>
              <w:rPr>
                <w:rFonts w:ascii="Arial" w:cs="Arial" w:eastAsia="Arial" w:hAnsi="Arial"/>
                <w:sz w:val="14"/>
                <w:szCs w:val="14"/>
                <w:color w:val="auto"/>
              </w:rPr>
              <w:t>Total commercial</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88,282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85,804</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25,175</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2,230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2,230</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268</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4,398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3,816</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Residential</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construction</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28,428</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27,768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7,267</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14,480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4,908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4,500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2,784</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49"/>
        </w:trPr>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2,455</w:t>
            </w: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1,062</w:t>
            </w: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137</w:t>
            </w: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760" w:type="dxa"/>
            <w:vAlign w:val="bottom"/>
          </w:tcPr>
          <w:p>
            <w:pPr>
              <w:ind w:left="400"/>
              <w:spacing w:after="0" w:line="137" w:lineRule="exact"/>
              <w:rPr>
                <w:sz w:val="20"/>
                <w:szCs w:val="20"/>
                <w:color w:val="auto"/>
              </w:rPr>
            </w:pPr>
            <w:r>
              <w:rPr>
                <w:rFonts w:ascii="Arial" w:cs="Arial" w:eastAsia="Arial" w:hAnsi="Arial"/>
                <w:sz w:val="14"/>
                <w:szCs w:val="14"/>
                <w:color w:val="auto"/>
              </w:rPr>
              <w:t>Total with an</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600"/>
              <w:spacing w:after="0" w:line="149" w:lineRule="exact"/>
              <w:rPr>
                <w:sz w:val="20"/>
                <w:szCs w:val="20"/>
                <w:color w:val="auto"/>
              </w:rPr>
            </w:pPr>
            <w:r>
              <w:rPr>
                <w:rFonts w:ascii="Arial" w:cs="Arial" w:eastAsia="Arial" w:hAnsi="Arial"/>
                <w:sz w:val="14"/>
                <w:szCs w:val="14"/>
                <w:color w:val="auto"/>
              </w:rPr>
              <w:t>allowance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600"/>
              <w:spacing w:after="0"/>
              <w:rPr>
                <w:sz w:val="20"/>
                <w:szCs w:val="20"/>
                <w:color w:val="auto"/>
              </w:rPr>
            </w:pPr>
            <w:r>
              <w:rPr>
                <w:rFonts w:ascii="Arial" w:cs="Arial" w:eastAsia="Arial" w:hAnsi="Arial"/>
                <w:sz w:val="14"/>
                <w:szCs w:val="14"/>
                <w:color w:val="auto"/>
              </w:rPr>
              <w:t>recorded</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119,232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116,094</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33,541</w:t>
            </w:r>
          </w:p>
        </w:tc>
        <w:tc>
          <w:tcPr>
            <w:tcW w:w="1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17,210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7,638</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9,409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7,111</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210,744</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182,730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33,541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202,491</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122,976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244,879</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156,976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9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9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There were no loans more than 90 days past due and still accruing interest at September 30, 2011, December 31, 2010 or September 30, 2010. Nonaccrual loans at September 30, 2011, December 31, 2010 and September 30, 2010 were $144 million, $179 million and $218 million, respectively. Nonaccrual loans include both smaller balance homogeneous loans that are collectively evaluated for impairment and individually evaluated impaired loans with larger balances.</w:t>
      </w:r>
    </w:p>
    <w:p>
      <w:pPr>
        <w:spacing w:after="0" w:line="146"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September 30, 2011, December 31, 2010 and September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2"/>
              </w:rPr>
              <w:t>Nonaccrual Loans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44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720" w:type="dxa"/>
            <w:vAlign w:val="bottom"/>
            <w:gridSpan w:val="4"/>
          </w:tcPr>
          <w:p>
            <w:pPr>
              <w:ind w:left="240"/>
              <w:spacing w:after="0" w:line="191" w:lineRule="exact"/>
              <w:rPr>
                <w:sz w:val="20"/>
                <w:szCs w:val="20"/>
                <w:color w:val="auto"/>
              </w:rPr>
            </w:pPr>
            <w:r>
              <w:rPr>
                <w:rFonts w:ascii="Arial" w:cs="Arial" w:eastAsia="Arial" w:hAnsi="Arial"/>
                <w:sz w:val="18"/>
                <w:szCs w:val="18"/>
                <w:b w:val="1"/>
                <w:bCs w:val="1"/>
                <w:color w:val="auto"/>
              </w:rPr>
              <w:t>December 31,</w:t>
            </w: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0"/>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21,998</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44,927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53,646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11,370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21,374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17,279</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53,009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7,670</w:t>
            </w:r>
          </w:p>
        </w:tc>
      </w:tr>
      <w:tr>
        <w:trPr>
          <w:trHeight w:val="223"/>
        </w:trPr>
        <w:tc>
          <w:tcPr>
            <w:tcW w:w="54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71,912</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78,595</w:t>
            </w:r>
          </w:p>
        </w:tc>
        <w:tc>
          <w:tcPr>
            <w:tcW w:w="160" w:type="dxa"/>
            <w:vAlign w:val="bottom"/>
          </w:tcPr>
          <w:p>
            <w:pPr>
              <w:spacing w:after="0"/>
              <w:rPr>
                <w:sz w:val="19"/>
                <w:szCs w:val="19"/>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79,321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22,671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51,083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58,107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1,743</w:t>
            </w:r>
          </w:p>
        </w:tc>
      </w:tr>
      <w:tr>
        <w:trPr>
          <w:trHeight w:val="223"/>
        </w:trPr>
        <w:tc>
          <w:tcPr>
            <w:tcW w:w="54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179,094</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217,766</w:t>
            </w:r>
          </w:p>
        </w:tc>
        <w:tc>
          <w:tcPr>
            <w:tcW w:w="1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unpaid principal</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bl>
    <w:p>
      <w:pPr>
        <w:spacing w:after="0" w:line="107" w:lineRule="exact"/>
        <w:rPr>
          <w:sz w:val="20"/>
          <w:szCs w:val="20"/>
          <w:color w:val="auto"/>
        </w:rPr>
      </w:pPr>
    </w:p>
    <w:p>
      <w:pPr>
        <w:ind w:left="720" w:right="179" w:hanging="388"/>
        <w:spacing w:after="0" w:line="277" w:lineRule="auto"/>
        <w:tabs>
          <w:tab w:leader="none" w:pos="720" w:val="left"/>
        </w:tabs>
        <w:numPr>
          <w:ilvl w:val="0"/>
          <w:numId w:val="5"/>
        </w:numPr>
        <w:rPr>
          <w:rFonts w:ascii="Arial" w:cs="Arial" w:eastAsia="Arial" w:hAnsi="Arial"/>
          <w:sz w:val="15"/>
          <w:szCs w:val="15"/>
          <w:color w:val="auto"/>
        </w:rPr>
      </w:pPr>
      <w:r>
        <w:rPr>
          <w:rFonts w:ascii="Arial" w:cs="Arial" w:eastAsia="Arial" w:hAnsi="Arial"/>
          <w:sz w:val="18"/>
          <w:szCs w:val="18"/>
          <w:color w:val="auto"/>
        </w:rPr>
        <w:t>Excluding single loan relationship with $25 million special allowance classified as nonaccrual in the third quarter, the ratio is 62.2%.</w:t>
      </w:r>
    </w:p>
    <w:p>
      <w:pPr>
        <w:spacing w:after="0" w:line="13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September 30, 2011, December 31, 2010 and September 30, 2010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Greater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Than 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30 - 59 Days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60 - 89 Days</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Days Past</w:t>
            </w:r>
          </w:p>
        </w:tc>
        <w:tc>
          <w:tcPr>
            <w:tcW w:w="1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Total Past</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Loans Not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Past Due</w:t>
            </w:r>
          </w:p>
        </w:tc>
        <w:tc>
          <w:tcPr>
            <w:tcW w:w="14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Due</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Past Due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2011</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Commercial (secured by real</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4,587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10,594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19,911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$1,751,190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$1,771,101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2,429</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166,102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168,531</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3,339</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425,704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429,043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25,679</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2,342,996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2,368,675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14,546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19,634</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454,918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474,552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29,758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1,119,920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1,149,678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2,226</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114,744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116,970</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40,700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77,297</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4,032,578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4,109,875</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(secured by real</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19,457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33,826</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$1,727,598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$1,761,424</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9,189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16,722</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279,860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296,582</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(commercial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433,790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441,518</w:t>
            </w:r>
          </w:p>
        </w:tc>
        <w:tc>
          <w:tcPr>
            <w:tcW w:w="0" w:type="dxa"/>
            <w:vAlign w:val="bottom"/>
          </w:tcPr>
          <w:p>
            <w:pPr>
              <w:spacing w:after="0"/>
              <w:rPr>
                <w:sz w:val="1"/>
                <w:szCs w:val="1"/>
                <w:color w:val="auto"/>
              </w:rPr>
            </w:pPr>
          </w:p>
        </w:tc>
      </w:tr>
      <w:tr>
        <w:trPr>
          <w:trHeight w:val="223"/>
        </w:trPr>
        <w:tc>
          <w:tcPr>
            <w:tcW w:w="278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17,329</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58,276</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2,441,248</w:t>
            </w:r>
          </w:p>
        </w:tc>
        <w:tc>
          <w:tcPr>
            <w:tcW w:w="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2,499,524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13,599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53,430</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641,736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695,166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24,375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38,209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70,364</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1,208,416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1,278,780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3,374</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127,282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130,656</w:t>
            </w:r>
          </w:p>
        </w:tc>
        <w:tc>
          <w:tcPr>
            <w:tcW w:w="0" w:type="dxa"/>
            <w:vAlign w:val="bottom"/>
          </w:tcPr>
          <w:p>
            <w:pPr>
              <w:spacing w:after="0"/>
              <w:rPr>
                <w:sz w:val="1"/>
                <w:szCs w:val="1"/>
                <w:color w:val="auto"/>
              </w:rPr>
            </w:pPr>
          </w:p>
        </w:tc>
      </w:tr>
      <w:tr>
        <w:trPr>
          <w:trHeight w:val="223"/>
        </w:trPr>
        <w:tc>
          <w:tcPr>
            <w:tcW w:w="278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57,407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22,609</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105,428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185,444</w:t>
            </w: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4,418,682</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4,604,126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Commercial (secured by real</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11,121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7,870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34,918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53,909</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$1,727,362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$1,781,271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14,718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294,801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309,519</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7,931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448,437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456,368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76,558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2,470,600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2,547,158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13,025</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25,330</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46,626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84,981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678,443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763,424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74,328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1,241,666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1,315,994</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3,260</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129,668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132,928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136,694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239,127</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4,520,377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4,759,504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0" w:gutter="0" w:footer="0" w:header="0"/>
        </w:sectPr>
      </w:pPr>
    </w:p>
    <w:bookmarkStart w:id="18" w:name="page19"/>
    <w:bookmarkEnd w:id="18"/>
    <w:p>
      <w:pPr>
        <w:ind w:left="39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360"/>
        <w:spacing w:after="0" w:line="276" w:lineRule="auto"/>
        <w:rPr>
          <w:sz w:val="20"/>
          <w:szCs w:val="20"/>
          <w:color w:val="auto"/>
        </w:rPr>
      </w:pPr>
      <w:r>
        <w:rPr>
          <w:rFonts w:ascii="Arial" w:cs="Arial" w:eastAsia="Arial" w:hAnsi="Arial"/>
          <w:sz w:val="17"/>
          <w:szCs w:val="17"/>
          <w:color w:val="auto"/>
        </w:rPr>
        <w:t>As of September 30, 2011 and December 31, 2010, $7.75 million and $173,000 of specific reserves were allocated to customers whose loan terms have been modified in troubled debt restructurings. There were no specific reserves established for loans considered to be troubled debt restructurings at September 30, 2010. United committed to lend additional amounts totaling up to $1.06 million, $1.17 million, and $256,000 as of September 30, 2011 and December 31, 2010, and September 30, 2010 respectively, to customers with outstanding loans that are classified as troubled debt restructurings.</w:t>
      </w:r>
    </w:p>
    <w:p>
      <w:pPr>
        <w:spacing w:after="0" w:line="132"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 xml:space="preserve">The following table presents additional information on troubled debt restructurings including the number of loan contracts restructured and the pre and post modification recorded investment.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Post-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Modification</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9"/>
              </w:rPr>
              <w:t>Modification</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9"/>
              </w:rPr>
              <w:t>Outstanding</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Recorded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200" w:type="dxa"/>
            <w:vAlign w:val="bottom"/>
          </w:tcPr>
          <w:p>
            <w:pPr>
              <w:spacing w:after="0"/>
              <w:rPr>
                <w:sz w:val="20"/>
                <w:szCs w:val="20"/>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Investment</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2011</w:t>
            </w:r>
          </w:p>
        </w:tc>
        <w:tc>
          <w:tcPr>
            <w:tcW w:w="2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41,177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38,177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21,369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Consumer installment</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79,860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2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37,980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37,067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2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74,190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Residential mortgage</w:t>
            </w: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2010</w:t>
            </w: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31,142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324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22,640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3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Consumer installment</w:t>
            </w:r>
          </w:p>
        </w:tc>
        <w:tc>
          <w:tcPr>
            <w:tcW w:w="2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73,434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100" w:type="dxa"/>
            <w:vAlign w:val="bottom"/>
            <w:vMerge w:val="restart"/>
          </w:tcPr>
          <w:p>
            <w:pPr>
              <w:jc w:val="right"/>
              <w:ind w:right="910"/>
              <w:spacing w:after="0"/>
              <w:rPr>
                <w:sz w:val="20"/>
                <w:szCs w:val="20"/>
                <w:color w:val="auto"/>
              </w:rPr>
            </w:pPr>
            <w:r>
              <w:rPr>
                <w:rFonts w:ascii="Arial" w:cs="Arial" w:eastAsia="Arial" w:hAnsi="Arial"/>
                <w:sz w:val="18"/>
                <w:szCs w:val="18"/>
                <w:color w:val="auto"/>
              </w:rPr>
              <w:t>15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following table presents the number of contracts and the recorded investment for those trouble debt restructurings that have subsequently defaulted which we define as 90 days or more past due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5140" w:type="dxa"/>
            <w:vAlign w:val="bottom"/>
            <w:gridSpan w:val="11"/>
          </w:tcPr>
          <w:p>
            <w:pPr>
              <w:jc w:val="right"/>
              <w:ind w:right="100"/>
              <w:spacing w:after="0"/>
              <w:rPr>
                <w:sz w:val="20"/>
                <w:szCs w:val="20"/>
                <w:color w:val="auto"/>
              </w:rPr>
            </w:pPr>
            <w:r>
              <w:rPr>
                <w:rFonts w:ascii="Arial" w:cs="Arial" w:eastAsia="Arial" w:hAnsi="Arial"/>
                <w:sz w:val="18"/>
                <w:szCs w:val="18"/>
                <w:b w:val="1"/>
                <w:bCs w:val="1"/>
                <w:color w:val="auto"/>
                <w:w w:val="90"/>
              </w:rPr>
              <w:t>Troubled Debt Restructurings That Have Subsequently Defaulted</w:t>
            </w:r>
          </w:p>
        </w:tc>
      </w:tr>
      <w:tr>
        <w:trPr>
          <w:trHeight w:val="191"/>
        </w:trPr>
        <w:tc>
          <w:tcPr>
            <w:tcW w:w="4580" w:type="dxa"/>
            <w:vAlign w:val="bottom"/>
          </w:tcPr>
          <w:p>
            <w:pPr>
              <w:spacing w:after="0"/>
              <w:rPr>
                <w:sz w:val="16"/>
                <w:szCs w:val="16"/>
                <w:color w:val="auto"/>
              </w:rPr>
            </w:pPr>
          </w:p>
        </w:tc>
        <w:tc>
          <w:tcPr>
            <w:tcW w:w="2040" w:type="dxa"/>
            <w:vAlign w:val="bottom"/>
            <w:tcBorders>
              <w:top w:val="single" w:sz="8" w:color="auto"/>
            </w:tcBorders>
            <w:gridSpan w:val="4"/>
          </w:tcPr>
          <w:p>
            <w:pPr>
              <w:jc w:val="right"/>
              <w:spacing w:after="0" w:line="191"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4"/>
          </w:tcPr>
          <w:p>
            <w:pPr>
              <w:jc w:val="right"/>
              <w:ind w:right="290"/>
              <w:spacing w:after="0" w:line="191"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20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September 30, 2011</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September 30, 2011</w:t>
            </w:r>
          </w:p>
        </w:tc>
      </w:tr>
      <w:tr>
        <w:trPr>
          <w:trHeight w:val="191"/>
        </w:trPr>
        <w:tc>
          <w:tcPr>
            <w:tcW w:w="458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93"/>
              </w:rPr>
              <w:t>Number of</w:t>
            </w: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Recorded</w:t>
            </w:r>
          </w:p>
        </w:tc>
        <w:tc>
          <w:tcPr>
            <w:tcW w:w="38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Number of</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Contracts</w:t>
            </w:r>
          </w:p>
        </w:tc>
        <w:tc>
          <w:tcPr>
            <w:tcW w:w="380" w:type="dxa"/>
            <w:vAlign w:val="bottom"/>
          </w:tcPr>
          <w:p>
            <w:pPr>
              <w:spacing w:after="0"/>
              <w:rPr>
                <w:sz w:val="20"/>
                <w:szCs w:val="20"/>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4"/>
              </w:rPr>
              <w:t>Investment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Contracts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Investment</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23"/>
        </w:trPr>
        <w:tc>
          <w:tcPr>
            <w:tcW w:w="458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679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735</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189"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156" w:lineRule="exact"/>
        <w:rPr>
          <w:sz w:val="20"/>
          <w:szCs w:val="20"/>
          <w:color w:val="auto"/>
        </w:rPr>
      </w:pPr>
    </w:p>
    <w:p>
      <w:pPr>
        <w:jc w:val="both"/>
        <w:ind w:left="340" w:right="159"/>
        <w:spacing w:after="0" w:line="261" w:lineRule="auto"/>
        <w:rPr>
          <w:sz w:val="20"/>
          <w:szCs w:val="20"/>
          <w:color w:val="auto"/>
        </w:rPr>
      </w:pPr>
      <w:r>
        <w:rPr>
          <w:rFonts w:ascii="Arial" w:cs="Arial" w:eastAsia="Arial" w:hAnsi="Arial"/>
          <w:sz w:val="18"/>
          <w:szCs w:val="18"/>
          <w:b w:val="1"/>
          <w:bCs w:val="1"/>
          <w:color w:val="auto"/>
        </w:rPr>
        <w:t>Watch</w:t>
      </w:r>
      <w:r>
        <w:rPr>
          <w:rFonts w:ascii="Arial" w:cs="Arial" w:eastAsia="Arial" w:hAnsi="Arial"/>
          <w:sz w:val="18"/>
          <w:szCs w:val="18"/>
          <w:color w:val="auto"/>
        </w:rPr>
        <w:t>. Loans in this category are presently protected from apparent loss; however weaknesses exist that could cause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40" w:lineRule="exact"/>
        <w:rPr>
          <w:sz w:val="20"/>
          <w:szCs w:val="20"/>
          <w:color w:val="auto"/>
        </w:rPr>
      </w:pPr>
    </w:p>
    <w:p>
      <w:pPr>
        <w:jc w:val="both"/>
        <w:ind w:left="340" w:right="179"/>
        <w:spacing w:after="0" w:line="281" w:lineRule="auto"/>
        <w:rPr>
          <w:sz w:val="20"/>
          <w:szCs w:val="20"/>
          <w:color w:val="auto"/>
        </w:rPr>
      </w:pPr>
      <w:r>
        <w:rPr>
          <w:rFonts w:ascii="Arial" w:cs="Arial" w:eastAsia="Arial" w:hAnsi="Arial"/>
          <w:sz w:val="17"/>
          <w:szCs w:val="17"/>
          <w:b w:val="1"/>
          <w:bCs w:val="1"/>
          <w:color w:val="auto"/>
        </w:rPr>
        <w:t xml:space="preserve">Substandard. </w:t>
      </w:r>
      <w:r>
        <w:rPr>
          <w:rFonts w:ascii="Arial" w:cs="Arial" w:eastAsia="Arial" w:hAnsi="Arial"/>
          <w:sz w:val="17"/>
          <w:szCs w:val="17"/>
          <w:color w:val="auto"/>
        </w:rPr>
        <w:t>These loans are inadequately protected by the current net worth and paying capacity of the obligor or by the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pledged. Specific and well-defined weaknesses exist that may include poor liquidity and deterioration of financial ratios. The loan may be past due and related deposit accounts experiencing overdrafts. There is the distinct possibility that the Company will sustain some loss if deficiencies are not corrected. Immediate corrective action is necessary.</w:t>
      </w:r>
    </w:p>
    <w:p>
      <w:pPr>
        <w:spacing w:after="0" w:line="124"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improbable. There is no reliable secondary source of full repayment.</w:t>
      </w:r>
    </w:p>
    <w:p>
      <w:pPr>
        <w:spacing w:after="0" w:line="135"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Loss are charged-off.</w:t>
      </w:r>
    </w:p>
    <w:p>
      <w:pPr>
        <w:spacing w:after="0" w:line="125"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 xml:space="preserve">As of September 30, 2011, December 31, 2010 and September 30, 2010,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4"/>
          </w:tcPr>
          <w:p>
            <w:pPr>
              <w:ind w:left="180"/>
              <w:spacing w:after="0"/>
              <w:rPr>
                <w:sz w:val="20"/>
                <w:szCs w:val="20"/>
                <w:color w:val="auto"/>
              </w:rPr>
            </w:pPr>
            <w:r>
              <w:rPr>
                <w:rFonts w:ascii="Arial" w:cs="Arial" w:eastAsia="Arial" w:hAnsi="Arial"/>
                <w:sz w:val="18"/>
                <w:szCs w:val="18"/>
                <w:b w:val="1"/>
                <w:bCs w:val="1"/>
                <w:color w:val="auto"/>
              </w:rPr>
              <w:t>Doubtful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Pass</w:t>
            </w:r>
          </w:p>
        </w:tc>
        <w:tc>
          <w:tcPr>
            <w:tcW w:w="10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Watch</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Loss</w:t>
            </w:r>
          </w:p>
        </w:tc>
        <w:tc>
          <w:tcPr>
            <w:tcW w:w="1340" w:type="dxa"/>
            <w:vAlign w:val="bottom"/>
            <w:gridSpan w:val="4"/>
          </w:tcPr>
          <w:p>
            <w:pPr>
              <w:ind w:left="180"/>
              <w:spacing w:after="0"/>
              <w:rPr>
                <w:sz w:val="20"/>
                <w:szCs w:val="20"/>
                <w:color w:val="auto"/>
              </w:rPr>
            </w:pPr>
            <w:r>
              <w:rPr>
                <w:rFonts w:ascii="Arial" w:cs="Arial" w:eastAsia="Arial" w:hAnsi="Arial"/>
                <w:sz w:val="18"/>
                <w:szCs w:val="18"/>
                <w:b w:val="1"/>
                <w:bCs w:val="1"/>
                <w:color w:val="auto"/>
              </w:rPr>
              <w:t>Not Rated</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2011</w:t>
            </w: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Commercial (secured by real</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estate)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$1,520,604</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94,147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156,350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$1,771,101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115,021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15,611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168,531</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337,796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6,986</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83,381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880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429,043</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116,744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277,630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2,368,675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320,567</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43,340</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110,645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474,552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1,012,423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37,892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99,363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1,149,678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Consumer installment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3,666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116,970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3,418,868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198,823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491,304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4,109,875</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(secured by real</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$1,476,974</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201,688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$1,761,424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174,049</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10,413</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112,120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296,582</w:t>
            </w: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(commercial and</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402,969</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15,153</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22,379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441,518</w:t>
            </w:r>
          </w:p>
        </w:tc>
        <w:tc>
          <w:tcPr>
            <w:tcW w:w="0" w:type="dxa"/>
            <w:vAlign w:val="bottom"/>
          </w:tcPr>
          <w:p>
            <w:pPr>
              <w:spacing w:after="0"/>
              <w:rPr>
                <w:sz w:val="1"/>
                <w:szCs w:val="1"/>
                <w:color w:val="auto"/>
              </w:rPr>
            </w:pPr>
          </w:p>
        </w:tc>
      </w:tr>
      <w:tr>
        <w:trPr>
          <w:trHeight w:val="223"/>
        </w:trPr>
        <w:tc>
          <w:tcPr>
            <w:tcW w:w="248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3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2,053,992</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108,328</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2,499,524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398,926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82,973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213,267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695,166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1,103,487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38,378</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136,915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1,278,780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125,134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130,656</w:t>
            </w:r>
          </w:p>
        </w:tc>
        <w:tc>
          <w:tcPr>
            <w:tcW w:w="0" w:type="dxa"/>
            <w:vAlign w:val="bottom"/>
          </w:tcPr>
          <w:p>
            <w:pPr>
              <w:spacing w:after="0"/>
              <w:rPr>
                <w:sz w:val="1"/>
                <w:szCs w:val="1"/>
                <w:color w:val="auto"/>
              </w:rPr>
            </w:pPr>
          </w:p>
        </w:tc>
      </w:tr>
      <w:tr>
        <w:trPr>
          <w:trHeight w:val="223"/>
        </w:trPr>
        <w:tc>
          <w:tcPr>
            <w:tcW w:w="248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3,681,539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230,329</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691,241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4,604,126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Commercial (secured by real</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estate)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$1,487,855</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82,530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210,886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$1,781,271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176,933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12,715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119,871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309,519</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375,433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49,954</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29,921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1,060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456,368</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2,040,221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145,199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360,678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2,547,158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418,571</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88,156</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256,697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763,424</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1,125,651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45,993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1,315,994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Consumer installment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126,102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5,948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132,928</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3,710,545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280,226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767,673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4,759,504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Foreclosed Property</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Major classifications of foreclosed properties at September 30, 2011, December 31, 2010 and September 30, 2010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0"/>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16,557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17,808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15,679</w:t>
            </w:r>
          </w:p>
        </w:tc>
      </w:tr>
      <w:tr>
        <w:trPr>
          <w:trHeight w:val="27"/>
        </w:trPr>
        <w:tc>
          <w:tcPr>
            <w:tcW w:w="5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43,701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32,236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42,295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91,385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82,538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23,687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27,482</w:t>
            </w: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Total foreclosed property</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158,773</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142,256</w:t>
            </w:r>
          </w:p>
        </w:tc>
        <w:tc>
          <w:tcPr>
            <w:tcW w:w="16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16,565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12,292</w:t>
            </w: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Foreclosed property, net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142,208</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129,964</w:t>
            </w:r>
          </w:p>
        </w:tc>
        <w:tc>
          <w:tcPr>
            <w:tcW w:w="1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r>
    </w:tbl>
    <w:p>
      <w:pPr>
        <w:spacing w:after="0" w:line="200" w:lineRule="exact"/>
        <w:rPr>
          <w:sz w:val="20"/>
          <w:szCs w:val="20"/>
          <w:color w:val="auto"/>
        </w:rPr>
      </w:pPr>
    </w:p>
    <w:p>
      <w:pPr>
        <w:sectPr>
          <w:pgSz w:w="11900" w:h="16838" w:orient="portrait"/>
          <w:cols w:equalWidth="0" w:num="1">
            <w:col w:w="10219"/>
          </w:cols>
          <w:pgMar w:left="240" w:top="419" w:right="1440" w:bottom="798"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98"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Activity in the valuation allowance for foreclosed property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30,386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7,051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53,475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17,724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Direct write downs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(12,865)</w:t>
            </w:r>
          </w:p>
        </w:tc>
        <w:tc>
          <w:tcPr>
            <w:tcW w:w="0" w:type="dxa"/>
            <w:vAlign w:val="bottom"/>
          </w:tcPr>
          <w:p>
            <w:pPr>
              <w:spacing w:after="0"/>
              <w:rPr>
                <w:sz w:val="1"/>
                <w:szCs w:val="1"/>
                <w:color w:val="auto"/>
              </w:rPr>
            </w:pP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w w:val="93"/>
              </w:rPr>
              <w:t xml:space="preserve">Expenses related to foreclosed assets include </w:t>
            </w:r>
            <w:r>
              <w:rPr>
                <w:rFonts w:ascii="Arial" w:cs="Arial" w:eastAsia="Arial" w:hAnsi="Arial"/>
                <w:sz w:val="18"/>
                <w:szCs w:val="18"/>
                <w:i w:val="1"/>
                <w:iCs w:val="1"/>
                <w:color w:val="auto"/>
                <w:w w:val="93"/>
              </w:rPr>
              <w:t>(in thousands)</w:t>
            </w:r>
            <w:r>
              <w:rPr>
                <w:rFonts w:ascii="Arial" w:cs="Arial" w:eastAsia="Arial" w:hAnsi="Arial"/>
                <w:sz w:val="18"/>
                <w:szCs w:val="18"/>
                <w:color w:val="auto"/>
                <w:w w:val="93"/>
              </w:rPr>
              <w:t>.</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center"/>
              <w:ind w:right="60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7,051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53,475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17,724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11,628</w:t>
            </w:r>
          </w:p>
        </w:tc>
        <w:tc>
          <w:tcPr>
            <w:tcW w:w="0" w:type="dxa"/>
            <w:vAlign w:val="bottom"/>
          </w:tcPr>
          <w:p>
            <w:pPr>
              <w:spacing w:after="0"/>
              <w:rPr>
                <w:sz w:val="1"/>
                <w:szCs w:val="1"/>
                <w:color w:val="auto"/>
              </w:rPr>
            </w:pP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Total foreclosed property expense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Earnings Per Share</w:t>
      </w:r>
    </w:p>
    <w:p>
      <w:pPr>
        <w:spacing w:after="0" w:line="202" w:lineRule="exact"/>
        <w:rPr>
          <w:sz w:val="20"/>
          <w:szCs w:val="20"/>
          <w:color w:val="auto"/>
        </w:rPr>
      </w:pPr>
    </w:p>
    <w:p>
      <w:pPr>
        <w:jc w:val="both"/>
        <w:ind w:left="340" w:right="179"/>
        <w:spacing w:after="0" w:line="255" w:lineRule="auto"/>
        <w:rPr>
          <w:sz w:val="20"/>
          <w:szCs w:val="20"/>
          <w:color w:val="auto"/>
        </w:rPr>
      </w:pPr>
      <w:r>
        <w:rPr>
          <w:rFonts w:ascii="Arial" w:cs="Arial" w:eastAsia="Arial" w:hAnsi="Arial"/>
          <w:sz w:val="18"/>
          <w:szCs w:val="18"/>
          <w:color w:val="auto"/>
        </w:rPr>
        <w:t xml:space="preserve">United is required to report on the face of the consolidated statement of operations, earnings (loss)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the three and nine months ended September 30, 2011 and 2010,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A - 6% fixed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8"/>
              </w:rPr>
              <w:t>Series B - 5% fixed until December 6, 2013, 9% thereafter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2,598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2,578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7,798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7,720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D - LIBOR plus 9.6875%, resets quarterly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Total preferred stock dividends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 preferred stock dividends are payable quarterly.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Series B preferred stock was issued at a discount. Dividend amounts shown include discount accretion for each period.</w:t>
      </w:r>
    </w:p>
    <w:p>
      <w:pPr>
        <w:spacing w:after="0" w:line="19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There is no dilution from potentially dilutive securities for the three and nine months ended September 30, 2011 and the three and nine months ended September 30, 2010, due to the antidilutive effect of the net loss for those periods.</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loss per share for the three and nine months ended September 30, 2011 and 2010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Sepbember 30,</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(238,996)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(149,884)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(336,970)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33,973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18,905</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securities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20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33,973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common share: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At September 30, 2011, United had a number of potentially dilutive securities outstanding including a warrant to purchase 219,909 common shares at $61.40 per share issued to the U.S. Treasury in connection with the issuance of United’s Series B preferred stock; 129,670 shares issuable upon exercise of warrants attached to trust preferred securities with an exercise price of $100 per share; 585,829 shares issuable upon exercise of stock options granted to employees with a weighted average exercise price of $94.33; 404,644 shares issuable upon completion of vesting of restricted stock awards; 1,411,765 shares issuable upon exercise of warrants exercisable at $21.25 per share granted to Fletcher International in connection with a 2010 asset purchase and sale agreement; 2,476,191 shares issuable upon conversion of preferred stock if Fletcher International exercises its option to purchase $65 million in convertible preferred stock, convertible at $26.25 per share; 1,162,791 shares issuable upon exercise of warrants, exercisable at $30.10 per share to be granted to Fletcher International upon exercise of its option to acquire preferred stock; and 1,551,126 shares issuable upon exercise of warrants owned by Elm Ridge Off Shore Fund and Elm Ridge Value Fund, exercisable at $12.50 per share.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2011, December 31, 2010 and September 30, 2010 United had no active derivative instruments outstanding.</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89"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United had no active derivative contracts outstanding at September 30, 2011, December 31, 2010 or September 30, 2010 that were designated as cash flow hedges of interest rate risk however, United had unrecognized gains from terminated derivative contracts that are being amortized, straight line, over the original instruments’ remaining contractual terms.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360"/>
        <w:spacing w:after="0" w:line="272"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Such derivatives were originally used to hedge the variable cash flows associated with existing prime-based, variable-rate loans. The ineffective portion of the change in fair value of the derivatives is recognized directly in earnings. During the three and nine months ended September 30, 2011, $575,000 and $4.69 million, respectively, in hedge ineffectiveness was recognized in other fee revenue. During the three and nine months ended September 30, 2010, $327,000 and $970,000, respectively, in hedge ineffectiveness was recognized in other fee revenue.</w:t>
      </w:r>
    </w:p>
    <w:p>
      <w:pPr>
        <w:spacing w:after="0" w:line="137"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Amounts reported in accumulated other comprehensive income related to derivatives will be reclassified to interest revenue as interest payments are received on United’s prime-based, variable-rate loans. At September 30, 2011,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over the remaining life of the contract on a straight line basis. During the next twelve months, United estimates that an additional $5.33 million of the deferred gains on terminated cash flow hedging positions will be reclassified as an increase to interest revenue.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02"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September 30, 2011, December 31, 2010 and September 30, 2010, United had no active derivatives designated as fair value hedges of interest rate risk.</w:t>
      </w:r>
    </w:p>
    <w:p>
      <w:pPr>
        <w:spacing w:after="0" w:line="153" w:lineRule="exact"/>
        <w:rPr>
          <w:sz w:val="20"/>
          <w:szCs w:val="20"/>
          <w:color w:val="auto"/>
        </w:rPr>
      </w:pPr>
    </w:p>
    <w:p>
      <w:pPr>
        <w:jc w:val="both"/>
        <w:ind w:left="340" w:right="1360"/>
        <w:spacing w:after="0" w:line="276"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nine months ended September 30, 2010, United recognized net gains of $9,000 and $215,000, respectively, related to ineffectiveness of the fair value hedging relationships. There were no active fair value hedges during the first nine months of 2011.</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02"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and nine months ended September 30, 2011 and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3020" w:type="dxa"/>
            <w:vAlign w:val="bottom"/>
            <w:gridSpan w:val="7"/>
          </w:tcPr>
          <w:p>
            <w:pPr>
              <w:spacing w:after="0"/>
              <w:rPr>
                <w:sz w:val="20"/>
                <w:szCs w:val="20"/>
                <w:color w:val="auto"/>
              </w:rPr>
            </w:pPr>
            <w:r>
              <w:rPr>
                <w:rFonts w:ascii="Arial" w:cs="Arial" w:eastAsia="Arial" w:hAnsi="Arial"/>
                <w:sz w:val="18"/>
                <w:szCs w:val="18"/>
                <w:b w:val="1"/>
                <w:bCs w:val="1"/>
                <w:color w:val="auto"/>
                <w:w w:val="93"/>
              </w:rPr>
              <w:t>Amount of Gain (Loss) Recognized in</w:t>
            </w:r>
          </w:p>
        </w:tc>
        <w:tc>
          <w:tcPr>
            <w:tcW w:w="3060" w:type="dxa"/>
            <w:vAlign w:val="bottom"/>
            <w:gridSpan w:val="7"/>
          </w:tcPr>
          <w:p>
            <w:pPr>
              <w:ind w:left="120"/>
              <w:spacing w:after="0"/>
              <w:rPr>
                <w:sz w:val="20"/>
                <w:szCs w:val="20"/>
                <w:color w:val="auto"/>
              </w:rPr>
            </w:pPr>
            <w:r>
              <w:rPr>
                <w:rFonts w:ascii="Arial" w:cs="Arial" w:eastAsia="Arial" w:hAnsi="Arial"/>
                <w:sz w:val="18"/>
                <w:szCs w:val="18"/>
                <w:b w:val="1"/>
                <w:bCs w:val="1"/>
                <w:color w:val="auto"/>
                <w:w w:val="90"/>
              </w:rPr>
              <w:t>Amount of Gain (Loss) Recognized in</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Recognized in Income</w:t>
            </w:r>
          </w:p>
        </w:tc>
        <w:tc>
          <w:tcPr>
            <w:tcW w:w="3020" w:type="dxa"/>
            <w:vAlign w:val="bottom"/>
            <w:gridSpan w:val="7"/>
          </w:tcPr>
          <w:p>
            <w:pPr>
              <w:ind w:left="600"/>
              <w:spacing w:after="0"/>
              <w:rPr>
                <w:sz w:val="20"/>
                <w:szCs w:val="20"/>
                <w:color w:val="auto"/>
              </w:rPr>
            </w:pPr>
            <w:r>
              <w:rPr>
                <w:rFonts w:ascii="Arial" w:cs="Arial" w:eastAsia="Arial" w:hAnsi="Arial"/>
                <w:sz w:val="18"/>
                <w:szCs w:val="18"/>
                <w:b w:val="1"/>
                <w:bCs w:val="1"/>
                <w:color w:val="auto"/>
              </w:rPr>
              <w:t>Income on Derivative</w:t>
            </w:r>
          </w:p>
        </w:tc>
        <w:tc>
          <w:tcPr>
            <w:tcW w:w="120" w:type="dxa"/>
            <w:vAlign w:val="bottom"/>
          </w:tcPr>
          <w:p>
            <w:pPr>
              <w:spacing w:after="0"/>
              <w:rPr>
                <w:sz w:val="20"/>
                <w:szCs w:val="20"/>
                <w:color w:val="auto"/>
              </w:rPr>
            </w:pPr>
          </w:p>
        </w:tc>
        <w:tc>
          <w:tcPr>
            <w:tcW w:w="24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Income on Hedged Item</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on Derivative</w:t>
            </w:r>
          </w:p>
        </w:tc>
        <w:tc>
          <w:tcPr>
            <w:tcW w:w="88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(1,167)</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1,176</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(3,760)</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3,975</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Amount of Gain (Loss)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Recognized in Other</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Comprehensive Income on</w:t>
            </w:r>
          </w:p>
        </w:tc>
        <w:tc>
          <w:tcPr>
            <w:tcW w:w="180" w:type="dxa"/>
            <w:vAlign w:val="bottom"/>
          </w:tcPr>
          <w:p>
            <w:pPr>
              <w:spacing w:after="0"/>
              <w:rPr>
                <w:sz w:val="18"/>
                <w:szCs w:val="18"/>
                <w:color w:val="auto"/>
              </w:rPr>
            </w:pPr>
          </w:p>
        </w:tc>
        <w:tc>
          <w:tcPr>
            <w:tcW w:w="430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w w:val="94"/>
              </w:rPr>
              <w:t>Gain (Loss) Reclassified from Accumulated Other</w:t>
            </w:r>
          </w:p>
        </w:tc>
      </w:tr>
      <w:tr>
        <w:trPr>
          <w:trHeight w:val="234"/>
        </w:trPr>
        <w:tc>
          <w:tcPr>
            <w:tcW w:w="2780" w:type="dxa"/>
            <w:vAlign w:val="bottom"/>
          </w:tcPr>
          <w:p>
            <w:pPr>
              <w:spacing w:after="0"/>
              <w:rPr>
                <w:sz w:val="20"/>
                <w:szCs w:val="20"/>
                <w:color w:val="auto"/>
              </w:rPr>
            </w:pPr>
          </w:p>
        </w:tc>
        <w:tc>
          <w:tcPr>
            <w:tcW w:w="246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2"/>
              </w:rPr>
              <w:t>Derivative (Effective Portion)</w:t>
            </w:r>
          </w:p>
        </w:tc>
        <w:tc>
          <w:tcPr>
            <w:tcW w:w="4480" w:type="dxa"/>
            <w:vAlign w:val="bottom"/>
            <w:gridSpan w:val="9"/>
          </w:tcPr>
          <w:p>
            <w:pPr>
              <w:ind w:left="180"/>
              <w:spacing w:after="0"/>
              <w:rPr>
                <w:sz w:val="20"/>
                <w:szCs w:val="20"/>
                <w:color w:val="auto"/>
              </w:rPr>
            </w:pPr>
            <w:r>
              <w:rPr>
                <w:rFonts w:ascii="Arial" w:cs="Arial" w:eastAsia="Arial" w:hAnsi="Arial"/>
                <w:sz w:val="18"/>
                <w:szCs w:val="18"/>
                <w:b w:val="1"/>
                <w:bCs w:val="1"/>
                <w:color w:val="auto"/>
                <w:w w:val="91"/>
              </w:rPr>
              <w:t>Comprehensive Income into Income (Effective Portion)</w:t>
            </w:r>
          </w:p>
        </w:tc>
      </w:tr>
      <w:tr>
        <w:trPr>
          <w:trHeight w:val="210"/>
        </w:trPr>
        <w:tc>
          <w:tcPr>
            <w:tcW w:w="27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Location</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Three Months Ended September 30,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w w:val="93"/>
              </w:rPr>
              <w:t>Interest revenue</w:t>
            </w:r>
          </w:p>
        </w:tc>
        <w:tc>
          <w:tcPr>
            <w:tcW w:w="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2,373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3,349</w:t>
            </w:r>
          </w:p>
        </w:tc>
      </w:tr>
      <w:tr>
        <w:trPr>
          <w:trHeight w:val="216"/>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4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w w:val="93"/>
              </w:rPr>
              <w:t>Interest revenue</w:t>
            </w:r>
          </w:p>
        </w:tc>
        <w:tc>
          <w:tcPr>
            <w:tcW w:w="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7,885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14,283</w:t>
            </w:r>
          </w:p>
        </w:tc>
      </w:tr>
      <w:tr>
        <w:trPr>
          <w:trHeight w:val="216"/>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2,314</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4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9"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At September 30, 2011, United had no active derivative positions and therefore no credit support agreements remained in effect.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Stock-Based Compensation</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September 30, 2011, 328,505 additional awards could be granted under the plan, subject to shareholder approval of a 612,488 increase in shares available under the plan. Through September 30, 2011, incentive stock options, nonqualified stock options, restricted stock awards and units and base salary stock grants had been granted under the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stock option activity for the first nine months of 2011.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Aggregate</w:t>
            </w: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Average Exercise</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Intrinisic</w:t>
            </w: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Term (Years)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 xml:space="preserve">Value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000)</w:t>
            </w:r>
          </w:p>
        </w:tc>
      </w:tr>
      <w:tr>
        <w:trPr>
          <w:trHeight w:val="210"/>
        </w:trPr>
        <w:tc>
          <w:tcPr>
            <w:tcW w:w="4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678,313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Expired</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(95,957)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79.75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2011</w:t>
            </w:r>
          </w:p>
        </w:tc>
        <w:tc>
          <w:tcPr>
            <w:tcW w:w="28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94.33</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426"/>
        </w:trPr>
        <w:tc>
          <w:tcPr>
            <w:tcW w:w="4040" w:type="dxa"/>
            <w:vAlign w:val="bottom"/>
          </w:tcPr>
          <w:p>
            <w:pPr>
              <w:spacing w:after="0"/>
              <w:rPr>
                <w:sz w:val="20"/>
                <w:szCs w:val="20"/>
                <w:color w:val="auto"/>
              </w:rPr>
            </w:pPr>
            <w:r>
              <w:rPr>
                <w:rFonts w:ascii="Arial" w:cs="Arial" w:eastAsia="Arial" w:hAnsi="Arial"/>
                <w:sz w:val="18"/>
                <w:szCs w:val="18"/>
                <w:color w:val="auto"/>
              </w:rPr>
              <w:t>Exercisable at September 30, 2011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518,815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100.63</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fair value of each option is estimated on the date of grant using the Black-Scholes model. Because United’s option plan has not been in place long enough to gather sufficient information about exercise patterns to establish an expected life, United uses the formula provided by the SEC in Staff Accounting Bulletin (“SAB”) No. 107 to determine the expected life of options.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assumptions used to determine the fair value of stock options are presented in the table below.</w:t>
      </w:r>
    </w:p>
    <w:p>
      <w:pPr>
        <w:spacing w:after="0" w:line="22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840"/>
        <w:spacing w:after="0"/>
        <w:tabs>
          <w:tab w:leader="none" w:pos="922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15005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14605</wp:posOffset>
            </wp:positionV>
            <wp:extent cx="15005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33.00%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0.00%</w:t>
            </w: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9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5.00</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6.15</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Risk-free rate</w:t>
            </w:r>
          </w:p>
        </w:tc>
        <w:tc>
          <w:tcPr>
            <w:tcW w:w="3980" w:type="dxa"/>
            <w:vAlign w:val="bottom"/>
          </w:tcPr>
          <w:p>
            <w:pPr>
              <w:jc w:val="right"/>
              <w:ind w:right="330"/>
              <w:spacing w:after="0"/>
              <w:rPr>
                <w:sz w:val="20"/>
                <w:szCs w:val="20"/>
                <w:color w:val="auto"/>
              </w:rPr>
            </w:pPr>
            <w:r>
              <w:rPr>
                <w:rFonts w:ascii="Arial" w:cs="Arial" w:eastAsia="Arial" w:hAnsi="Arial"/>
                <w:sz w:val="18"/>
                <w:szCs w:val="18"/>
                <w:color w:val="auto"/>
              </w:rPr>
              <w:t>2.05%</w:t>
            </w: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47"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Compensation expense relating to stock options of $651,000 and $1.55 million was included in earnings for the nine months ended September 30, 2011 and 2010, respectively. Deferred tax benefits of $253,000 and $603,000, respectively, were included in the determination of income tax benefit for the nine month periods ended September 30, 2011 and 2010. The amount of compensation expense for both periods was determined based on the fair value of the options at the time of grant, multiplied by the number of options granted that are expected to vest, which was then amortized over the vesting period. The forfeiture rate for options is estimated to be approximately 3% per year. No options were exercised during the first nine months of 2011 or 2010.</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2"/>
              </w:rPr>
              <w:t>The table below presents the activity in restricted stock awards for the first nine months of 2011.</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Weighted-</w:t>
            </w:r>
          </w:p>
        </w:tc>
      </w:tr>
      <w:tr>
        <w:trPr>
          <w:trHeight w:val="216"/>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Grant-</w:t>
            </w:r>
          </w:p>
        </w:tc>
      </w:t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Date Fair Value</w:t>
            </w:r>
          </w:p>
        </w:tc>
      </w:tr>
      <w:tr>
        <w:trPr>
          <w:trHeight w:val="210"/>
        </w:trPr>
        <w:tc>
          <w:tcPr>
            <w:tcW w:w="6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59.67</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394,519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(13,089)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Outstanding at September 30, 2011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404,644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r>
      <w:tr>
        <w:trPr>
          <w:trHeight w:val="20"/>
        </w:trPr>
        <w:tc>
          <w:tcPr>
            <w:tcW w:w="6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nine months ended September 30, 2011 and 2010, compensation expense of $779,000 and $360,000, respectively, was recognized related to restricted stock awards. The total intrinsic value of the restricted stock was $3.44 million at September 30, 2011.</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As of September 30, 2011, there was $4.70 million of unrecognized compensation cost related to non-vested stock options and restricted stock awards granted under the plan. That cost is expected to be recognized over a weighted-average period of 2.4 years. The aggregate grant date fair value of options and restricted stock awards that vested during the nine months ended September 30, 2011, was $2.05 million.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Common and Preferred Stock Issued / Common Stock Issuable</w:t>
      </w:r>
    </w:p>
    <w:p>
      <w:pPr>
        <w:spacing w:after="0" w:line="189"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nine months ended September 30, 2011 and 2010, United issued 113,787 and 72,281 shares, respectively, and increased capital by $1.10 million and $1.40 million, respectively, through these programs. The DRIP program has been suspended until 2012 when United expects to regain its S-3 filing status.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September 30, 2011 and 2010, 88,501 and 61,119 shares, respectively, were issuable under the deferred compensation plan.</w:t>
      </w:r>
    </w:p>
    <w:p>
      <w:pPr>
        <w:spacing w:after="0" w:line="146"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On February 22, 2011, United entered into a share exchange agreement (the “Share Exchange Agreement”) with Elm Ridge Offshore Master Fund, Ltd. and Elm Ridge Value Partners, L.P. (collectively referred to as “Elm Ridge Parties”). Under the Share Exchange Agreement, the Elm Ridge Parties agreed to transfer to the Company 1,551,126 shares of the Company’s common stock in exchange for 16,613 shares of the Company’s cumulative perpetual preferred stock, Series D, and warrants to purchase 1,551,126 common shares with an exercise price of $12.50 per share that expires on August 22, 2013. This exchange transaction did not result in a net increase or decrease to total shareholder’s equity for the nine months ended September 30, 2011.</w:t>
      </w:r>
    </w:p>
    <w:p>
      <w:pPr>
        <w:spacing w:after="0" w:line="124"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During the first quarter of 2011, United entered into investment agreements (the “Investment Agreements”) with Corsair Georgia, L.P. (“Corsair”) and a group of institutional investors (the “Additional Investors”). United issued 3,467,699 of the Company’s common stock for $9.50 per share, 195,872 shares of mandatorily convertible cumulative non-voting perpetual preferred stock, Series F (the “Series F Preferred Stock”), and 151,185 shares of mandatorily convertible cumulative non-voting perpetual preferred stock, Series G (the “Series G Preferred Stock”). Under the terms of the Investment Agreements and following receipt of required shareholder approvals which were received on June 16, 2011, at United’s annual shareholders’ meeting, the Series F Preferred Stock converted into 20,618,156 shares of voting common stock and the Series G Preferred Stock converted into 15,914,209 shares of non-voting common stock. This private placement transaction resulted in an increase to shareholders’ equity of $362 million, net of $18.4 million in issuance costs. Following conversion of the convertible preferred stock, Corsair owned approximately 22.5% of United’s total outstanding common stock. The Additional Investors owned approximately 47.2% of United’s total outstanding common stock.</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 Reclassifications and Reverse Stock Split</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Certain 2010 amounts have been reclassified to conform to the 2011 presentation. On June 17, 2011, United completed a 1-for-5 reverse stock split, whereby each 5 shares of United’s common stock was reclassified into one share of common stock, and each 5 shares of United’s non-voting common stock was reclassified into one share of non-voting common stock. All share and per share amounts for all periods presented have been adjusted to reflect the reverse split as though it had occurred prior to the earliest period presented.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Discontinued Operations</w:t>
      </w:r>
    </w:p>
    <w:p>
      <w:pPr>
        <w:spacing w:after="0" w:line="202"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On March 31, 2010, United completed the sale of its consulting subsidiary, Brintech, Inc. (“Brintech”). The sales price was $2.9 million with United covering certain costs related to the sale transaction resulting in a net, pre-tax gain of $2.1 million. As a result of the sale, Brintech is presented in the consolidated financial statements as a discontinued operation with all revenue and expenses related to the sold operations deconsolidated from the consolidated statement of operations for all periods presented. The net results of operations from Brintech are reported on a separate line on the consolidated statement of operations titled “Loss from discontinued operations, net of income taxes.” The gain from the sale, net of income taxes and selling costs, is presented on a separate line titled “Gain from sale of subsidiary, net of income taxes and selling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Transaction with Fletcher International</w:t>
      </w:r>
    </w:p>
    <w:p>
      <w:pPr>
        <w:spacing w:after="0" w:line="189"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On April 1, 2010, United entered into a securities purchase agreement with Fletcher International, Ltd. and the Bank entered into an asset purchase and sale agreement with Fletcher International, Inc. and certain affiliates thereof. Under the terms of the agreements, the Bank sold $103 million in nonperforming commercial and residential mortgage loans and foreclosed properties to Fletcher’s affiliates with a nominal aggregate sales price equal to the Bank’s carrying amount. The nonperforming assets sale transaction closed on April 30, 2010. The consideration for the sale consisted of $20.6 million in cash and a loan for $82.4 million. Fletcher formed six affiliated LLCs to purchase the nonperforming assets from United. A separate loan was made to each of the affiliated LLCs with the assets of each LLC cross pledged as collateral to each of the six loans. The loans each have a five year term with principal and interest payments required according to a 20-year amortization table. Interest accrues at a fixed rate of 3.5%. Additional principal payments are required prior to the release of properties serving as collateral for the loans as those properties are sold. The loans have paid according to their contractual terms since their inception.</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As part of the agreement, Fletcher received a warrant to acquire 1,411,765 shares of United’s common stock at a price of $21.25 per share. The warrant has a nine year term and expires on May 26, 2019. To date, the warrant has not been exercised. In accordance with the terms of the securities purchase agreement, Fletcher has the right during the next two years to purchase up to $65 million in United’s Series C Convertible Preferred Stock. The Series C Convertible Preferred Stock pays a dividend equal to the lesser of 8% or LIBOR plus 4%. The Series C Convertible Preferred Stock is convertible by Fletcher into common stock at $26.25 per share (2,476,191 shares). If Fletcher had not purchased all of the Series C Convertible Preferred Stock by May 31, 2011, it was required to pay United 5% of the commitment amount not purchased by such date, and it must pay United an additional 5% of the commitment amount not purchased by May 31, 2012. Fletcher paid United $3.25 million as it had not purchased the Series C Convertible Preferred Stock as of May 31, 2011. The payment was recorded directly in shareholders’ equity, net of applicable income tax effects. Fletcher will receive an additional warrant to purchase $35 million in common stock at $30.10 per share (1,162,791 shares) when it purchases the last $35 million of Series C Convertible Preferred Stock. All of the warrants settle on a cashless exercise basis and the net shares to be delivered upon cashless exercise will be less than what would have been issuable if the warrant had been exercised for cash.</w:t>
      </w:r>
    </w:p>
    <w:p>
      <w:pPr>
        <w:spacing w:after="0" w:line="128"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 in the second quarter of 2010.</w:t>
      </w:r>
    </w:p>
    <w:p>
      <w:pPr>
        <w:spacing w:after="0" w:line="13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w:t>
            </w:r>
          </w:p>
        </w:tc>
      </w:tr>
      <w:tr>
        <w:trPr>
          <w:trHeight w:val="234"/>
        </w:trPr>
        <w:tc>
          <w:tcPr>
            <w:tcW w:w="5360" w:type="dxa"/>
            <w:vAlign w:val="bottom"/>
          </w:tcPr>
          <w:p>
            <w:pPr>
              <w:spacing w:after="0"/>
              <w:rPr>
                <w:sz w:val="20"/>
                <w:szCs w:val="20"/>
                <w:color w:val="auto"/>
              </w:rPr>
            </w:pPr>
          </w:p>
        </w:tc>
        <w:tc>
          <w:tcPr>
            <w:tcW w:w="2040" w:type="dxa"/>
            <w:vAlign w:val="bottom"/>
          </w:tcPr>
          <w:p>
            <w:pPr>
              <w:ind w:left="240"/>
              <w:spacing w:after="0"/>
              <w:rPr>
                <w:sz w:val="20"/>
                <w:szCs w:val="20"/>
                <w:color w:val="auto"/>
              </w:rPr>
            </w:pPr>
            <w:r>
              <w:rPr>
                <w:rFonts w:ascii="Arial" w:cs="Arial" w:eastAsia="Arial" w:hAnsi="Arial"/>
                <w:sz w:val="18"/>
                <w:szCs w:val="18"/>
                <w:b w:val="1"/>
                <w:bCs w:val="1"/>
                <w:color w:val="auto"/>
              </w:rPr>
              <w:t>Valuation Approach</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Heirarchy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Warrants Issued / Assets Transferred to Fletcher at Fair Value:</w:t>
            </w: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w w:val="92"/>
              </w:rPr>
              <w:t>Warrant to purchase $30 million in common stock at $21.25 per share</w:t>
            </w:r>
          </w:p>
        </w:tc>
        <w:tc>
          <w:tcPr>
            <w:tcW w:w="2040" w:type="dxa"/>
            <w:vAlign w:val="bottom"/>
          </w:tcPr>
          <w:p>
            <w:pPr>
              <w:spacing w:after="0"/>
              <w:rPr>
                <w:sz w:val="20"/>
                <w:szCs w:val="20"/>
                <w:color w:val="auto"/>
              </w:rPr>
            </w:pPr>
            <w:r>
              <w:rPr>
                <w:rFonts w:ascii="Arial" w:cs="Arial" w:eastAsia="Arial" w:hAnsi="Arial"/>
                <w:sz w:val="18"/>
                <w:szCs w:val="18"/>
                <w:color w:val="auto"/>
              </w:rPr>
              <w:t>Black-Scholes</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17,577</w:t>
            </w:r>
          </w:p>
        </w:tc>
      </w:t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to purchase convertible preferred stock and warrant</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Monte-Carlo Simulation</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22,236</w:t>
            </w:r>
          </w:p>
        </w:tc>
      </w:tr>
      <w:tr>
        <w:trPr>
          <w:trHeight w:val="230"/>
        </w:trPr>
        <w:tc>
          <w:tcPr>
            <w:tcW w:w="5360" w:type="dxa"/>
            <w:vAlign w:val="bottom"/>
          </w:tcPr>
          <w:p>
            <w:pPr>
              <w:ind w:left="400"/>
              <w:spacing w:after="0"/>
              <w:rPr>
                <w:sz w:val="20"/>
                <w:szCs w:val="20"/>
                <w:color w:val="auto"/>
              </w:rPr>
            </w:pPr>
            <w:r>
              <w:rPr>
                <w:rFonts w:ascii="Arial" w:cs="Arial" w:eastAsia="Arial" w:hAnsi="Arial"/>
                <w:sz w:val="18"/>
                <w:szCs w:val="18"/>
                <w:b w:val="1"/>
                <w:bCs w:val="1"/>
                <w:color w:val="auto"/>
                <w:w w:val="94"/>
              </w:rPr>
              <w:t>Fair value of equity instruments recognized in capital surplus</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39,813</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Foreclosed properties transferred under Asset Purchase Agreement</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Appraised Value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33,434</w:t>
            </w: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w w:val="96"/>
              </w:rPr>
              <w:t>Nonperforming loans transferred under Asset Purchase Agreement</w:t>
            </w:r>
          </w:p>
        </w:tc>
        <w:tc>
          <w:tcPr>
            <w:tcW w:w="2040" w:type="dxa"/>
            <w:vAlign w:val="bottom"/>
          </w:tcPr>
          <w:p>
            <w:pPr>
              <w:spacing w:after="0"/>
              <w:rPr>
                <w:sz w:val="20"/>
                <w:szCs w:val="20"/>
                <w:color w:val="auto"/>
              </w:rPr>
            </w:pPr>
            <w:r>
              <w:rPr>
                <w:rFonts w:ascii="Arial" w:cs="Arial" w:eastAsia="Arial" w:hAnsi="Arial"/>
                <w:sz w:val="18"/>
                <w:szCs w:val="18"/>
                <w:color w:val="auto"/>
                <w:w w:val="94"/>
              </w:rPr>
              <w:t>Collateral Appraised Value</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69,655</w:t>
            </w:r>
          </w:p>
        </w:tc>
      </w:tr>
      <w:tr>
        <w:trPr>
          <w:trHeight w:val="27"/>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103,089</w:t>
            </w:r>
          </w:p>
        </w:tc>
      </w:tr>
      <w:tr>
        <w:trPr>
          <w:trHeight w:val="223"/>
        </w:trPr>
        <w:tc>
          <w:tcPr>
            <w:tcW w:w="5360" w:type="dxa"/>
            <w:vAlign w:val="bottom"/>
          </w:tcPr>
          <w:p>
            <w:pPr>
              <w:ind w:left="600"/>
              <w:spacing w:after="0"/>
              <w:rPr>
                <w:sz w:val="20"/>
                <w:szCs w:val="20"/>
                <w:color w:val="auto"/>
              </w:rPr>
            </w:pPr>
            <w:r>
              <w:rPr>
                <w:rFonts w:ascii="Arial" w:cs="Arial" w:eastAsia="Arial" w:hAnsi="Arial"/>
                <w:sz w:val="18"/>
                <w:szCs w:val="18"/>
                <w:color w:val="auto"/>
              </w:rPr>
              <w:t>Total value of assets and equity instruments transferred</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142,902</w:t>
            </w:r>
          </w:p>
        </w:tc>
        <w:tc>
          <w:tcPr>
            <w:tcW w:w="10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Less — Cash and Notes Receivable Received in Exchange at Fair</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2040" w:type="dxa"/>
            <w:vAlign w:val="bottom"/>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(par value $82,471, net of $4,531 discount)</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77,940</w:t>
            </w:r>
          </w:p>
        </w:tc>
      </w:tr>
      <w:tr>
        <w:trPr>
          <w:trHeight w:val="223"/>
        </w:trPr>
        <w:tc>
          <w:tcPr>
            <w:tcW w:w="5360" w:type="dxa"/>
            <w:vAlign w:val="bottom"/>
          </w:tcPr>
          <w:p>
            <w:pPr>
              <w:ind w:left="600"/>
              <w:spacing w:after="0"/>
              <w:rPr>
                <w:sz w:val="20"/>
                <w:szCs w:val="20"/>
                <w:color w:val="auto"/>
              </w:rPr>
            </w:pPr>
            <w:r>
              <w:rPr>
                <w:rFonts w:ascii="Arial" w:cs="Arial" w:eastAsia="Arial" w:hAnsi="Arial"/>
                <w:sz w:val="18"/>
                <w:szCs w:val="18"/>
                <w:color w:val="auto"/>
              </w:rPr>
              <w:t>Total value of cash and notes receivable received</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10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Fair value of assets and equity instruments transferred in excess of cash</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notes received</w:t>
            </w: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Transaction fees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r>
      <w:tr>
        <w:trPr>
          <w:trHeight w:val="27"/>
        </w:trPr>
        <w:tc>
          <w:tcPr>
            <w:tcW w:w="5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45,349</w:t>
            </w:r>
          </w:p>
        </w:tc>
      </w:tr>
      <w:tr>
        <w:trPr>
          <w:trHeight w:val="20"/>
        </w:trPr>
        <w:tc>
          <w:tcPr>
            <w:tcW w:w="5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$17.6 million value of the warrant to purchase $30 million in common stock was determined as of April 1, 2010, the date the terms were agreed to. The following modeling assumptions were used: dividend yield — 0%; risk-free interest rate — 3.89%; current stock price — $23.85; term — 9 years; and volatility — 33%. Although most of the modeling assumptions were based on observable data, because of the subjectivity involved in estimating expected volatility, the valuation is considered Level 3.</w:t>
      </w:r>
    </w:p>
    <w:p>
      <w:pPr>
        <w:spacing w:after="0" w:line="13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13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$103 million of nonperforming assets sold were transferred at United’s carrying amount which had previously been written down to appraised value. Because the appraisals were based on sales of similar assets (observable data), the valuation is considered to be Level 2.</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Assets and Liabilities Measured at Fair Value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September 30, 2011, December 31, 2010 and September 30, 2010,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September 30, 2011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33,706</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26,831</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26,831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1,591,604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1,595,400</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Corporate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110,292</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110,642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1,764,937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1,771,742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December 31, 2010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98,480</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28,442</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986,074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991,008</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Corporate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103,685</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104,035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1,219,133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1,227,669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September 30, 2010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128,703</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30,637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30,637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791,946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797,321</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Corporate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64,055</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30,350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94,405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987,798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1,056,491</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included in earnings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September 30, 2011</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58"/>
        <w:spacing w:after="0"/>
        <w:rPr>
          <w:sz w:val="20"/>
          <w:szCs w:val="20"/>
          <w:color w:val="auto"/>
        </w:rPr>
      </w:pPr>
      <w:r>
        <w:rPr>
          <w:rFonts w:ascii="Arial" w:cs="Arial" w:eastAsia="Arial" w:hAnsi="Arial"/>
          <w:sz w:val="18"/>
          <w:szCs w:val="18"/>
          <w:color w:val="auto"/>
        </w:rPr>
        <w:t>Securities</w:t>
      </w:r>
    </w:p>
    <w:p>
      <w:pPr>
        <w:spacing w:after="0" w:line="23" w:lineRule="exact"/>
        <w:rPr>
          <w:sz w:val="20"/>
          <w:szCs w:val="20"/>
          <w:color w:val="auto"/>
        </w:rPr>
      </w:pPr>
    </w:p>
    <w:p>
      <w:pPr>
        <w:jc w:val="center"/>
        <w:ind w:right="238"/>
        <w:spacing w:after="0"/>
        <w:rPr>
          <w:sz w:val="20"/>
          <w:szCs w:val="20"/>
          <w:color w:val="auto"/>
        </w:rPr>
      </w:pPr>
      <w:r>
        <w:rPr>
          <w:rFonts w:ascii="Arial" w:cs="Arial" w:eastAsia="Arial" w:hAnsi="Arial"/>
          <w:sz w:val="16"/>
          <w:szCs w:val="16"/>
          <w:u w:val="single" w:color="auto"/>
          <w:color w:val="auto"/>
        </w:rPr>
        <w:t>Available for Sale</w:t>
      </w:r>
    </w:p>
    <w:p>
      <w:pPr>
        <w:spacing w:after="0" w:line="32" w:lineRule="exact"/>
        <w:rPr>
          <w:sz w:val="20"/>
          <w:szCs w:val="20"/>
          <w:color w:val="auto"/>
        </w:rPr>
      </w:pPr>
    </w:p>
    <w:p>
      <w:pPr>
        <w:ind w:left="882" w:hanging="882"/>
        <w:spacing w:after="0"/>
        <w:tabs>
          <w:tab w:leader="none" w:pos="882" w:val="left"/>
        </w:tabs>
        <w:numPr>
          <w:ilvl w:val="0"/>
          <w:numId w:val="6"/>
        </w:numPr>
        <w:rPr>
          <w:rFonts w:ascii="Arial" w:cs="Arial" w:eastAsia="Arial" w:hAnsi="Arial"/>
          <w:sz w:val="18"/>
          <w:szCs w:val="18"/>
          <w:color w:val="auto"/>
        </w:rPr>
      </w:pPr>
      <w:r>
        <w:rPr>
          <w:rFonts w:ascii="Arial" w:cs="Arial" w:eastAsia="Arial" w:hAnsi="Arial"/>
          <w:sz w:val="18"/>
          <w:szCs w:val="18"/>
          <w:color w:val="auto"/>
        </w:rPr>
        <w:t>5,284</w:t>
      </w:r>
    </w:p>
    <w:p>
      <w:pPr>
        <w:spacing w:after="0" w:line="22"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6"/>
          <w:szCs w:val="16"/>
          <w:color w:val="auto"/>
        </w:rPr>
        <w:t>(18)</w:t>
      </w:r>
    </w:p>
    <w:p>
      <w:pPr>
        <w:spacing w:after="0" w:line="3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(1,120)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147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18" w:lineRule="exact"/>
        <w:rPr>
          <w:sz w:val="20"/>
          <w:szCs w:val="20"/>
          <w:color w:val="auto"/>
        </w:rPr>
      </w:pPr>
    </w:p>
    <w:p>
      <w:pPr>
        <w:ind w:left="882" w:hanging="882"/>
        <w:spacing w:after="0"/>
        <w:tabs>
          <w:tab w:leader="none" w:pos="882" w:val="left"/>
        </w:tabs>
        <w:numPr>
          <w:ilvl w:val="0"/>
          <w:numId w:val="7"/>
        </w:numPr>
        <w:rPr>
          <w:rFonts w:ascii="Arial" w:cs="Arial" w:eastAsia="Arial" w:hAnsi="Arial"/>
          <w:sz w:val="18"/>
          <w:szCs w:val="18"/>
          <w:color w:val="auto"/>
        </w:rPr>
      </w:pPr>
      <w:r>
        <w:rPr>
          <w:rFonts w:ascii="Arial" w:cs="Arial" w:eastAsia="Arial" w:hAnsi="Arial"/>
          <w:sz w:val="18"/>
          <w:szCs w:val="18"/>
          <w:color w:val="auto"/>
        </w:rPr>
        <w:t>4,146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14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147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7958" w:space="720"/>
            <w:col w:w="1541"/>
          </w:cols>
          <w:pgMar w:left="240" w:top="419" w:right="1440" w:bottom="1440" w:gutter="0" w:footer="0" w:header="0"/>
          <w:type w:val="continuous"/>
        </w:sectPr>
      </w:pPr>
    </w:p>
    <w:p>
      <w:pPr>
        <w:spacing w:after="0" w:line="12"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September 30, 2011, December 31, 2010 and September 30, 2010, aggregated by the level in the fair value hierarchy within which those measurements fall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2011</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140,577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140,577</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38,823</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38,823</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179,400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106,904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106,904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85,072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191,976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191,976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2010</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121,257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121,257</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81,436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81,436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202,693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202,693</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w w:val="99"/>
              </w:rPr>
              <w:t>Assets and Liabilities Not Measured at Fair Value</w:t>
            </w: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2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United did not have any active derivative contracts outstanding at September 30, 2011, December 31, 2010 or September 30, 2010.</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1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118"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97"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 xml:space="preserve">The carrying amount and fair values for other financial instruments that are not measured at fair value on a recurring basis in United’s balance sheet at September 30, 2011, December 31, 2010, and September 30, 2010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September 30, 2011</w:t>
            </w: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2010</w:t>
            </w:r>
          </w:p>
        </w:tc>
        <w:tc>
          <w:tcPr>
            <w:tcW w:w="21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September 30, 2010</w:t>
            </w:r>
          </w:p>
        </w:tc>
      </w:tr>
      <w:tr>
        <w:trPr>
          <w:trHeight w:val="191"/>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8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7"/>
              </w:rPr>
              <w:t>Carrying</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7"/>
              </w:rPr>
              <w:t>Carrying</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Fair Value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Fair Value</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80" w:type="dxa"/>
            <w:vAlign w:val="bottom"/>
          </w:tcPr>
          <w:p>
            <w:pPr>
              <w:ind w:left="200"/>
              <w:spacing w:after="0"/>
              <w:rPr>
                <w:sz w:val="20"/>
                <w:szCs w:val="20"/>
                <w:color w:val="auto"/>
              </w:rPr>
            </w:pPr>
            <w:r>
              <w:rPr>
                <w:rFonts w:ascii="Arial" w:cs="Arial" w:eastAsia="Arial" w:hAnsi="Arial"/>
                <w:sz w:val="18"/>
                <w:szCs w:val="18"/>
                <w:color w:val="auto"/>
              </w:rPr>
              <w:t>Securities held to maturity</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  353,739</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  369,020</w:t>
            </w:r>
          </w:p>
        </w:tc>
        <w:tc>
          <w:tcPr>
            <w:tcW w:w="820" w:type="dxa"/>
            <w:vAlign w:val="bottom"/>
          </w:tcPr>
          <w:p>
            <w:pPr>
              <w:jc w:val="right"/>
              <w:spacing w:after="0"/>
              <w:rPr>
                <w:sz w:val="20"/>
                <w:szCs w:val="20"/>
                <w:color w:val="auto"/>
              </w:rPr>
            </w:pPr>
            <w:r>
              <w:rPr>
                <w:rFonts w:ascii="Arial" w:cs="Arial" w:eastAsia="Arial" w:hAnsi="Arial"/>
                <w:sz w:val="18"/>
                <w:szCs w:val="18"/>
                <w:color w:val="auto"/>
                <w:w w:val="93"/>
              </w:rPr>
              <w:t>$  265,807</w:t>
            </w:r>
          </w:p>
        </w:tc>
        <w:tc>
          <w:tcPr>
            <w:tcW w:w="180" w:type="dxa"/>
            <w:vAlign w:val="bottom"/>
          </w:tcPr>
          <w:p>
            <w:pPr>
              <w:spacing w:after="0"/>
              <w:rPr>
                <w:sz w:val="18"/>
                <w:szCs w:val="18"/>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  267,988</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  256,694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263,012</w:t>
            </w: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net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3,963,783</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3,787,214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4,429,431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4,196,142</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4,584,891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4,272,201</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6,005,305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5,998,994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6,469,172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6,481,867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5,998,637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6,003,543</w:t>
            </w:r>
          </w:p>
        </w:tc>
      </w:tr>
      <w:tr>
        <w:trPr>
          <w:trHeight w:val="202"/>
        </w:trPr>
        <w:tc>
          <w:tcPr>
            <w:tcW w:w="2480" w:type="dxa"/>
            <w:vAlign w:val="bottom"/>
          </w:tcPr>
          <w:p>
            <w:pPr>
              <w:ind w:left="200"/>
              <w:spacing w:after="0" w:line="201" w:lineRule="exact"/>
              <w:rPr>
                <w:sz w:val="20"/>
                <w:szCs w:val="20"/>
                <w:color w:val="auto"/>
              </w:rPr>
            </w:pPr>
            <w:r>
              <w:rPr>
                <w:rFonts w:ascii="Arial" w:cs="Arial" w:eastAsia="Arial" w:hAnsi="Arial"/>
                <w:sz w:val="18"/>
                <w:szCs w:val="18"/>
                <w:color w:val="auto"/>
              </w:rPr>
              <w:t>Federal Home Loan Bank</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80" w:type="dxa"/>
            <w:vAlign w:val="bottom"/>
          </w:tcPr>
          <w:p>
            <w:pPr>
              <w:ind w:left="400"/>
              <w:spacing w:after="0"/>
              <w:rPr>
                <w:sz w:val="20"/>
                <w:szCs w:val="20"/>
                <w:color w:val="auto"/>
              </w:rPr>
            </w:pPr>
            <w:r>
              <w:rPr>
                <w:rFonts w:ascii="Arial" w:cs="Arial" w:eastAsia="Arial" w:hAnsi="Arial"/>
                <w:sz w:val="18"/>
                <w:szCs w:val="18"/>
                <w:color w:val="auto"/>
              </w:rPr>
              <w:t>advances</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40,625</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43,685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55,125</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59,498</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55,125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60,215</w:t>
            </w: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120,206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114,673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150,146</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93,536</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150,126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124,964</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 Bulk Sale of Loans</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On April 18, 2011, United completed the bulk sale of $80.6 million of loans that were reported as held for sale at March 31, 2011. The proceeds from the bulk sale were $87.9 million which resulted in a reduction of charge-offs in the second quarter of 2011.</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29"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2010, as well as the following:</w:t>
      </w:r>
    </w:p>
    <w:p>
      <w:pPr>
        <w:spacing w:after="0" w:line="144" w:lineRule="exact"/>
        <w:rPr>
          <w:sz w:val="20"/>
          <w:szCs w:val="20"/>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maintain profitability;</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condition of the banking system and financial markets;</w:t>
      </w:r>
    </w:p>
    <w:p>
      <w:pPr>
        <w:spacing w:after="0" w:line="198"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raise capital as may be necessary;</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maintain liquidity or access other sources of funding;</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the cost and availability of funding;</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success of the local economies in which we operate;</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accounting and reporting policies of United;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w:t>
      </w:r>
    </w:p>
    <w:p>
      <w:pPr>
        <w:spacing w:after="0" w:line="198"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United States Department of Treasury may change the terms of our Series B Preferred Stock;</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risks with respect to future expansion and acquisitions;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impact of the Dodd-Frank Act and related regulations and other changes in financial services laws and regulations;</w:t>
      </w:r>
    </w:p>
    <w:p>
      <w:pPr>
        <w:spacing w:after="0" w:line="209" w:lineRule="exact"/>
        <w:rPr>
          <w:rFonts w:ascii="Arial" w:cs="Arial" w:eastAsia="Arial" w:hAnsi="Arial"/>
          <w:sz w:val="17"/>
          <w:szCs w:val="17"/>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failure of other financial institutions;</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special assessment that may be imposed by the Federal Deposit Insurance Corporation (“FDIC”) on all FDIC-insured institutions in the future, similar to the assessment in 2009 that decreased our earnings; and</w:t>
      </w:r>
    </w:p>
    <w:p>
      <w:pPr>
        <w:spacing w:after="0" w:line="129" w:lineRule="exact"/>
        <w:rPr>
          <w:rFonts w:ascii="Arial" w:cs="Arial" w:eastAsia="Arial" w:hAnsi="Arial"/>
          <w:sz w:val="18"/>
          <w:szCs w:val="18"/>
          <w:b w:val="1"/>
          <w:bCs w:val="1"/>
          <w:color w:val="auto"/>
        </w:rPr>
      </w:pPr>
    </w:p>
    <w:p>
      <w:pPr>
        <w:ind w:left="1080" w:right="159" w:hanging="370"/>
        <w:spacing w:after="0" w:line="308" w:lineRule="auto"/>
        <w:tabs>
          <w:tab w:leader="none" w:pos="10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regulatory or judicial proceedings, board resolutions, informal memorandums of understanding or formal enforcement actions imposed by regulators, or any such proceedings or enforcement actions that is more severe than we anticipate.</w:t>
      </w:r>
    </w:p>
    <w:p>
      <w:pPr>
        <w:spacing w:after="0" w:line="12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4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September 30, 2011 United had total consolidated assets of $7.16 billion, total loans of $4.11 billion, excluding the loans acquired from Southern Community Bank (“SCB”) that are covered by loss sharing agreements and therefore have a different risk profile. United also had total deposits of $6.01 billion and stockholders’ equity of $848 million.</w:t>
      </w:r>
    </w:p>
    <w:p>
      <w:pPr>
        <w:spacing w:after="0" w:line="14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United’s activities are primarily conducted by its wholly owned Georgia banking subsidiary (the “Bank”). The Bank operations are conducted under a community bank model that operates 27 “community banks” with local bank presidents and boards in north Georgia, the Atlanta-Sandy Springs-Marietta, Georgia metropolitan statistical area (the “Atlanta MSA”), the Gainesville, Georgia metropolitan statistical area (the “Gainesville MSA”), coastal Georgia, western North Carolina, and east Tennessee.</w:t>
      </w:r>
    </w:p>
    <w:p>
      <w:pPr>
        <w:spacing w:after="0" w:line="144"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Operating income (loss) from continuing operations and operating income (loss) from continuing operations per diluted share are non-GAAP (accounting principles generally accepted in the United States of America (“GAAP”)) performance measures. United’s management believes that operating performance is useful in analyzing United’s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 36.</w:t>
      </w:r>
    </w:p>
    <w:p>
      <w:pPr>
        <w:spacing w:after="0" w:line="118"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 reported a net loss from continuing operations of $6.20 million for the third quarter of 2011. This compared to a net operating loss from continuing operations of $25.8 million for the third quarter of 2010. The 2010 net operating loss from continuing operations excluded goodwill impairment charges of $211 million. The loss for the third quarter of 2011 was due to the classification of United’s largest lending relationship which resulted in the recording of a $25.0 million provision for loan losses. Diluted operating loss from continuing operations per common share was $.16 for the third quarter of 2011, compared to a diluted operating loss from continuing operations per common share of $1.50 for the third quarter of 2010. The noncash goodwill impairment charges added $11.12 per share to the diluted operating loss from continuing operations for the third quarter of 2010 bringing the total net loss per share from continuing operations for the third quarter of 2010 to $12.62.</w:t>
      </w:r>
    </w:p>
    <w:p>
      <w:pPr>
        <w:spacing w:after="0" w:line="138"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For the nine months ended September 30, 2011, United reported a net operating loss from continuing operations of $141 million, which primarily reflects the credit losses taken in the first quarter associated with the Problem Asset Disposition Plan. This compared to a net operating loss from continuing operations of $120 million for the first nine months of 2010, which included the $30.0 million after-tax loss from the Fletcher transaction and excluded the $211 million goodwill impairment charge. Net loss for the nine months ended September 30, 2010, which includes discontinued operations and goodwill impairment, totaled $329 million. Diluted operating loss from continuing operations per common share was $4.41 for the nine months ended September 30, 2011, compared with diluted operating loss from continuing operations per common share of $6.75 for the same period in 2010. The diluted operating loss per share from continuing operations for the first nine months of 2010 excluded $11.14 per share in loss related to the third quarter 2010 goodwill impairment charge bringing the total net loss from continuing operations per share for the first nine months of 2010 to $17.89.</w:t>
      </w:r>
    </w:p>
    <w:p>
      <w:pPr>
        <w:spacing w:after="0" w:line="168" w:lineRule="exact"/>
        <w:rPr>
          <w:sz w:val="20"/>
          <w:szCs w:val="20"/>
          <w:color w:val="auto"/>
        </w:rPr>
      </w:pPr>
    </w:p>
    <w:p>
      <w:pPr>
        <w:jc w:val="both"/>
        <w:ind w:left="340" w:right="159"/>
        <w:spacing w:after="0" w:line="267" w:lineRule="auto"/>
        <w:rPr>
          <w:sz w:val="20"/>
          <w:szCs w:val="20"/>
          <w:color w:val="auto"/>
        </w:rPr>
      </w:pPr>
      <w:r>
        <w:rPr>
          <w:rFonts w:ascii="Arial" w:cs="Arial" w:eastAsia="Arial" w:hAnsi="Arial"/>
          <w:sz w:val="17"/>
          <w:szCs w:val="17"/>
          <w:color w:val="auto"/>
        </w:rPr>
        <w:t>United’s operating provision for loan losses was $36.0 million for the three months ended September 30, 2011, compared to $50.5 million for the same period in 2010. The third quarter 2011 loan loss provision included a $25.0 million loan loss allocation established for United’s largest lending relationship. Net charge-offs for the third quarter of 2011 were $17.5 million, compared to $50.0 million for the third quarter of 2010. For the nine months ended September 30, 2011, United’s operating provision for loan losses was $237 million, compared to $187 million for the same period of 2010. Net charge-offs for the first nine months of 2011 were $266 million, compared to $168 million for the first nine months of 2010. During the first quarter of 2011, performing substandard loans with a pre-charge down carrying amount of $166 million and nonperforming loans with a pre-charge down carrying amount of $101 million were collectively written down to the expected sales proceeds of $80.6 million, in conjunction with a bulk transaction (the “Bulk Loan Sale”). United recognized net charge-offs of $186 million related to the transfer of loans to the held for sale classification in the first quarter. The Bulk Loan Sale was completed on April 18, 2011. Proceeds from the sale were greater than originally estimated, resulting in a reduction of second quarter charge-offs of $7.27 million. As of September 30, 2011, United’s allowance for loan losses was $146 million, or 3.55% of loans, compared to $175 million, or 3.67% of loans, at September 30, 2010. Nonperforming assets of $189 million, which excludes assets of Southern Community Bank (“SCB”) that are covered by loss sharing agreements with the FDIC, decreased to 2.64% of total assets at September 30, 2011, compared to 4.32% as of December 31, 2010 and 4.96% as of September 30, 2010. The decrease in this ratio was due to the execution of a plan to sell approximately $293 million in substandard and nonperforming loans, and to accelerate the disposition of approximately $142 million in foreclosed properties (the “Problem Asset Disposition Plan”) as well as a general improving trend in credit quality indicators. During the third quarter of 2011, United classified its largest lending relationship of $76.6 million, which caused nonperforming assets to increase from 1.60% of total assets at June 30,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Taxable equivalent net interest revenue was $59.3 million for the third quarter of 2011, compared to $60.0 million for the same period of 2010. The decrease in net interest revenue was primarily the result of a decrease in average loan balances and a 2 basis point decrease in the net interest margin. Average loans for the quarter declined $702 million from the third quarter of 2010. The impact of the decrease in average loan balances was substantially offset by lower deposit rates. Net interest margin decreased from 3.57% for the three months ended September 30, 2010 to 3.55% for the same period in 2011. For the nine months ended September 30, 2011, taxable equivalent net interest revenue was $175 million, compared to $183 million for the same period of 2010. Net interest margin decreased from 3.56% for the nine months ended September 30, 2010 to 3.42% for the same period in 2011. Interest reversals on performing loans that were moved to held for sale during the first quarter 2011 accounted for 4 basis points of the 14 basis points decrease. Over the past year, United has maintained above normal levels of liquidity. The level of excess liquidity peaked in 2011 and lowered the margin by approximately 49 basis points in the first quarter, 76 basis points in the second quarter and 67 basis points in the third quarter. In order to reduce the amount of excess liquidity, United has called its callable brokered deposits. Additionally, United has lowered rates on retail certificates of deposit and other deposit products, which is expected to result in some balance attrition.</w:t>
      </w:r>
    </w:p>
    <w:p>
      <w:pPr>
        <w:spacing w:after="0" w:line="142"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Operating fee revenue decreased $1.36 million, or 11%, from the third quarter of 2010 and increased $1.14 million, or 3%, from the first nine months of 2010. The quarterly decrease was due to a decline in overdraft fees, which were down $886,000 for the three months ended September 30, 2011, due to regulatory changes. The year-to-date increase was primarily attributable to the acceleration of deferred gains related to the ineffectiveness of terminated cash flow hedges, especially during the second quarter of 2011.</w:t>
      </w:r>
    </w:p>
    <w:p>
      <w:pPr>
        <w:spacing w:after="0" w:line="114" w:lineRule="exact"/>
        <w:rPr>
          <w:sz w:val="20"/>
          <w:szCs w:val="20"/>
          <w:color w:val="auto"/>
        </w:rPr>
      </w:pPr>
    </w:p>
    <w:p>
      <w:pPr>
        <w:jc w:val="both"/>
        <w:ind w:left="340" w:right="179"/>
        <w:spacing w:after="0" w:line="272" w:lineRule="auto"/>
        <w:rPr>
          <w:sz w:val="20"/>
          <w:szCs w:val="20"/>
          <w:color w:val="auto"/>
        </w:rPr>
      </w:pPr>
      <w:r>
        <w:rPr>
          <w:rFonts w:ascii="Arial" w:cs="Arial" w:eastAsia="Arial" w:hAnsi="Arial"/>
          <w:sz w:val="17"/>
          <w:szCs w:val="17"/>
          <w:color w:val="auto"/>
        </w:rPr>
        <w:t>For the third quarter of 2011, operating expenses of $46.5 million were down $18.4 million from the third quarter of 2010. This comparison excludes the $211 million goodwill impairment charge in the third quarter of 2010. Lower foreclosed property costs accounted for $16.9 million of the decrease. For the nine months ended September 30, 2011, operating expenses of $211 million were up $32.5 million from the same period of 2010. This comparison excludes the $45.3 million loss on the sale of nonperforming assets in the second quarter of 2010 and the $211 million goodwill impairment charge in the third quarter of 2010. The increase was primarily due to an increase in foreclosed property costs in anticipation of the Bulk Loan Sale and other accelerated asset dispositions. Foreclosed property costs were up $24.5 million from the first nine months of 2010.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June 16, 2011 shareholders approved the conversion of $195.9 million of Series F and $151.2 million of Series G Mandatorily Convertible Perpetual Preferred Stock into 20,618,156 shares of United’s common stock and 15,914,209 shares of United’s non-voting common stock, respectively. The conversion occurred as of the close of business on June 20, 2011 pursuant to the March 30, 2011 private placement agreements with a group of institutional investors.</w:t>
      </w:r>
    </w:p>
    <w:p>
      <w:pPr>
        <w:spacing w:after="0" w:line="146"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On June 17, 2011, United completed a 1-for-5 reverse stock split, whereby each 5 shares of United’s common stock was reclassified into one share of common stock, and each 5 shares of United’s non-voting common stock was reclassified into one share of non-voting common stock. All prior periods presented have been adjusted to reflect the reclassification.</w:t>
      </w:r>
    </w:p>
    <w:p>
      <w:pPr>
        <w:spacing w:after="0" w:line="14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February 22, 2011, the Company entered into a share exchange agreement with Elm Ridge Offshore Master Fund, Ltd. and Elm Ridge Value Partners, L.P. (collectively, the “Elm Ridge Parties”). Under the share exchange agreement, the Elm Ridge Parties agreed to transfer to the Company 1,551,126 shares of the Company’s common stock in exchange for 16,613 shares of the Company’s cumulative perpetual preferred stock, Series D and warrants to purchase 1,551,126 common shares. See Note 10 to the consolidated financial statements for further details of the share exchange agreement.</w:t>
      </w:r>
    </w:p>
    <w:p>
      <w:pPr>
        <w:spacing w:after="0" w:line="146"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Also during the first quarter of 2011, the Board of Directors approved the Problem Asset Disposition Plan. Accordingly, substandard and nonperforming loans were sold by the Bank for an aggregate purchase price of approximately $87.9 million in the Bulk Loan Sale on April 18, 2011 pursuant to an asset purchase and sale agreement (the “Asset Purchase Agreement”) entered into by the Bank, CF Southeast LLC (“CF Southeast”) and CF Southeast Trust 2011-1 (“CF Trust” and together with CF Southeast, the “Purchasers”).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In particular, United’s accounting policies related to allowance for loan losses, fair value measurements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GAAP Reconciliation and Explanation</w:t>
      </w:r>
    </w:p>
    <w:p>
      <w:pPr>
        <w:spacing w:after="0" w:line="202"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This Form 10-Q contains non-GAAP financial measures, which are performance measures determined by methods other than in accordance with GAAP. Such non-GAAP financial measures include, among others the following: operating provision for loan losses, operating fee revenue, operating revenue, operating expense, operating (loss) income from continuing operations, operating (loss) income, operating earnings (loss) from continuing operations per share, operating earnings (loss) per share, operating earnings</w:t>
      </w:r>
    </w:p>
    <w:p>
      <w:pPr>
        <w:spacing w:after="0" w:line="2"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(loss) from continuing operations per diluted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36.</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Effective March 31, 2010, United sold its Brintech, Inc. (“Brintech”) subsidiary. As a result, the operations of Brintech are being accounted for as a discontinued operation. All revenue, including the gain from the sale, expenses and income taxes relating to Brintech have been deconsolidated from the consolidated statement of operations and are presented on one line titled “Loss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April 1, 2010, the Bank entered into an asset purchase and sale agreement (the “Asset Purchase Agreement”) with Fletcher International Inc. (“Fletcher Inc.”) and five separate limited liability companies (“LLCs”) affiliates of Fletcher Inc. for the purpose of acquiring nonperforming assets under the Asset Purchase Agreement. United has no ownership interest in the LLCs. The asset sale transaction was completed on April 30, 2010 with the Bank transferring nonperforming commercial and residential construction loans and foreclosed properties having a carrying value of $103 million in exchange for cash of $20.6 million and notes receivable for $82.5 million.</w:t>
      </w:r>
    </w:p>
    <w:p>
      <w:pPr>
        <w:spacing w:after="0" w:line="166" w:lineRule="exact"/>
        <w:rPr>
          <w:sz w:val="20"/>
          <w:szCs w:val="20"/>
          <w:color w:val="auto"/>
        </w:rPr>
      </w:pPr>
    </w:p>
    <w:p>
      <w:pPr>
        <w:jc w:val="both"/>
        <w:ind w:left="340" w:right="159"/>
        <w:spacing w:after="0" w:line="267" w:lineRule="auto"/>
        <w:rPr>
          <w:sz w:val="20"/>
          <w:szCs w:val="20"/>
          <w:color w:val="auto"/>
        </w:rPr>
      </w:pPr>
      <w:r>
        <w:rPr>
          <w:rFonts w:ascii="Arial" w:cs="Arial" w:eastAsia="Arial" w:hAnsi="Arial"/>
          <w:sz w:val="17"/>
          <w:szCs w:val="17"/>
          <w:color w:val="auto"/>
        </w:rPr>
        <w:t>The loans made to the LLCs in connection with their respective purchases are the same for all six loans. The loans have an initial term of five years and principal and interest payments are based on a 20-year amortization schedule. The assets in the LLCs are all cross-pledged as collateral on all six loans. Correspondingly, prepayments on the loans are required as properties are sold in order for the collateral to be released upon sale. The interest rate during the loan term is fixed at 3.50% for all loans and, accordingly, each loan was recorded at a discount as the interest rate was considered below market. At the time the LLCs were formed, they were capitalized with sufficient cash to make the required 20% down payment on the purchase and 17.5% of the purchase price in cash and securities to cover the first three years of required cash flows. According to the terms of the agreements, at least one year of estimated cash flow requirements must be held in cash. These funds are held in escrow as additional collateral on the loans and cannot be removed by Fletcher Inc. without United’s consent. The securities that can be held by the LLCs are marketable equity securities and funds managed by Fletcher affiliates. Carrying costs include debt service payments, servicing fees and other direct costs associated with holding and managing the underlying properties. Cash flow from expected sales of underlying assets (loans/foreclosed real estate) is expected to provide sufficient cash flow to service the loans for another five to six quarters. While recent news articles and other sources have questioned the financial health of Fletcher and its affiliates, the loans to the LCCs have performed according to their contractual terms since inception. However, during the third quarter of 2011, United determined that the ultimate repayment of the $76.6 million loan relationship through the sale of the underlying collateral is unlikely due to the lack of sales activity and further decline in real estate values. As a result, United recorded a loan loss provision of $25.0 million for the three months ended September 30, 2011. The Company plans to obtain updated appraisals for the underlying collateral associated with this relationship during the fourth quarter of 2011.</w:t>
      </w:r>
    </w:p>
    <w:p>
      <w:pPr>
        <w:spacing w:after="0" w:line="151"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Also on April 1, 2010, United and Fletcher International Ltd (“Fletcher Ltd”, together with Fletcher Inc. and their affiliates, “Fletcher”), entered into a securities purchase agreement (the “Securities Purchase Agreement”) pursuant to which Fletcher Ltd. agreed to purchase from United, and United agreed to issue and sell to Fletcher Ltd., 65,000 shares of United’s Series C convertible preferred stock, par value $1.00 per share (the “Convertible Preferred Stock”), at a purchase price of $1,000 per share, for an aggregate purchase price of $65 million. The Convertible Preferred Stock will bear interest at an annual rate equal to the lesser of 8% or LIBOR + 4%. If all conditions precedent to Fletcher Ltd.’s obligations to purchase the Convertible Preferred Stock have been satisfied and Fletcher Ltd. had not purchased all of the Convertible Preferred Stock by May 31, 2011, it was required to pay United 5% of the commitment amount not purchased by such date, and it must pay United an additional 5% of any commitment amount not purchased by May 31, 2012. Fletcher has paid United $3.25 million as it had not purchased the Series C Convertible Preferred Stock as of May 31, 2011. As such penalty payment is associated with Fletcher’s option to purchase preferred stock and is therefore considered an equity transaction, it was recorded as an increase to capital surplus in shareholders’ equity.</w:t>
      </w:r>
    </w:p>
    <w:p>
      <w:pPr>
        <w:sectPr>
          <w:pgSz w:w="11900" w:h="16838" w:orient="portrait"/>
          <w:cols w:equalWidth="0" w:num="1">
            <w:col w:w="10219"/>
          </w:cols>
          <w:pgMar w:left="240" w:top="419" w:right="1440" w:bottom="1027"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27"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6" w:lineRule="auto"/>
        <w:rPr>
          <w:sz w:val="20"/>
          <w:szCs w:val="20"/>
          <w:color w:val="auto"/>
        </w:rPr>
      </w:pPr>
      <w:r>
        <w:rPr>
          <w:rFonts w:ascii="Arial" w:cs="Arial" w:eastAsia="Arial" w:hAnsi="Arial"/>
          <w:sz w:val="17"/>
          <w:szCs w:val="17"/>
          <w:color w:val="auto"/>
        </w:rPr>
        <w:t>The Convertible Preferred Stock is redeemable by Fletcher Ltd. at any time into common stock or non-voting Common Stock Equivalent Junior Preferred Stock (“Junior Preferred Stock”) of United, at an equivalent price of $26.25 per share of common stock (equal to 2,476,190 shares of common stock), subject to certain adjustments. After May 26, 2015, if the closing stock price for United’s common stock is above $60.20, United has the right to require conversion and it is United’s intent to convert all of the then outstanding Convertible Preferred Stock into an equivalent amount of common stock or Junior Preferred Stock.</w:t>
      </w:r>
    </w:p>
    <w:p>
      <w:pPr>
        <w:spacing w:after="0" w:line="146"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Concurrently with the payment of the $10 million deposit under the Asset Purchase Agreement by Fletcher, United granted a warrant to Fletcher to purchase Junior Preferred Stock. The warrant was initially equal to $15 million and was increased to $30 million upon the completion of the asset sale pursuant to the Asset Purchase Agreement. An additional $35 million warrant will be issued on a dollar for dollar basis by the aggregate dollar amount of the Convertible Preferred Stock purchased under the Securities Purchase Agreement in excess of $30 million. The $30 million warrant price is equivalent to $21.25 per common share (cash exercise equal to 1,411,765 shares of common stock). The warrant has a nine year term and expires on May 26, 2019. To date, the warrant has not been exercised. The $35 million warrant price is equivalent to $30.10 per common share (cash exercise equal to 1,162,791 shares of common stock). The warrants may only be exercised by net share settlement (cashless exercise) and are exercisable for nine years from April 1, 2010, subject to limited extension upon certain events specified in the warrant agreement. All of the warrants settle on a cashless basis and the net shares to be issued to Fletcher Ltd. upon exercise of the warrants will be less than the total shares that would have been issuable if the warrants had been exercised for cash payments.</w:t>
      </w:r>
    </w:p>
    <w:p>
      <w:pPr>
        <w:spacing w:after="0" w:line="14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Also, as part of the transaction, United and Fletcher entered into a servicing agreement whereby United will act as servicer of the nonperforming assets for Fletcher in exchange for a servicing fee of 20 basis points. Because the servicing arrangement is considered a normal servicing arrangement and the fee is appropriate for the services provided, United did not recognize a servicing asset or liability related to the servicing agreement.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98"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Although the Asset Purchase Agreement and the Securities Purchase Agreement are two separate agreements, they were accounted for as part of one transaction because they were entered into simultaneously and the Securities Purchase Agreement was dependent upon the sale of nonperforming assets. United evaluated this transaction to determine whether the transfer should be accounted for as a sale or a secured borrowing and whether the Fletcher LLCs should be consolidated with United. When evaluating whether the transfer should be accounted for as a sale, United primarily evaluated whether control had been surrendered, the rights of Fletcher to exchange and pledge the assets, and whether United retains effective control, which included evaluating any continuing involvement in the assets. Based on the evaluation, the transfer of assets under the Asset Purchase Agreement meets the definition as a sale under current accounting standards and was accounted for as such. United further evaluated whether the Fletcher LLCs should be consolidated which included evaluating whether United has a controlling financial interest and is therefore the primary beneficiary. This evaluation principally included determining whether United directs the activities that have the most significant impact on the LLCs economic performance and whether United has an obligation to absorb losses or the right to receive benefits that could be significant to the LLCs. Based on that evaluation, the LLCs have not been included as part of the consolidated group of subsidiaries in United’s consolidated financial statements.</w:t>
      </w:r>
    </w:p>
    <w:p>
      <w:pPr>
        <w:spacing w:after="0" w:line="147"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to evaluating the accounting for the transfer of assets, United considered whether the warrant and the option to purchase convertible preferred stock with an additional warrant should be accounted for as liabilities or equity instruments. In making this evaluation, United considered whether Fletcher or any subsequent holders of the instruments could require settlement of the instruments in cash or other assets rather than common or preferred stock. Because the transaction was structured so that the warrants and option to purchase convertible preferred stock and the additional warrant can only be settled through the issuance of common or preferred stock, United concluded that the warrant and option to purchase convertible preferred stock with an additional warrant should be accounted for as equity instruments.</w:t>
      </w:r>
    </w:p>
    <w:p>
      <w:pPr>
        <w:spacing w:after="0" w:line="14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r>
      <w:tr>
        <w:trPr>
          <w:trHeight w:val="234"/>
        </w:trPr>
        <w:tc>
          <w:tcPr>
            <w:tcW w:w="5280" w:type="dxa"/>
            <w:vAlign w:val="bottom"/>
          </w:tcPr>
          <w:p>
            <w:pPr>
              <w:spacing w:after="0"/>
              <w:rPr>
                <w:sz w:val="20"/>
                <w:szCs w:val="20"/>
                <w:color w:val="auto"/>
              </w:rPr>
            </w:pPr>
          </w:p>
        </w:tc>
        <w:tc>
          <w:tcPr>
            <w:tcW w:w="2040" w:type="dxa"/>
            <w:vAlign w:val="bottom"/>
          </w:tcPr>
          <w:p>
            <w:pPr>
              <w:ind w:left="240"/>
              <w:spacing w:after="0"/>
              <w:rPr>
                <w:sz w:val="20"/>
                <w:szCs w:val="20"/>
                <w:color w:val="auto"/>
              </w:rPr>
            </w:pPr>
            <w:r>
              <w:rPr>
                <w:rFonts w:ascii="Arial" w:cs="Arial" w:eastAsia="Arial" w:hAnsi="Arial"/>
                <w:sz w:val="18"/>
                <w:szCs w:val="18"/>
                <w:b w:val="1"/>
                <w:bCs w:val="1"/>
                <w:color w:val="auto"/>
              </w:rPr>
              <w:t>Valuation Approach</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Heirarchy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Warrants Issued / Assets Transferred to Fletcher at Fair Value:</w:t>
            </w:r>
          </w:p>
        </w:tc>
        <w:tc>
          <w:tcPr>
            <w:tcW w:w="2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5280" w:type="dxa"/>
            <w:vAlign w:val="bottom"/>
          </w:tcPr>
          <w:p>
            <w:pPr>
              <w:ind w:left="200"/>
              <w:spacing w:after="0" w:line="201" w:lineRule="exact"/>
              <w:rPr>
                <w:sz w:val="20"/>
                <w:szCs w:val="20"/>
                <w:color w:val="auto"/>
              </w:rPr>
            </w:pPr>
            <w:r>
              <w:rPr>
                <w:rFonts w:ascii="Arial" w:cs="Arial" w:eastAsia="Arial" w:hAnsi="Arial"/>
                <w:sz w:val="18"/>
                <w:szCs w:val="18"/>
                <w:color w:val="auto"/>
              </w:rPr>
              <w:t>Warrant to purchase $30 million in common stock at $21.25 per</w:t>
            </w: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Black-Scholes</w:t>
            </w:r>
          </w:p>
        </w:tc>
        <w:tc>
          <w:tcPr>
            <w:tcW w:w="8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6"/>
              </w:rPr>
              <w:t>Level 3</w:t>
            </w: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17,577</w:t>
            </w:r>
            <w:r>
              <w:rPr>
                <w:rFonts w:ascii="Arial" w:cs="Arial" w:eastAsia="Arial" w:hAnsi="Arial"/>
                <w:sz w:val="15"/>
                <w:szCs w:val="15"/>
                <w:color w:val="auto"/>
              </w:rPr>
              <w:t>(1)</w:t>
            </w:r>
          </w:p>
        </w:tc>
      </w:tr>
      <w:tr>
        <w:trPr>
          <w:trHeight w:val="230"/>
        </w:trPr>
        <w:tc>
          <w:tcPr>
            <w:tcW w:w="5280" w:type="dxa"/>
            <w:vAlign w:val="bottom"/>
          </w:tcPr>
          <w:p>
            <w:pPr>
              <w:ind w:left="400"/>
              <w:spacing w:after="0"/>
              <w:rPr>
                <w:sz w:val="20"/>
                <w:szCs w:val="20"/>
                <w:color w:val="auto"/>
              </w:rPr>
            </w:pPr>
            <w:r>
              <w:rPr>
                <w:rFonts w:ascii="Arial" w:cs="Arial" w:eastAsia="Arial" w:hAnsi="Arial"/>
                <w:sz w:val="18"/>
                <w:szCs w:val="18"/>
                <w:color w:val="auto"/>
              </w:rPr>
              <w:t>share</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to purchase convertible preferred stock and warrant</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Monte-Carlo Simulation</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22,236</w:t>
            </w:r>
            <w:r>
              <w:rPr>
                <w:rFonts w:ascii="Arial" w:cs="Arial" w:eastAsia="Arial" w:hAnsi="Arial"/>
                <w:sz w:val="15"/>
                <w:szCs w:val="15"/>
                <w:color w:val="auto"/>
              </w:rPr>
              <w:t>(2)</w:t>
            </w:r>
          </w:p>
        </w:tc>
      </w:tr>
      <w:tr>
        <w:trPr>
          <w:trHeight w:val="230"/>
        </w:trPr>
        <w:tc>
          <w:tcPr>
            <w:tcW w:w="5280" w:type="dxa"/>
            <w:vAlign w:val="bottom"/>
          </w:tcPr>
          <w:p>
            <w:pPr>
              <w:ind w:left="400"/>
              <w:spacing w:after="0"/>
              <w:rPr>
                <w:sz w:val="20"/>
                <w:szCs w:val="20"/>
                <w:color w:val="auto"/>
              </w:rPr>
            </w:pPr>
            <w:r>
              <w:rPr>
                <w:rFonts w:ascii="Arial" w:cs="Arial" w:eastAsia="Arial" w:hAnsi="Arial"/>
                <w:sz w:val="18"/>
                <w:szCs w:val="18"/>
                <w:b w:val="1"/>
                <w:bCs w:val="1"/>
                <w:color w:val="auto"/>
                <w:w w:val="92"/>
              </w:rPr>
              <w:t>Fair value of equity instruments recognized in capital surplus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39,813</w:t>
            </w:r>
          </w:p>
        </w:tc>
        <w:tc>
          <w:tcPr>
            <w:tcW w:w="200" w:type="dxa"/>
            <w:vAlign w:val="bottom"/>
          </w:tcPr>
          <w:p>
            <w:pPr>
              <w:spacing w:after="0"/>
              <w:rPr>
                <w:sz w:val="20"/>
                <w:szCs w:val="20"/>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Foreclosed properties transferred under Asset Purchase Agreement</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Appraised Value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33,434</w:t>
            </w:r>
            <w:r>
              <w:rPr>
                <w:rFonts w:ascii="Arial" w:cs="Arial" w:eastAsia="Arial" w:hAnsi="Arial"/>
                <w:sz w:val="15"/>
                <w:szCs w:val="15"/>
                <w:color w:val="auto"/>
              </w:rPr>
              <w:t>(3)</w:t>
            </w:r>
          </w:p>
        </w:tc>
      </w:tr>
      <w:tr>
        <w:trPr>
          <w:trHeight w:val="216"/>
        </w:trPr>
        <w:tc>
          <w:tcPr>
            <w:tcW w:w="5280" w:type="dxa"/>
            <w:vAlign w:val="bottom"/>
          </w:tcPr>
          <w:p>
            <w:pPr>
              <w:ind w:left="200"/>
              <w:spacing w:after="0"/>
              <w:rPr>
                <w:sz w:val="20"/>
                <w:szCs w:val="20"/>
                <w:color w:val="auto"/>
              </w:rPr>
            </w:pPr>
            <w:r>
              <w:rPr>
                <w:rFonts w:ascii="Arial" w:cs="Arial" w:eastAsia="Arial" w:hAnsi="Arial"/>
                <w:sz w:val="18"/>
                <w:szCs w:val="18"/>
                <w:color w:val="auto"/>
                <w:w w:val="94"/>
              </w:rPr>
              <w:t>Nonperforming loans transferred under Asset Purchase Agreement</w:t>
            </w:r>
          </w:p>
        </w:tc>
        <w:tc>
          <w:tcPr>
            <w:tcW w:w="2040" w:type="dxa"/>
            <w:vAlign w:val="bottom"/>
          </w:tcPr>
          <w:p>
            <w:pPr>
              <w:spacing w:after="0"/>
              <w:rPr>
                <w:sz w:val="20"/>
                <w:szCs w:val="20"/>
                <w:color w:val="auto"/>
              </w:rPr>
            </w:pPr>
            <w:r>
              <w:rPr>
                <w:rFonts w:ascii="Arial" w:cs="Arial" w:eastAsia="Arial" w:hAnsi="Arial"/>
                <w:sz w:val="18"/>
                <w:szCs w:val="18"/>
                <w:color w:val="auto"/>
                <w:w w:val="94"/>
              </w:rPr>
              <w:t>Collateral Appraised Value</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69,655</w:t>
            </w:r>
            <w:r>
              <w:rPr>
                <w:rFonts w:ascii="Arial" w:cs="Arial" w:eastAsia="Arial" w:hAnsi="Arial"/>
                <w:sz w:val="15"/>
                <w:szCs w:val="15"/>
                <w:color w:val="auto"/>
              </w:rPr>
              <w:t>(3)</w:t>
            </w:r>
          </w:p>
        </w:tc>
      </w:tr>
      <w:tr>
        <w:trPr>
          <w:trHeight w:val="27"/>
        </w:trPr>
        <w:tc>
          <w:tcPr>
            <w:tcW w:w="5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103,089</w:t>
            </w:r>
          </w:p>
        </w:tc>
      </w:tr>
      <w:tr>
        <w:trPr>
          <w:trHeight w:val="223"/>
        </w:trPr>
        <w:tc>
          <w:tcPr>
            <w:tcW w:w="5280" w:type="dxa"/>
            <w:vAlign w:val="bottom"/>
          </w:tcPr>
          <w:p>
            <w:pPr>
              <w:ind w:left="600"/>
              <w:spacing w:after="0"/>
              <w:rPr>
                <w:sz w:val="20"/>
                <w:szCs w:val="20"/>
                <w:color w:val="auto"/>
              </w:rPr>
            </w:pPr>
            <w:r>
              <w:rPr>
                <w:rFonts w:ascii="Arial" w:cs="Arial" w:eastAsia="Arial" w:hAnsi="Arial"/>
                <w:sz w:val="18"/>
                <w:szCs w:val="18"/>
                <w:color w:val="auto"/>
              </w:rPr>
              <w:t>Total value of assets and equity instruments transferred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142,902</w:t>
            </w:r>
          </w:p>
        </w:tc>
        <w:tc>
          <w:tcPr>
            <w:tcW w:w="200" w:type="dxa"/>
            <w:vAlign w:val="bottom"/>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Cash and Notes Receivable Received in Exchange at Fair Value: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2040" w:type="dxa"/>
            <w:vAlign w:val="bottom"/>
          </w:tcPr>
          <w:p>
            <w:pPr>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20,618</w:t>
            </w: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(par value $82,471, net of $4,531 discount)</w:t>
            </w: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77,940</w:t>
            </w:r>
            <w:r>
              <w:rPr>
                <w:rFonts w:ascii="Arial" w:cs="Arial" w:eastAsia="Arial" w:hAnsi="Arial"/>
                <w:sz w:val="15"/>
                <w:szCs w:val="15"/>
                <w:color w:val="auto"/>
              </w:rPr>
              <w:t>(4)</w:t>
            </w:r>
          </w:p>
        </w:tc>
      </w:tr>
      <w:tr>
        <w:trPr>
          <w:trHeight w:val="223"/>
        </w:trPr>
        <w:tc>
          <w:tcPr>
            <w:tcW w:w="5280" w:type="dxa"/>
            <w:vAlign w:val="bottom"/>
          </w:tcPr>
          <w:p>
            <w:pPr>
              <w:ind w:left="600"/>
              <w:spacing w:after="0"/>
              <w:rPr>
                <w:sz w:val="20"/>
                <w:szCs w:val="20"/>
                <w:color w:val="auto"/>
              </w:rPr>
            </w:pPr>
            <w:r>
              <w:rPr>
                <w:rFonts w:ascii="Arial" w:cs="Arial" w:eastAsia="Arial" w:hAnsi="Arial"/>
                <w:sz w:val="18"/>
                <w:szCs w:val="18"/>
                <w:color w:val="auto"/>
              </w:rPr>
              <w:t>Total value of cash and notes receivable received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200" w:type="dxa"/>
            <w:vAlign w:val="bottom"/>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Fair value of assets and equity instruments transferred in excess of cash</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44,344</w:t>
            </w:r>
          </w:p>
        </w:tc>
      </w:tr>
      <w:tr>
        <w:trPr>
          <w:trHeight w:val="230"/>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notes received</w:t>
            </w:r>
          </w:p>
        </w:tc>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Transaction fees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r>
      <w:tr>
        <w:trPr>
          <w:trHeight w:val="27"/>
        </w:trPr>
        <w:tc>
          <w:tcPr>
            <w:tcW w:w="5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2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45,349</w:t>
            </w:r>
          </w:p>
        </w:tc>
      </w:tr>
      <w:tr>
        <w:trPr>
          <w:trHeight w:val="432"/>
        </w:trPr>
        <w:tc>
          <w:tcPr>
            <w:tcW w:w="5280" w:type="dxa"/>
            <w:vAlign w:val="bottom"/>
          </w:tcPr>
          <w:p>
            <w:pPr>
              <w:spacing w:after="0"/>
              <w:rPr>
                <w:sz w:val="20"/>
                <w:szCs w:val="20"/>
                <w:color w:val="auto"/>
              </w:rPr>
            </w:pPr>
            <w:r>
              <w:rPr>
                <w:rFonts w:ascii="Arial" w:cs="Arial" w:eastAsia="Arial" w:hAnsi="Arial"/>
                <w:sz w:val="18"/>
                <w:szCs w:val="18"/>
                <w:color w:val="auto"/>
              </w:rPr>
              <w:t>Tax benefit</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(15,367)</w:t>
            </w:r>
          </w:p>
        </w:tc>
      </w:tr>
      <w:tr>
        <w:trPr>
          <w:trHeight w:val="27"/>
        </w:trPr>
        <w:tc>
          <w:tcPr>
            <w:tcW w:w="5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After tax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29,982</w:t>
            </w:r>
          </w:p>
        </w:tc>
      </w:tr>
      <w:tr>
        <w:trPr>
          <w:trHeight w:val="20"/>
        </w:trPr>
        <w:tc>
          <w:tcPr>
            <w:tcW w:w="5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Notes</w:t>
      </w:r>
    </w:p>
    <w:p>
      <w:pPr>
        <w:spacing w:after="0" w:line="131" w:lineRule="exact"/>
        <w:rPr>
          <w:sz w:val="20"/>
          <w:szCs w:val="20"/>
          <w:color w:val="auto"/>
        </w:rPr>
      </w:pPr>
    </w:p>
    <w:p>
      <w:pPr>
        <w:jc w:val="both"/>
        <w:ind w:left="720" w:right="159" w:hanging="388"/>
        <w:spacing w:after="0" w:line="279"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7"/>
          <w:szCs w:val="17"/>
          <w:color w:val="auto"/>
        </w:rPr>
        <w:t>The $17.6 million value of the $30 million warrant was determined as of April 1, 2010, the date the terms were agreed to and signed. The following modeling assumptions were used: dividend yield — 0%; risk-free interest rate — 3.89%; current stock price — $23.85; term — 9 years; and volatility — 33%. Although most of the modeling assumptions were based on observable data, because of the subjectivity involved in estimating expected volatility, the valuation is considered Level 3.</w:t>
      </w:r>
    </w:p>
    <w:p>
      <w:pPr>
        <w:spacing w:after="0" w:line="22" w:lineRule="exact"/>
        <w:rPr>
          <w:rFonts w:ascii="Arial" w:cs="Arial" w:eastAsia="Arial" w:hAnsi="Arial"/>
          <w:sz w:val="14"/>
          <w:szCs w:val="14"/>
          <w:color w:val="auto"/>
        </w:rPr>
      </w:pPr>
    </w:p>
    <w:p>
      <w:pPr>
        <w:jc w:val="both"/>
        <w:ind w:left="720" w:right="159" w:hanging="388"/>
        <w:spacing w:after="0" w:line="276"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23" w:lineRule="exact"/>
        <w:rPr>
          <w:rFonts w:ascii="Arial" w:cs="Arial" w:eastAsia="Arial" w:hAnsi="Arial"/>
          <w:sz w:val="14"/>
          <w:szCs w:val="14"/>
          <w:color w:val="auto"/>
        </w:rPr>
      </w:pPr>
    </w:p>
    <w:p>
      <w:pPr>
        <w:jc w:val="both"/>
        <w:ind w:left="720" w:right="159" w:hanging="388"/>
        <w:spacing w:after="0" w:line="264"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$103 million of nonperforming assets sold were transferred at United’s carrying value which had been written down to appraised value. Because the appraisals were based on sales of similar assets (observable data), the valuation is considered to be Level 2.</w:t>
      </w:r>
    </w:p>
    <w:p>
      <w:pPr>
        <w:spacing w:after="0" w:line="32" w:lineRule="exact"/>
        <w:rPr>
          <w:rFonts w:ascii="Arial" w:cs="Arial" w:eastAsia="Arial" w:hAnsi="Arial"/>
          <w:sz w:val="15"/>
          <w:szCs w:val="15"/>
          <w:color w:val="auto"/>
        </w:rPr>
      </w:pPr>
    </w:p>
    <w:p>
      <w:pPr>
        <w:jc w:val="both"/>
        <w:ind w:left="720" w:right="159" w:hanging="388"/>
        <w:spacing w:after="0" w:line="272"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7"/>
          <w:szCs w:val="17"/>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times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3"/>
                <w:szCs w:val="13"/>
                <w:color w:val="auto"/>
              </w:rPr>
            </w:pPr>
          </w:p>
        </w:tc>
        <w:tc>
          <w:tcPr>
            <w:tcW w:w="1640" w:type="dxa"/>
            <w:vAlign w:val="bottom"/>
            <w:gridSpan w:val="6"/>
          </w:tcPr>
          <w:p>
            <w:pPr>
              <w:jc w:val="right"/>
              <w:ind w:right="580"/>
              <w:spacing w:after="0" w:line="158" w:lineRule="exact"/>
              <w:rPr>
                <w:sz w:val="20"/>
                <w:szCs w:val="20"/>
                <w:color w:val="auto"/>
              </w:rPr>
            </w:pPr>
            <w:r>
              <w:rPr>
                <w:rFonts w:ascii="Arial" w:cs="Arial" w:eastAsia="Arial" w:hAnsi="Arial"/>
                <w:sz w:val="14"/>
                <w:szCs w:val="14"/>
                <w:b w:val="1"/>
                <w:bCs w:val="1"/>
                <w:color w:val="auto"/>
              </w:rPr>
              <w:t>For the Nine</w:t>
            </w:r>
          </w:p>
        </w:tc>
        <w:tc>
          <w:tcPr>
            <w:tcW w:w="6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42"/>
        </w:trPr>
        <w:tc>
          <w:tcPr>
            <w:tcW w:w="210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w:t>
            </w:r>
          </w:p>
        </w:tc>
        <w:tc>
          <w:tcPr>
            <w:tcW w:w="80" w:type="dxa"/>
            <w:vAlign w:val="bottom"/>
          </w:tcPr>
          <w:p>
            <w:pPr>
              <w:spacing w:after="0"/>
              <w:rPr>
                <w:sz w:val="12"/>
                <w:szCs w:val="12"/>
                <w:color w:val="auto"/>
              </w:rPr>
            </w:pPr>
          </w:p>
        </w:tc>
        <w:tc>
          <w:tcPr>
            <w:tcW w:w="7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2"/>
                <w:szCs w:val="12"/>
                <w:color w:val="auto"/>
              </w:rPr>
            </w:pPr>
          </w:p>
        </w:tc>
        <w:tc>
          <w:tcPr>
            <w:tcW w:w="5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9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2011-2010</w:t>
            </w:r>
          </w:p>
        </w:tc>
        <w:tc>
          <w:tcPr>
            <w:tcW w:w="100" w:type="dxa"/>
            <w:vAlign w:val="bottom"/>
          </w:tcPr>
          <w:p>
            <w:pPr>
              <w:spacing w:after="0"/>
              <w:rPr>
                <w:sz w:val="12"/>
                <w:szCs w:val="12"/>
                <w:color w:val="auto"/>
              </w:rPr>
            </w:pPr>
          </w:p>
        </w:tc>
        <w:tc>
          <w:tcPr>
            <w:tcW w:w="164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Months Ended</w:t>
            </w:r>
          </w:p>
        </w:tc>
        <w:tc>
          <w:tcPr>
            <w:tcW w:w="8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2011-2010</w:t>
            </w:r>
          </w:p>
        </w:tc>
        <w:tc>
          <w:tcPr>
            <w:tcW w:w="0" w:type="dxa"/>
            <w:vAlign w:val="bottom"/>
          </w:tcPr>
          <w:p>
            <w:pPr>
              <w:spacing w:after="0"/>
              <w:rPr>
                <w:sz w:val="1"/>
                <w:szCs w:val="1"/>
                <w:color w:val="auto"/>
              </w:rPr>
            </w:pPr>
          </w:p>
        </w:tc>
      </w:tr>
      <w:tr>
        <w:trPr>
          <w:trHeight w:val="142"/>
        </w:trPr>
        <w:tc>
          <w:tcPr>
            <w:tcW w:w="2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data; taxable equivalent)</w:t>
            </w:r>
          </w:p>
        </w:tc>
        <w:tc>
          <w:tcPr>
            <w:tcW w:w="8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SUMMARY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Interest revenue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74,543</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76,931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75,965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81,215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84,360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227,439</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261,908</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15,262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17,985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24,346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52,820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78,988</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Net interest revenue</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59,281</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58,946</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56,392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60,132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60,014</w:t>
            </w:r>
          </w:p>
        </w:tc>
        <w:tc>
          <w:tcPr>
            <w:tcW w:w="200" w:type="dxa"/>
            <w:vAlign w:val="bottom"/>
          </w:tcPr>
          <w:p>
            <w:pPr>
              <w:spacing w:after="0"/>
              <w:rPr>
                <w:sz w:val="13"/>
                <w:szCs w:val="13"/>
                <w:color w:val="auto"/>
              </w:rPr>
            </w:pPr>
          </w:p>
        </w:tc>
        <w:tc>
          <w:tcPr>
            <w:tcW w:w="9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174,619</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182,920</w:t>
            </w:r>
          </w:p>
        </w:tc>
        <w:tc>
          <w:tcPr>
            <w:tcW w:w="220" w:type="dxa"/>
            <w:vAlign w:val="bottom"/>
          </w:tcPr>
          <w:p>
            <w:pPr>
              <w:spacing w:after="0"/>
              <w:rPr>
                <w:sz w:val="13"/>
                <w:szCs w:val="13"/>
                <w:color w:val="auto"/>
              </w:rPr>
            </w:pPr>
          </w:p>
        </w:tc>
        <w:tc>
          <w:tcPr>
            <w:tcW w:w="84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8"/>
        </w:trPr>
        <w:tc>
          <w:tcPr>
            <w:tcW w:w="2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Operating provision for loan losses</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36,000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190,000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47,750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50,500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237,000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8"/>
              </w:rPr>
              <w:t>187,000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Fee revenue </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11,498</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13,905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11,838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12,442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12,861</w:t>
            </w:r>
          </w:p>
        </w:tc>
        <w:tc>
          <w:tcPr>
            <w:tcW w:w="20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37,241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36,106</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97"/>
              </w:rPr>
              <w:t xml:space="preserve">Total operating revenue </w:t>
            </w:r>
            <w:r>
              <w:rPr>
                <w:rFonts w:ascii="Arial" w:cs="Arial" w:eastAsia="Arial" w:hAnsi="Arial"/>
                <w:sz w:val="12"/>
                <w:szCs w:val="12"/>
                <w:color w:val="auto"/>
                <w:w w:val="97"/>
              </w:rPr>
              <w:t>(1)(2)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61,851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(121,770)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22,375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(25,140)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32,026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46,520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48,728</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115,271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64,918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64,906</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210,519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178,034</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Loss on sale of nonperforming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45,349</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100" w:type="dxa"/>
            <w:vAlign w:val="bottom"/>
            <w:gridSpan w:val="2"/>
          </w:tcPr>
          <w:p>
            <w:pPr>
              <w:ind w:left="200"/>
              <w:spacing w:after="0" w:line="137" w:lineRule="exact"/>
              <w:rPr>
                <w:sz w:val="20"/>
                <w:szCs w:val="20"/>
                <w:color w:val="auto"/>
              </w:rPr>
            </w:pPr>
            <w:r>
              <w:rPr>
                <w:rFonts w:ascii="Arial" w:cs="Arial" w:eastAsia="Arial" w:hAnsi="Arial"/>
                <w:sz w:val="14"/>
                <w:szCs w:val="14"/>
                <w:color w:val="auto"/>
              </w:rPr>
              <w:t>Operating (loss) income from</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continuing operations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400"/>
              <w:spacing w:after="0"/>
              <w:rPr>
                <w:sz w:val="20"/>
                <w:szCs w:val="20"/>
                <w:color w:val="auto"/>
              </w:rPr>
            </w:pPr>
            <w:r>
              <w:rPr>
                <w:rFonts w:ascii="Arial" w:cs="Arial" w:eastAsia="Arial" w:hAnsi="Arial"/>
                <w:sz w:val="14"/>
                <w:szCs w:val="14"/>
                <w:color w:val="auto"/>
              </w:rPr>
              <w:t>before income taxes</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(11,741)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13,123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(237,041)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(40,094)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(42,531)</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(235,659)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(191,357)</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Operating income tax</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 expense</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(5,539)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5,506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(94,555)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(16,520)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(16,706)</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(94,588)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(71,542)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0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Net operating (loss) income</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from continuing</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400"/>
              <w:spacing w:after="0"/>
              <w:rPr>
                <w:sz w:val="20"/>
                <w:szCs w:val="20"/>
                <w:color w:val="auto"/>
              </w:rPr>
            </w:pPr>
            <w:r>
              <w:rPr>
                <w:rFonts w:ascii="Arial" w:cs="Arial" w:eastAsia="Arial" w:hAnsi="Arial"/>
                <w:sz w:val="14"/>
                <w:szCs w:val="14"/>
                <w:b w:val="1"/>
                <w:bCs w:val="1"/>
                <w:color w:val="auto"/>
              </w:rPr>
              <w:t xml:space="preserve">operations </w:t>
            </w:r>
            <w:r>
              <w:rPr>
                <w:rFonts w:ascii="Arial" w:cs="Arial" w:eastAsia="Arial" w:hAnsi="Arial"/>
                <w:sz w:val="12"/>
                <w:szCs w:val="12"/>
                <w:color w:val="auto"/>
              </w:rPr>
              <w:t>(1)(2)(3)</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(6,202)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7,617</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(142,486)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(23,574)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(25,825)</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(141,071)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(119,815)</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Noncash goodwill impairment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(210,590)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(210,590)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spacing w:after="0" w:line="130" w:lineRule="exact"/>
              <w:rPr>
                <w:sz w:val="20"/>
                <w:szCs w:val="20"/>
                <w:color w:val="auto"/>
              </w:rPr>
            </w:pPr>
            <w:r>
              <w:rPr>
                <w:rFonts w:ascii="Arial" w:cs="Arial" w:eastAsia="Arial" w:hAnsi="Arial"/>
                <w:sz w:val="14"/>
                <w:szCs w:val="14"/>
                <w:color w:val="auto"/>
              </w:rPr>
              <w:t>Partial reversal of fraud loss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provision, net of income tax</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7,179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Loss from discontinued</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 net of income tax</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spacing w:after="0" w:line="130" w:lineRule="exact"/>
              <w:rPr>
                <w:sz w:val="20"/>
                <w:szCs w:val="20"/>
                <w:color w:val="auto"/>
              </w:rPr>
            </w:pPr>
            <w:r>
              <w:rPr>
                <w:rFonts w:ascii="Arial" w:cs="Arial" w:eastAsia="Arial" w:hAnsi="Arial"/>
                <w:sz w:val="14"/>
                <w:szCs w:val="14"/>
                <w:color w:val="auto"/>
              </w:rPr>
              <w:t>Gain from sale of subsidiary, net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income tax</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1,266</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Net (loss) income</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(6,202)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7,617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(142,486)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(16,395)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(236,415)</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(141,071)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(329,240)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0"/>
        </w:trPr>
        <w:tc>
          <w:tcPr>
            <w:tcW w:w="2100" w:type="dxa"/>
            <w:vAlign w:val="bottom"/>
            <w:gridSpan w:val="2"/>
          </w:tcPr>
          <w:p>
            <w:pPr>
              <w:spacing w:after="0" w:line="130" w:lineRule="exact"/>
              <w:rPr>
                <w:sz w:val="20"/>
                <w:szCs w:val="20"/>
                <w:color w:val="auto"/>
              </w:rPr>
            </w:pPr>
            <w:r>
              <w:rPr>
                <w:rFonts w:ascii="Arial" w:cs="Arial" w:eastAsia="Arial" w:hAnsi="Arial"/>
                <w:sz w:val="14"/>
                <w:szCs w:val="14"/>
                <w:color w:val="auto"/>
              </w:rPr>
              <w:t>Preferred dividends and discount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accretion</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3,019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3,016</w:t>
            </w: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2,778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2,586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2,581</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8,813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7,730</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(loss) income available to</w:t>
            </w: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(145,264)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(18,981)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(238,996)</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(149,884)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(336,970)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MEASURES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Per common share: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Diluted operating</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(loss) income from</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gridSpan w:val="2"/>
          </w:tcPr>
          <w:p>
            <w:pPr>
              <w:ind w:left="600"/>
              <w:spacing w:after="0" w:line="157" w:lineRule="exact"/>
              <w:rPr>
                <w:sz w:val="20"/>
                <w:szCs w:val="20"/>
                <w:color w:val="auto"/>
              </w:rPr>
            </w:pPr>
            <w:r>
              <w:rPr>
                <w:rFonts w:ascii="Arial" w:cs="Arial" w:eastAsia="Arial" w:hAnsi="Arial"/>
                <w:sz w:val="14"/>
                <w:szCs w:val="14"/>
                <w:color w:val="auto"/>
              </w:rPr>
              <w:t>continuing operations</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(.16)</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.08</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(7.87)</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(1.38)</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(1.50)</w:t>
            </w: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(89)</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(4.41)</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(6.75)</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6"/>
        </w:trPr>
        <w:tc>
          <w:tcPr>
            <w:tcW w:w="2020" w:type="dxa"/>
            <w:vAlign w:val="bottom"/>
          </w:tcPr>
          <w:p>
            <w:pPr>
              <w:ind w:left="600"/>
              <w:spacing w:after="0"/>
              <w:rPr>
                <w:sz w:val="20"/>
                <w:szCs w:val="20"/>
                <w:color w:val="auto"/>
              </w:rPr>
            </w:pPr>
            <w:r>
              <w:rPr>
                <w:rFonts w:ascii="Arial" w:cs="Arial" w:eastAsia="Arial" w:hAnsi="Arial"/>
                <w:sz w:val="12"/>
                <w:szCs w:val="12"/>
                <w:color w:val="auto"/>
              </w:rPr>
              <w:t>(1)(2)(3)</w:t>
            </w: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Diluted (loss) income from</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continuing operations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(7.87)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(12.62)</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(17.89)</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1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Diluted (loss) income</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(12.62)</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(17.82)</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Book value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25.70</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2"/>
        </w:trPr>
        <w:tc>
          <w:tcPr>
            <w:tcW w:w="2100" w:type="dxa"/>
            <w:vAlign w:val="bottom"/>
            <w:gridSpan w:val="2"/>
          </w:tcPr>
          <w:p>
            <w:pPr>
              <w:ind w:left="400"/>
              <w:spacing w:after="0"/>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2"/>
                <w:szCs w:val="12"/>
                <w:color w:val="auto"/>
              </w:rPr>
              <w:t>(5)</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11.26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11.47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14.44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23.78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25.26</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11.26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25.26</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15"/>
        </w:trPr>
        <w:tc>
          <w:tcPr>
            <w:tcW w:w="2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Key performance ratios: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 xml:space="preserve">Return on equity </w:t>
            </w:r>
            <w:r>
              <w:rPr>
                <w:rFonts w:ascii="Arial" w:cs="Arial" w:eastAsia="Arial" w:hAnsi="Arial"/>
                <w:sz w:val="12"/>
                <w:szCs w:val="12"/>
                <w:color w:val="auto"/>
              </w:rPr>
              <w:t>(4)(6)</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5.34%</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(148.04)%</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(65.69)%</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12"/>
                <w:szCs w:val="12"/>
                <w:color w:val="auto"/>
              </w:rPr>
              <w:t>(6)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3.41</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3.57</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3.56</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Operating efficiency ratio</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from continuing</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xml:space="preserve">operations </w:t>
            </w:r>
            <w:r>
              <w:rPr>
                <w:rFonts w:ascii="Arial" w:cs="Arial" w:eastAsia="Arial" w:hAnsi="Arial"/>
                <w:sz w:val="12"/>
                <w:szCs w:val="12"/>
                <w:color w:val="auto"/>
              </w:rPr>
              <w:t>(2)(3)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65.73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66.88</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169.08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89.45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89.38</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99.39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102.14</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Equity to assets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11.37</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96"/>
              </w:rPr>
              <w:t xml:space="preserve">Tangible equity to assets </w:t>
            </w:r>
            <w:r>
              <w:rPr>
                <w:rFonts w:ascii="Arial" w:cs="Arial" w:eastAsia="Arial" w:hAnsi="Arial"/>
                <w:sz w:val="12"/>
                <w:szCs w:val="12"/>
                <w:color w:val="auto"/>
                <w:w w:val="96"/>
              </w:rPr>
              <w:t>(5)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9.19</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9.28</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400"/>
              <w:spacing w:after="0" w:line="130" w:lineRule="exact"/>
              <w:rPr>
                <w:sz w:val="20"/>
                <w:szCs w:val="20"/>
                <w:color w:val="auto"/>
              </w:rPr>
            </w:pPr>
            <w:r>
              <w:rPr>
                <w:rFonts w:ascii="Arial" w:cs="Arial" w:eastAsia="Arial" w:hAnsi="Arial"/>
                <w:sz w:val="14"/>
                <w:szCs w:val="14"/>
                <w:color w:val="auto"/>
                <w:w w:val="99"/>
              </w:rPr>
              <w:t>Tangible common equity to</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600"/>
              <w:spacing w:after="0"/>
              <w:rPr>
                <w:sz w:val="20"/>
                <w:szCs w:val="20"/>
                <w:color w:val="auto"/>
              </w:rPr>
            </w:pPr>
            <w:r>
              <w:rPr>
                <w:rFonts w:ascii="Arial" w:cs="Arial" w:eastAsia="Arial" w:hAnsi="Arial"/>
                <w:sz w:val="14"/>
                <w:szCs w:val="14"/>
                <w:color w:val="auto"/>
              </w:rPr>
              <w:t xml:space="preserve">assets </w:t>
            </w: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9.09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4.79</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5.51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6.78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6.44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6.94</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w w:val="99"/>
              </w:rPr>
              <w:t>Tangible common equity to</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xml:space="preserve">risk-weighted assets </w:t>
            </w:r>
            <w:r>
              <w:rPr>
                <w:rFonts w:ascii="Arial" w:cs="Arial" w:eastAsia="Arial" w:hAnsi="Arial"/>
                <w:sz w:val="12"/>
                <w:szCs w:val="12"/>
                <w:color w:val="auto"/>
              </w:rPr>
              <w:t>(5)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ASSET QUALITY *</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Non-performing loans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144,484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71,065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83,769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179,094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217,766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144,484</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217,766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Foreclosed properties</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44,263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47,584</w:t>
            </w: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54,378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142,208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129,964</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44,263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129,964</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w w:val="96"/>
              </w:rPr>
              <w:t>Total non-performing assets</w:t>
            </w: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(NPAs)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0"/>
              </w:rPr>
              <w:t>188,747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118,649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138,147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0"/>
              </w:rPr>
              <w:t>321,302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347,730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188,747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347,730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146,092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127,638</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133,121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174,695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174,613</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146,092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174,613</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Operating net charge-offs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16,483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231,574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49,998</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265,603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167,989</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Allowance for loan losses to</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400"/>
              <w:spacing w:after="0"/>
              <w:rPr>
                <w:sz w:val="20"/>
                <w:szCs w:val="20"/>
                <w:color w:val="auto"/>
              </w:rPr>
            </w:pPr>
            <w:r>
              <w:rPr>
                <w:rFonts w:ascii="Arial" w:cs="Arial" w:eastAsia="Arial" w:hAnsi="Arial"/>
                <w:sz w:val="14"/>
                <w:szCs w:val="14"/>
                <w:color w:val="auto"/>
              </w:rPr>
              <w:t>loans</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3.55%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3.67%</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3.67%</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Operating net charge-offs to</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xml:space="preserve">average loans </w:t>
            </w:r>
            <w:r>
              <w:rPr>
                <w:rFonts w:ascii="Arial" w:cs="Arial" w:eastAsia="Arial" w:hAnsi="Arial"/>
                <w:sz w:val="12"/>
                <w:szCs w:val="12"/>
                <w:color w:val="auto"/>
              </w:rPr>
              <w:t>(1)(6)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20.71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4.54</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NPAs to loans and foreclosed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400"/>
              <w:spacing w:after="0"/>
              <w:rPr>
                <w:sz w:val="20"/>
                <w:szCs w:val="20"/>
                <w:color w:val="auto"/>
              </w:rPr>
            </w:pPr>
            <w:r>
              <w:rPr>
                <w:rFonts w:ascii="Arial" w:cs="Arial" w:eastAsia="Arial" w:hAnsi="Arial"/>
                <w:sz w:val="14"/>
                <w:szCs w:val="14"/>
                <w:color w:val="auto"/>
              </w:rPr>
              <w:t>properties</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4.54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7.11</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4.54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7.11</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NPAs to total assets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100" w:type="dxa"/>
            <w:vAlign w:val="bottom"/>
            <w:gridSpan w:val="2"/>
          </w:tcPr>
          <w:p>
            <w:pPr>
              <w:ind w:left="200"/>
              <w:spacing w:after="0"/>
              <w:rPr>
                <w:sz w:val="20"/>
                <w:szCs w:val="20"/>
                <w:color w:val="auto"/>
              </w:rPr>
            </w:pPr>
            <w:r>
              <w:rPr>
                <w:rFonts w:ascii="Arial" w:cs="Arial" w:eastAsia="Arial" w:hAnsi="Arial"/>
                <w:sz w:val="14"/>
                <w:szCs w:val="14"/>
                <w:i w:val="1"/>
                <w:iCs w:val="1"/>
                <w:color w:val="auto"/>
              </w:rPr>
              <w:t>millions)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Loans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4,194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4,768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4,896</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4,352</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5,026</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2,074</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1,487</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6,924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6,680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6,676</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6,817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6,870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7,624</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7,522</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7,492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7,723</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6,061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6,372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6,257</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6,399</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855</w:t>
            </w:r>
          </w:p>
        </w:tc>
        <w:tc>
          <w:tcPr>
            <w:tcW w:w="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904</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shares — basic</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57,599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25,427</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18,466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18,984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18,936</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33,973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18,905</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Common shares — diluted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100" w:type="dxa"/>
            <w:vAlign w:val="bottom"/>
            <w:gridSpan w:val="2"/>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57,599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57,543</w:t>
            </w: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18,466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18,984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18,936</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33,973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18,905</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Loans *</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4,110</w:t>
            </w:r>
          </w:p>
        </w:tc>
        <w:tc>
          <w:tcPr>
            <w:tcW w:w="2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4,194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4,604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4,760</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4,110</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4,760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2,188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1,310</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7,410</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7,013</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7,159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7,013</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6,183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5,999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5,999</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848</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662</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21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shares outstanding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gridSpan w:val="2"/>
            <w:shd w:val="clear" w:color="auto" w:fill="CCEEFF"/>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57,469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20,903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18,937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18,887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57,510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18,887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19" w:right="1440" w:bottom="0" w:gutter="0" w:footer="0" w:header="0"/>
        </w:sectPr>
      </w:pPr>
    </w:p>
    <w:bookmarkStart w:id="40" w:name="page41"/>
    <w:bookmarkEnd w:id="40"/>
    <w:p>
      <w:pPr>
        <w:jc w:val="both"/>
        <w:ind w:left="288" w:right="159" w:hanging="288"/>
        <w:spacing w:after="0" w:line="264" w:lineRule="auto"/>
        <w:tabs>
          <w:tab w:leader="none" w:pos="2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Excludes the partial reversal of a previously established provision for fraud-related loan losses of $11.8 million, net of tax expense of $4.6 million in the fourth quarter of 2010. Operating charge-offs also exclude the $11.8 million related partial recovery of the previously charged off amount.</w:t>
      </w:r>
    </w:p>
    <w:p>
      <w:pPr>
        <w:spacing w:after="0" w:line="32" w:lineRule="exact"/>
        <w:rPr>
          <w:rFonts w:ascii="Arial" w:cs="Arial" w:eastAsia="Arial" w:hAnsi="Arial"/>
          <w:sz w:val="15"/>
          <w:szCs w:val="15"/>
          <w:color w:val="auto"/>
        </w:rPr>
      </w:pPr>
    </w:p>
    <w:p>
      <w:pPr>
        <w:ind w:left="288" w:hanging="288"/>
        <w:spacing w:after="0"/>
        <w:tabs>
          <w:tab w:leader="none" w:pos="2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Excludes revenue generated by discontinued operations in the first quarter of 2010.</w:t>
      </w:r>
    </w:p>
    <w:p>
      <w:pPr>
        <w:spacing w:after="0" w:line="76" w:lineRule="exact"/>
        <w:rPr>
          <w:rFonts w:ascii="Arial" w:cs="Arial" w:eastAsia="Arial" w:hAnsi="Arial"/>
          <w:sz w:val="15"/>
          <w:szCs w:val="15"/>
          <w:color w:val="auto"/>
        </w:rPr>
      </w:pPr>
    </w:p>
    <w:p>
      <w:pPr>
        <w:ind w:left="288" w:right="159" w:hanging="288"/>
        <w:spacing w:after="0" w:line="277" w:lineRule="auto"/>
        <w:tabs>
          <w:tab w:leader="none" w:pos="2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Excludes the goodwill impairment charge of $211 million in the third quarter of 2010 and expenses relating to discontinued operations in the first quarter of 2010.</w:t>
      </w:r>
    </w:p>
    <w:p>
      <w:pPr>
        <w:spacing w:after="0" w:line="21" w:lineRule="exact"/>
        <w:rPr>
          <w:rFonts w:ascii="Arial" w:cs="Arial" w:eastAsia="Arial" w:hAnsi="Arial"/>
          <w:sz w:val="15"/>
          <w:szCs w:val="15"/>
          <w:color w:val="auto"/>
        </w:rPr>
      </w:pPr>
    </w:p>
    <w:p>
      <w:pPr>
        <w:ind w:left="288" w:right="179" w:hanging="288"/>
        <w:spacing w:after="0" w:line="277" w:lineRule="auto"/>
        <w:tabs>
          <w:tab w:leader="none" w:pos="2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Net loss available to common shareholders, which is net of preferred stock dividends, divided by average realized common equity, which excludes accumulated other comprehensive income (loss).</w:t>
      </w:r>
    </w:p>
    <w:p>
      <w:pPr>
        <w:spacing w:after="0" w:line="21" w:lineRule="exact"/>
        <w:rPr>
          <w:rFonts w:ascii="Arial" w:cs="Arial" w:eastAsia="Arial" w:hAnsi="Arial"/>
          <w:sz w:val="15"/>
          <w:szCs w:val="15"/>
          <w:color w:val="auto"/>
        </w:rPr>
      </w:pPr>
    </w:p>
    <w:p>
      <w:pPr>
        <w:ind w:left="288" w:hanging="288"/>
        <w:spacing w:after="0"/>
        <w:tabs>
          <w:tab w:leader="none" w:pos="2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5"/>
          <w:szCs w:val="15"/>
          <w:color w:val="auto"/>
        </w:rPr>
      </w:pPr>
    </w:p>
    <w:p>
      <w:pPr>
        <w:ind w:left="288" w:hanging="288"/>
        <w:spacing w:after="0"/>
        <w:tabs>
          <w:tab w:leader="none" w:pos="2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Annualized.</w:t>
      </w:r>
    </w:p>
    <w:p>
      <w:pPr>
        <w:spacing w:after="0" w:line="77" w:lineRule="exact"/>
        <w:rPr>
          <w:sz w:val="20"/>
          <w:szCs w:val="20"/>
          <w:color w:val="auto"/>
        </w:rPr>
      </w:pPr>
    </w:p>
    <w:p>
      <w:pPr>
        <w:ind w:left="4768" w:right="2919" w:hanging="4768"/>
        <w:spacing w:after="0" w:line="951"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5"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4019"/>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Selected Financial Information</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279"/>
              <w:spacing w:after="0"/>
              <w:rPr>
                <w:sz w:val="20"/>
                <w:szCs w:val="20"/>
                <w:color w:val="auto"/>
              </w:rPr>
            </w:pPr>
            <w:r>
              <w:rPr>
                <w:rFonts w:ascii="Arial" w:cs="Arial" w:eastAsia="Arial" w:hAnsi="Arial"/>
                <w:sz w:val="14"/>
                <w:szCs w:val="14"/>
                <w:b w:val="1"/>
                <w:bCs w:val="1"/>
                <w:color w:val="auto"/>
                <w:w w:val="98"/>
              </w:rPr>
              <w:t>For the Nine Months</w:t>
            </w:r>
          </w:p>
        </w:tc>
        <w:tc>
          <w:tcPr>
            <w:tcW w:w="0" w:type="dxa"/>
            <w:vAlign w:val="bottom"/>
          </w:tcPr>
          <w:p>
            <w:pPr>
              <w:spacing w:after="0"/>
              <w:rPr>
                <w:sz w:val="1"/>
                <w:szCs w:val="1"/>
                <w:color w:val="auto"/>
              </w:rPr>
            </w:pP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 except per share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19"/>
              <w:spacing w:after="0" w:line="142"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9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2"/>
                <w:szCs w:val="12"/>
                <w:color w:val="auto"/>
              </w:rPr>
            </w:pPr>
          </w:p>
        </w:tc>
        <w:tc>
          <w:tcPr>
            <w:tcW w:w="6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79"/>
              <w:spacing w:after="0" w:line="142" w:lineRule="exact"/>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2"/>
                <w:szCs w:val="12"/>
                <w:color w:val="auto"/>
              </w:rPr>
            </w:pPr>
          </w:p>
        </w:tc>
        <w:tc>
          <w:tcPr>
            <w:tcW w:w="6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Ended</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i w:val="1"/>
                <w:iCs w:val="1"/>
                <w:color w:val="auto"/>
              </w:rPr>
              <w:t>data; taxable equivalent)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800" w:type="dxa"/>
            <w:vAlign w:val="bottom"/>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82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revenue reconciliation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Interest revenue — taxable equivalent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74,543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76,931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75,965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81,215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84,360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227,439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261,908</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(420)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(1,284)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Interest revenue (GAAP)</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74,123</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76,502</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75,530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80,718</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83,849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226,155</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260,404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revenue reconciliation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Net interest revenue — taxable equivalent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59,281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58,946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56,392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60,132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60,014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174,619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182,920</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(420)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(1,284)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Net interest revenue (GAAP)</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58,861</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58,517</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55,957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59,635</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173,335</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181,416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 reconciliation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Operating provision for loan losses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36,000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190,000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47,750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50,500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237,000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187,000</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Partial reversal of special fraud-related provision</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 loan loss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(11,750)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Provision for loan losses (GAAP)</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36,000</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11,000</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190,000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36,000</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237,000</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revenue reconciliation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Total operating revenue</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34,779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61,851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(121,770)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24,824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22,375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(25,140)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32,026</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(420)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(1,284)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3"/>
              </w:rPr>
              <w:t>Partial reversal of special fraud-related provision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for loan 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59"/>
              <w:spacing w:after="0"/>
              <w:rPr>
                <w:sz w:val="20"/>
                <w:szCs w:val="20"/>
                <w:color w:val="auto"/>
              </w:rPr>
            </w:pPr>
            <w:r>
              <w:rPr>
                <w:rFonts w:ascii="Arial" w:cs="Arial" w:eastAsia="Arial" w:hAnsi="Arial"/>
                <w:sz w:val="14"/>
                <w:szCs w:val="14"/>
                <w:color w:val="auto"/>
              </w:rPr>
              <w:t>11,750</w:t>
            </w:r>
          </w:p>
        </w:tc>
        <w:tc>
          <w:tcPr>
            <w:tcW w:w="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 (GAAP)</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34,359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61,422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(122,205)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36,077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21,864</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(26,424)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30,522</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Expense reconciliation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46,520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48,728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115,271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64,918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64,906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210,519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223,383</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210,590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210,590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expense (GAAP)</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48,728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115,271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64,918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275,496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210,519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433,973</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w w:val="99"/>
              </w:rPr>
              <w:t>(Loss) income from continuing operations</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8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200"/>
              <w:spacing w:after="0"/>
              <w:rPr>
                <w:sz w:val="20"/>
                <w:szCs w:val="20"/>
                <w:color w:val="auto"/>
              </w:rPr>
            </w:pPr>
            <w:r>
              <w:rPr>
                <w:rFonts w:ascii="Arial" w:cs="Arial" w:eastAsia="Arial" w:hAnsi="Arial"/>
                <w:sz w:val="14"/>
                <w:szCs w:val="14"/>
                <w:b w:val="1"/>
                <w:bCs w:val="1"/>
                <w:color w:val="auto"/>
              </w:rPr>
              <w:t>before taxes reconciliation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Operating (loss) income from continuing</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 before 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(11,741)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13,123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(237,041)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(40,094)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(42,531)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(235,659)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w w:val="96"/>
              </w:rPr>
              <w:t>(191,357)</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(429)</w:t>
            </w:r>
          </w:p>
        </w:tc>
        <w:tc>
          <w:tcPr>
            <w:tcW w:w="8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(1,284)</w:t>
            </w:r>
          </w:p>
        </w:tc>
        <w:tc>
          <w:tcPr>
            <w:tcW w:w="120" w:type="dxa"/>
            <w:vAlign w:val="bottom"/>
          </w:tcPr>
          <w:p>
            <w:pPr>
              <w:spacing w:after="0"/>
              <w:rPr>
                <w:sz w:val="12"/>
                <w:szCs w:val="12"/>
                <w:color w:val="auto"/>
              </w:rPr>
            </w:pPr>
          </w:p>
        </w:tc>
        <w:tc>
          <w:tcPr>
            <w:tcW w:w="6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(210,590)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6"/>
              </w:rPr>
              <w:t>(210,590)</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3"/>
              </w:rPr>
              <w:t>Partial reversal of special fraud-related provision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20" w:type="dxa"/>
            <w:vAlign w:val="bottom"/>
          </w:tcPr>
          <w:p>
            <w:pPr>
              <w:ind w:left="200"/>
              <w:spacing w:after="0"/>
              <w:rPr>
                <w:sz w:val="20"/>
                <w:szCs w:val="20"/>
                <w:color w:val="auto"/>
              </w:rPr>
            </w:pPr>
            <w:r>
              <w:rPr>
                <w:rFonts w:ascii="Arial" w:cs="Arial" w:eastAsia="Arial" w:hAnsi="Arial"/>
                <w:sz w:val="14"/>
                <w:szCs w:val="14"/>
                <w:color w:val="auto"/>
              </w:rPr>
              <w:t>for loan loss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59"/>
              <w:spacing w:after="0"/>
              <w:rPr>
                <w:sz w:val="20"/>
                <w:szCs w:val="20"/>
                <w:color w:val="auto"/>
              </w:rPr>
            </w:pPr>
            <w:r>
              <w:rPr>
                <w:rFonts w:ascii="Arial" w:cs="Arial" w:eastAsia="Arial" w:hAnsi="Arial"/>
                <w:sz w:val="14"/>
                <w:szCs w:val="14"/>
                <w:color w:val="auto"/>
              </w:rPr>
              <w:t>11,750</w:t>
            </w:r>
          </w:p>
        </w:tc>
        <w:tc>
          <w:tcPr>
            <w:tcW w:w="8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(Loss) income from continuing operations</w:t>
            </w: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before taxes (GAAP)</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(12,161)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12,694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(237,476)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(28,841)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(253,632)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(236,943)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w w:val="96"/>
              </w:rPr>
              <w:t>(403,451)</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w w:val="97"/>
              </w:rPr>
              <w:t>Income tax (benefit) expense reconciliation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tax (benefit) expense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(5,539)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(94,555)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(16,520)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(16,706)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(94,588)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(71,542)</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(429)</w:t>
            </w:r>
          </w:p>
        </w:tc>
        <w:tc>
          <w:tcPr>
            <w:tcW w:w="8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(1,284)</w:t>
            </w:r>
          </w:p>
        </w:tc>
        <w:tc>
          <w:tcPr>
            <w:tcW w:w="120" w:type="dxa"/>
            <w:vAlign w:val="bottom"/>
          </w:tcPr>
          <w:p>
            <w:pPr>
              <w:spacing w:after="0"/>
              <w:rPr>
                <w:sz w:val="12"/>
                <w:szCs w:val="12"/>
                <w:color w:val="auto"/>
              </w:rPr>
            </w:pPr>
          </w:p>
        </w:tc>
        <w:tc>
          <w:tcPr>
            <w:tcW w:w="6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Partial reversal of special fraud-related provision</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 loan loss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4,571</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tcPr>
          <w:p>
            <w:pPr>
              <w:ind w:left="200"/>
              <w:spacing w:after="0" w:line="155" w:lineRule="exact"/>
              <w:rPr>
                <w:sz w:val="20"/>
                <w:szCs w:val="20"/>
                <w:color w:val="auto"/>
              </w:rPr>
            </w:pPr>
            <w:r>
              <w:rPr>
                <w:rFonts w:ascii="Arial" w:cs="Arial" w:eastAsia="Arial" w:hAnsi="Arial"/>
                <w:sz w:val="14"/>
                <w:szCs w:val="14"/>
                <w:color w:val="auto"/>
              </w:rPr>
              <w:t>Income tax (benefit) expense (GAAP)</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(5,959</w:t>
            </w:r>
          </w:p>
        </w:tc>
        <w:tc>
          <w:tcPr>
            <w:tcW w:w="300" w:type="dxa"/>
            <w:vAlign w:val="bottom"/>
          </w:tcPr>
          <w:p>
            <w:pPr>
              <w:jc w:val="right"/>
              <w:ind w:right="2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5,077</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(94,990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(12,446</w:t>
            </w:r>
          </w:p>
        </w:tc>
        <w:tc>
          <w:tcPr>
            <w:tcW w:w="300" w:type="dxa"/>
            <w:vAlign w:val="bottom"/>
          </w:tcPr>
          <w:p>
            <w:pPr>
              <w:jc w:val="right"/>
              <w:ind w:right="2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(17,217</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(95,872</w:t>
            </w:r>
          </w:p>
        </w:tc>
        <w:tc>
          <w:tcPr>
            <w:tcW w:w="32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(73,046</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Diluted (loss) earnings from continuing</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operations per common share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reconciliation</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Diluted operating (loss) earnings from</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continuing operations per common share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19"/>
              <w:spacing w:after="0"/>
              <w:rPr>
                <w:sz w:val="20"/>
                <w:szCs w:val="20"/>
                <w:color w:val="auto"/>
              </w:rPr>
            </w:pPr>
            <w:r>
              <w:rPr>
                <w:rFonts w:ascii="Arial" w:cs="Arial" w:eastAsia="Arial" w:hAnsi="Arial"/>
                <w:sz w:val="14"/>
                <w:szCs w:val="14"/>
                <w:color w:val="auto"/>
              </w:rPr>
              <w:t>(.16)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19"/>
              <w:spacing w:after="0"/>
              <w:rPr>
                <w:sz w:val="20"/>
                <w:szCs w:val="20"/>
                <w:color w:val="auto"/>
              </w:rPr>
            </w:pPr>
            <w:r>
              <w:rPr>
                <w:rFonts w:ascii="Arial" w:cs="Arial" w:eastAsia="Arial" w:hAnsi="Arial"/>
                <w:sz w:val="14"/>
                <w:szCs w:val="14"/>
                <w:color w:val="auto"/>
              </w:rPr>
              <w:t>(7.87)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19"/>
              <w:spacing w:after="0"/>
              <w:rPr>
                <w:sz w:val="20"/>
                <w:szCs w:val="20"/>
                <w:color w:val="auto"/>
              </w:rPr>
            </w:pPr>
            <w:r>
              <w:rPr>
                <w:rFonts w:ascii="Arial" w:cs="Arial" w:eastAsia="Arial" w:hAnsi="Arial"/>
                <w:sz w:val="14"/>
                <w:szCs w:val="14"/>
                <w:color w:val="auto"/>
              </w:rPr>
              <w:t>(1.38)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(1.50)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(4.41)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39"/>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3"/>
              </w:rPr>
              <w:t>Partial reversal of special fraud-related provision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20" w:type="dxa"/>
            <w:vAlign w:val="bottom"/>
          </w:tcPr>
          <w:p>
            <w:pPr>
              <w:ind w:left="200"/>
              <w:spacing w:after="0"/>
              <w:rPr>
                <w:sz w:val="20"/>
                <w:szCs w:val="20"/>
                <w:color w:val="auto"/>
              </w:rPr>
            </w:pPr>
            <w:r>
              <w:rPr>
                <w:rFonts w:ascii="Arial" w:cs="Arial" w:eastAsia="Arial" w:hAnsi="Arial"/>
                <w:sz w:val="14"/>
                <w:szCs w:val="14"/>
                <w:color w:val="auto"/>
              </w:rPr>
              <w:t>for loan loss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59"/>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Diluted (loss) earnings from continuing</w:t>
            </w: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operations per common share (GAAP)</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(7.87)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(12.62)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(17.89)</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w w:val="93"/>
              </w:rPr>
              <w:t>Book value per common share reconciliation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book value per common share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11.26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14.44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23.78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25.26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Effect of goodwill and other intangibles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Book value per common share (GAAP)</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14.78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24.18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25.70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11.37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w w:val="97"/>
              </w:rPr>
              <w:t>Efficiency ratio from continuing operations</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8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200"/>
              <w:spacing w:after="0"/>
              <w:rPr>
                <w:sz w:val="20"/>
                <w:szCs w:val="20"/>
                <w:color w:val="auto"/>
              </w:rPr>
            </w:pPr>
            <w:r>
              <w:rPr>
                <w:rFonts w:ascii="Arial" w:cs="Arial" w:eastAsia="Arial" w:hAnsi="Arial"/>
                <w:sz w:val="14"/>
                <w:szCs w:val="14"/>
                <w:b w:val="1"/>
                <w:bCs w:val="1"/>
                <w:color w:val="auto"/>
              </w:rPr>
              <w:t>reconciliation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Operating efficiency ratio from continuing</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65.73%</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66.88%</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169.08%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89.45%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89.38%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99.39%</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102.14%</w:t>
            </w:r>
          </w:p>
        </w:tc>
        <w:tc>
          <w:tcPr>
            <w:tcW w:w="0" w:type="dxa"/>
            <w:vAlign w:val="bottom"/>
          </w:tcPr>
          <w:p>
            <w:pPr>
              <w:spacing w:after="0"/>
              <w:rPr>
                <w:sz w:val="1"/>
                <w:szCs w:val="1"/>
                <w:color w:val="auto"/>
              </w:rPr>
            </w:pPr>
          </w:p>
        </w:tc>
      </w:tr>
      <w:tr>
        <w:trPr>
          <w:trHeight w:val="156"/>
        </w:trPr>
        <w:tc>
          <w:tcPr>
            <w:tcW w:w="282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290.00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96.29</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Efficiency ratio from continuing operations</w:t>
            </w: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(GAAP)</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65.73%</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66.88%</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169.08%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89.45%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379.38%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99.39%</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198.43%</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Average equity to assets reconciliation</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common equity to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Effect of preferred equity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6.34</w:t>
            </w:r>
          </w:p>
        </w:tc>
        <w:tc>
          <w:tcPr>
            <w:tcW w:w="8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2.40</w:t>
            </w: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4.09</w:t>
            </w:r>
          </w:p>
        </w:tc>
        <w:tc>
          <w:tcPr>
            <w:tcW w:w="12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equity to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11.13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Effect of goodwill and other intangibles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to assets (GAAP)</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11.83%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8.85%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Actual tangible common equity to risk-</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82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200"/>
              <w:spacing w:after="0"/>
              <w:rPr>
                <w:sz w:val="20"/>
                <w:szCs w:val="20"/>
                <w:color w:val="auto"/>
              </w:rPr>
            </w:pPr>
            <w:r>
              <w:rPr>
                <w:rFonts w:ascii="Arial" w:cs="Arial" w:eastAsia="Arial" w:hAnsi="Arial"/>
                <w:sz w:val="14"/>
                <w:szCs w:val="14"/>
                <w:b w:val="1"/>
                <w:bCs w:val="1"/>
                <w:color w:val="auto"/>
              </w:rPr>
              <w:t>weighted assets reconciliation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Tangible common equity to risk-weighted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14.41%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9.05%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14.41%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Effect of other comprehensive income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w:t>
            </w:r>
          </w:p>
        </w:tc>
        <w:tc>
          <w:tcPr>
            <w:tcW w:w="8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(.58)</w:t>
            </w:r>
          </w:p>
        </w:tc>
        <w:tc>
          <w:tcPr>
            <w:tcW w:w="120" w:type="dxa"/>
            <w:vAlign w:val="bottom"/>
          </w:tcPr>
          <w:p>
            <w:pPr>
              <w:spacing w:after="0"/>
              <w:rPr>
                <w:sz w:val="12"/>
                <w:szCs w:val="12"/>
                <w:color w:val="auto"/>
              </w:rPr>
            </w:pPr>
          </w:p>
        </w:tc>
        <w:tc>
          <w:tcPr>
            <w:tcW w:w="6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deferred tax limitation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Effect of trust preferred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1.18</w:t>
            </w:r>
          </w:p>
        </w:tc>
        <w:tc>
          <w:tcPr>
            <w:tcW w:w="12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preferred equity</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3.52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0"/>
              <w:spacing w:after="0"/>
              <w:rPr>
                <w:sz w:val="20"/>
                <w:szCs w:val="20"/>
                <w:color w:val="auto"/>
              </w:rPr>
            </w:pPr>
            <w:r>
              <w:rPr>
                <w:rFonts w:ascii="Arial" w:cs="Arial" w:eastAsia="Arial" w:hAnsi="Arial"/>
                <w:sz w:val="14"/>
                <w:szCs w:val="14"/>
                <w:color w:val="auto"/>
              </w:rPr>
              <w:t>Tier I capital ratio (Regulatory)</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39"/>
              <w:spacing w:after="0" w:line="155" w:lineRule="exact"/>
              <w:rPr>
                <w:sz w:val="20"/>
                <w:szCs w:val="20"/>
                <w:color w:val="auto"/>
              </w:rPr>
            </w:pPr>
            <w:r>
              <w:rPr>
                <w:rFonts w:ascii="Arial" w:cs="Arial" w:eastAsia="Arial" w:hAnsi="Arial"/>
                <w:sz w:val="14"/>
                <w:szCs w:val="14"/>
                <w:color w:val="auto"/>
              </w:rPr>
              <w:t>13.97%</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13.88%</w:t>
            </w:r>
          </w:p>
        </w:tc>
        <w:tc>
          <w:tcPr>
            <w:tcW w:w="80" w:type="dxa"/>
            <w:vAlign w:val="bottom"/>
          </w:tcPr>
          <w:p>
            <w:pPr>
              <w:spacing w:after="0"/>
              <w:rPr>
                <w:sz w:val="13"/>
                <w:szCs w:val="13"/>
                <w:color w:val="auto"/>
              </w:rPr>
            </w:pPr>
          </w:p>
        </w:tc>
        <w:tc>
          <w:tcPr>
            <w:tcW w:w="800" w:type="dxa"/>
            <w:vAlign w:val="bottom"/>
            <w:gridSpan w:val="2"/>
          </w:tcPr>
          <w:p>
            <w:pPr>
              <w:jc w:val="right"/>
              <w:ind w:right="39"/>
              <w:spacing w:after="0" w:line="155" w:lineRule="exact"/>
              <w:rPr>
                <w:sz w:val="20"/>
                <w:szCs w:val="20"/>
                <w:color w:val="auto"/>
              </w:rPr>
            </w:pPr>
            <w:r>
              <w:rPr>
                <w:rFonts w:ascii="Arial" w:cs="Arial" w:eastAsia="Arial" w:hAnsi="Arial"/>
                <w:sz w:val="14"/>
                <w:szCs w:val="14"/>
                <w:color w:val="auto"/>
              </w:rPr>
              <w:t>7.81%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39"/>
              <w:spacing w:after="0" w:line="155" w:lineRule="exact"/>
              <w:rPr>
                <w:sz w:val="20"/>
                <w:szCs w:val="20"/>
                <w:color w:val="auto"/>
              </w:rPr>
            </w:pPr>
            <w:r>
              <w:rPr>
                <w:rFonts w:ascii="Arial" w:cs="Arial" w:eastAsia="Arial" w:hAnsi="Arial"/>
                <w:sz w:val="14"/>
                <w:szCs w:val="14"/>
                <w:color w:val="auto"/>
              </w:rPr>
              <w:t>9.67%</w:t>
            </w:r>
          </w:p>
        </w:tc>
        <w:tc>
          <w:tcPr>
            <w:tcW w:w="80" w:type="dxa"/>
            <w:vAlign w:val="bottom"/>
          </w:tcPr>
          <w:p>
            <w:pPr>
              <w:spacing w:after="0"/>
              <w:rPr>
                <w:sz w:val="13"/>
                <w:szCs w:val="13"/>
                <w:color w:val="auto"/>
              </w:rPr>
            </w:pPr>
          </w:p>
        </w:tc>
        <w:tc>
          <w:tcPr>
            <w:tcW w:w="82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10.42%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13.97%</w:t>
            </w:r>
          </w:p>
        </w:tc>
        <w:tc>
          <w:tcPr>
            <w:tcW w:w="12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charge-offs reconciliation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Operating net charge-offs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17,546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16,483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231,574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47,668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49,998</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265,603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167,989</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Subsequent partial recovery of fraud-related</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charge-off</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(11,750)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Net charge-offs (GAAP)</w:t>
            </w:r>
          </w:p>
        </w:tc>
        <w:tc>
          <w:tcPr>
            <w:tcW w:w="1180" w:type="dxa"/>
            <w:vAlign w:val="bottom"/>
            <w:gridSpan w:val="3"/>
          </w:tcPr>
          <w:p>
            <w:pPr>
              <w:jc w:val="right"/>
              <w:ind w:right="300"/>
              <w:spacing w:after="0"/>
              <w:rPr>
                <w:sz w:val="20"/>
                <w:szCs w:val="20"/>
                <w:color w:val="auto"/>
              </w:rPr>
            </w:pPr>
            <w:r>
              <w:rPr>
                <w:rFonts w:ascii="Arial" w:cs="Arial" w:eastAsia="Arial" w:hAnsi="Arial"/>
                <w:sz w:val="14"/>
                <w:szCs w:val="14"/>
                <w:color w:val="auto"/>
              </w:rPr>
              <w:t>$   17,546</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   16,483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  231,574</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color w:val="auto"/>
              </w:rPr>
              <w:t>$   35,918</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   49,998</w:t>
            </w:r>
          </w:p>
        </w:tc>
        <w:tc>
          <w:tcPr>
            <w:tcW w:w="1080" w:type="dxa"/>
            <w:vAlign w:val="bottom"/>
            <w:gridSpan w:val="3"/>
          </w:tcPr>
          <w:p>
            <w:pPr>
              <w:jc w:val="right"/>
              <w:ind w:right="320"/>
              <w:spacing w:after="0"/>
              <w:rPr>
                <w:sz w:val="20"/>
                <w:szCs w:val="20"/>
                <w:color w:val="auto"/>
              </w:rPr>
            </w:pPr>
            <w:r>
              <w:rPr>
                <w:rFonts w:ascii="Arial" w:cs="Arial" w:eastAsia="Arial" w:hAnsi="Arial"/>
                <w:sz w:val="14"/>
                <w:szCs w:val="14"/>
                <w:color w:val="auto"/>
              </w:rPr>
              <w:t>$  265,603</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  167,989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charge-offs to average loans</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reconciliation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Operating net charge-offs to average loans</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1.68%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20.71%</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4.03%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w:t>
            </w: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8.28%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Subsequent partial recovery of fraud-related</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charge-off</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Net charge-offs to average loans (GAAP)</w:t>
            </w: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1.68%</w:t>
            </w:r>
          </w:p>
        </w:tc>
        <w:tc>
          <w:tcPr>
            <w:tcW w:w="10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1.58%</w:t>
            </w: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20.71%</w:t>
            </w:r>
          </w:p>
        </w:tc>
        <w:tc>
          <w:tcPr>
            <w:tcW w:w="100" w:type="dxa"/>
            <w:vAlign w:val="bottom"/>
            <w:vMerge w:val="continue"/>
          </w:tcPr>
          <w:p>
            <w:pPr>
              <w:spacing w:after="0"/>
              <w:rPr>
                <w:sz w:val="13"/>
                <w:szCs w:val="13"/>
                <w:color w:val="auto"/>
              </w:rPr>
            </w:pPr>
          </w:p>
        </w:tc>
        <w:tc>
          <w:tcPr>
            <w:tcW w:w="9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3.03%</w:t>
            </w: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4.12%</w:t>
            </w:r>
          </w:p>
        </w:tc>
        <w:tc>
          <w:tcPr>
            <w:tcW w:w="100" w:type="dxa"/>
            <w:vAlign w:val="bottom"/>
            <w:vMerge w:val="continue"/>
          </w:tcPr>
          <w:p>
            <w:pPr>
              <w:spacing w:after="0"/>
              <w:rPr>
                <w:sz w:val="13"/>
                <w:szCs w:val="13"/>
                <w:color w:val="auto"/>
              </w:rPr>
            </w:pPr>
          </w:p>
        </w:tc>
        <w:tc>
          <w:tcPr>
            <w:tcW w:w="9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8.28%</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2"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59"/>
        <w:spacing w:after="0" w:line="285" w:lineRule="auto"/>
        <w:rPr>
          <w:sz w:val="20"/>
          <w:szCs w:val="20"/>
          <w:color w:val="auto"/>
        </w:rPr>
      </w:pPr>
      <w:r>
        <w:rPr>
          <w:rFonts w:ascii="Arial" w:cs="Arial" w:eastAsia="Arial" w:hAnsi="Arial"/>
          <w:sz w:val="16"/>
          <w:szCs w:val="16"/>
          <w:color w:val="auto"/>
        </w:rPr>
        <w:t>United reported a net operating loss from continuing operations of $6.20 million for the third quarter of 2011. This compared to a net operating loss from continuing operations of $25.8 million for the same period in 2010, which excluded a goodwill impairment charge of $211 million. Including the goodwill impairment charge, the net loss for the third quarter of 2010 was $236 million. The loss for the third quarter of 2011 was due to the classification of United’s largest lending relationship which resulted in the recording of a $25.0 million provision for loan losses. For the third quarter of 2011, diluted operating loss from continuing operations per share was $.16. This compared to diluted operating loss from continuing operations per share of $1.50 for the third quarter of 2010, which excluded $11.12 in loss per share related to goodwill impairment bringing the total loss from continuing operations per share to $12.62. For the nine months ended September 30, 2011, United reported a net operating loss from continuing operations of $141 million compared to a net operating loss from continuing operations of $120 million for the same period in 2010, which excludes the $211 million charge for goodwill impairment in 2010. The operating loss for the nine months ended September 30, 2011 reflects the Board of Directors’ decision in the first quarter to adopt the Problem Asset Disposition Plan to quickly dispose of problem assets following United’s successful private placement at the end of the first quarter. Diluted operating loss from continuing operations per common share was $4.41 for the nine months ended September 30, 2011, compared with diluted operating loss from continuing operations per common share of $6.75 for the same period in 2010. The diluted operating loss per share from continuing operations for the first nine months of 2010 excluded $11.14 in loss per share related to the third quarter 2010 goodwill impairment charge bringing the total loss from continuing operations per share to $17.89. See schedule on page 36 for a reconciliation of operating performance measures to the most closely related performance measures calculated in accordance with GAAP.</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189"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September 30, 2011 was $59.3 million, down $733,000, or 1%, from the third quarter of 2010. The decrease in net interest revenue for the third quarter of 2011 compared to the third quarter of 2010 was mostly due to lower average loan balances which was substantially offset by lower rates on deposits and a more favorable deposit mix. United continues its intense focus on loan and deposit pricing, in an effort to maintain a steady level of net interest revenue.</w:t>
      </w:r>
    </w:p>
    <w:p>
      <w:pPr>
        <w:spacing w:after="0" w:line="15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Average loans decreased $702 million, or 14%, from the third quarter of last year. The decrease in the loan portfolio was primarily the result of weak loan demand as well as the Bulk Loan Sale completed in April 2011. Loan charge-offs, foreclosure activity and management’s efforts to rebalance the loan portfolio by reducing the concentration of residential construction loans have also contributed to declining loan balances. While loan balances have declined, United continues to make new loans. During the third quarter of 2011, United funded $87.8 million in new loans, primarily commercial and small business loans in north Georgia, the Atlanta MSA and coastal Georgia.</w:t>
      </w:r>
    </w:p>
    <w:p>
      <w:pPr>
        <w:spacing w:after="0" w:line="153"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Average interest-earning assets for the third quarter of 2011 decreased $45.8 thousand, or 1%, from the same period in 2010. Average loans decreased $702 million from the third quarter of 2010, however this decrease was offset by a $739 million increase in average investment securities. The increase in the securities portfolio was due to purchases of floating rate mortgage-backed securities in an effort to temporarily invest excess liquidity, including the proceeds from the new capital raised at the end of the first quarter of 2011. Average interest-bearing liabilities decreased $387 million, or 7%, from the third quarter of 2010 due to the rolling off of higher-cost brokered deposits and certificates of deposit as funding needs decreased. The average yield on interest earning assets for the three months ended September 30, 2011, was 4.47%, down 55 basis points from 5.02% for the same period of 2010. A significant contributing factor to the decrease in the yield on interest earning assets was due to the build-up of excess liquidity resulting in a shift in earning asset mix from loans, which generally yield a higher rate than other asset classes, to temporary investments which have relatively low yields. The change in mix more than offset a 7 basis point increase in the average loan yield from the third quarter of 2010. In light of the weak economic environment, in late 2010, United sought to maintain above normal levels of liquidity by entering into brokered deposit arrangements and temporarily investing the proceeds in floating rate mortgage-backed securities at a slightly negative spread. Liquidity levels increased further as a result of the first quarter capital transaction. Following the capital transaction, management has sought to reduce liquidity levels and will continue to do so.</w:t>
      </w:r>
    </w:p>
    <w:p>
      <w:pPr>
        <w:spacing w:after="0" w:line="13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average cost of interest-bearing liabilities for the third quarter of 2011 was 1.12% compared to 1.66% for the same period of 2010, reflecting United’s ability to reduce deposit pricing. Also contributing to the overall lower rate on interest-bearing liabilities was a shift in the mix of deposits away from more expensive time deposits toward lower-rate transaction deposits. United’s shrinking balance sheet also permitted the reduction of more expensive wholesale borrowings.</w:t>
      </w:r>
    </w:p>
    <w:p>
      <w:pPr>
        <w:spacing w:after="0" w:line="16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investments, and is defined as net interest revenue as a percent of average total interest-earning assets, which includes the positive effect of funding a portion of interest-earning assets with customers’ non-interest bearing deposits and stockholders’ equity.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For the three months ended September 30, 2011 and 2010, the net interest spread was 3.35% and 3.36%, respectively, while the net interest margin was 3.55% and 3.57%, respectively. The reduction in average loan balances negatively impacted the margin.</w:t>
      </w:r>
    </w:p>
    <w:p>
      <w:pPr>
        <w:spacing w:after="0" w:line="97"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For the first nine months of 2011, net interest revenue was $175 million, a decrease of $8.30 million, or 5%, from the first nine months of 2010. Average earning assets decreased $52.8 million, or 1%, during the first nine months of 2011 compared to the same period a year earlier. The yield on earning assets decreased 63 basis points from 5.09% for the nine months ended September 30, 2010 to 4.46% for the nine months ended September 30, 2011 due to declining average loan balances, an increase in excess liquidity invested in short-term low rate assets, and interest reversals on performing loans classified as held for sale as part of the Bulk Loan Sale. The transfer reduced net interest margin by 4 basis points in the first nine months of 2011. The cost of interest bearing liabilities over the same period decreased 53 basis points. The combined effect of the lower yield on interest-earning assets, partially offset by the lower cost of interest-bearing liabilities resulted in the net interest margin decreasing 14 basis points from the nine months ended September 30, 2010 to the nine months ended September 30, 2011. The buildup of excess liquidity also contributed to the decrease in the net interest margin.</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September 30, 2011 and 2010.</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2 — Average Consolidated Balance Sheets and Net Interest Analysis </w:t>
      </w:r>
      <w:r>
        <w:rPr>
          <w:rFonts w:ascii="Arial" w:cs="Arial" w:eastAsia="Arial" w:hAnsi="Arial"/>
          <w:sz w:val="18"/>
          <w:szCs w:val="18"/>
          <w:color w:val="auto"/>
        </w:rPr>
        <w:t>For the Three Months Ended September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2011</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Avg.</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Rate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$4,193,951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59,394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$4,896,471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68,540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2,125,154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14,324</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1,384,682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14,431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26,481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286,194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426</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368,108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930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6,629,974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74,543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6,675,742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84,360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(194,300)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107,825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528,461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752,780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7,261,079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7,521,886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$1,258,929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$1,318,779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1,024,559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1,129</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781,903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1,930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186,123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1,448,024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4,539</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1,541,772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7,190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940,864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1,065,789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260,423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1,091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573,606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3,403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5,132,592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5,467,972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19,817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425"/>
        </w:trPr>
        <w:tc>
          <w:tcPr>
            <w:tcW w:w="322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103,850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1,081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104,370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1,068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Federal Home Loan Bank advances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80,220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138,457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2,642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7.57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150,119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2,665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282,932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4,164</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334,709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421"/>
        </w:trPr>
        <w:tc>
          <w:tcPr>
            <w:tcW w:w="32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5,415,524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15,262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5,802,681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24,346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928,788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789,231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74,482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6,401,739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6,666,394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855,492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7,261,079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7,521,886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59,281</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60,014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79" w:hanging="388"/>
        <w:spacing w:after="0" w:line="325"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4"/>
          <w:szCs w:val="14"/>
          <w:color w:val="auto"/>
        </w:rPr>
      </w:pPr>
    </w:p>
    <w:p>
      <w:pPr>
        <w:ind w:left="720" w:right="159" w:hanging="388"/>
        <w:spacing w:after="0" w:line="277"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Included in the average balance of loans outstanding are loans where the accrual of interest has been discontinued and loans that are held for sale.</w:t>
      </w:r>
    </w:p>
    <w:p>
      <w:pPr>
        <w:spacing w:after="0" w:line="21" w:lineRule="exact"/>
        <w:rPr>
          <w:rFonts w:ascii="Arial" w:cs="Arial" w:eastAsia="Arial" w:hAnsi="Arial"/>
          <w:sz w:val="15"/>
          <w:szCs w:val="15"/>
          <w:color w:val="auto"/>
        </w:rPr>
      </w:pPr>
    </w:p>
    <w:p>
      <w:pPr>
        <w:ind w:left="720" w:right="179" w:hanging="388"/>
        <w:spacing w:after="0" w:line="277"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Securities available for sale are shown at amortized cost. Pretax unrealized gains of $37.9 million in 2011 and $45.4 million in 2010 are included in other assets for purposes of this presentation.</w:t>
      </w:r>
    </w:p>
    <w:p>
      <w:pPr>
        <w:spacing w:after="0" w:line="21" w:lineRule="exact"/>
        <w:rPr>
          <w:rFonts w:ascii="Arial" w:cs="Arial" w:eastAsia="Arial" w:hAnsi="Arial"/>
          <w:sz w:val="15"/>
          <w:szCs w:val="15"/>
          <w:color w:val="auto"/>
        </w:rPr>
      </w:pPr>
    </w:p>
    <w:p>
      <w:pPr>
        <w:ind w:left="720" w:hanging="388"/>
        <w:spacing w:after="0"/>
        <w:tabs>
          <w:tab w:leader="none" w:pos="7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0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nine months ended September 30, 2011 and 2010.</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Nine Months Ended September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Avg.</w:t>
            </w:r>
          </w:p>
        </w:tc>
        <w:tc>
          <w:tcPr>
            <w:tcW w:w="400" w:type="dxa"/>
            <w:vAlign w:val="bottom"/>
          </w:tcPr>
          <w:p>
            <w:pPr>
              <w:spacing w:after="0"/>
              <w:rPr>
                <w:sz w:val="16"/>
                <w:szCs w:val="16"/>
                <w:color w:val="auto"/>
              </w:rPr>
            </w:pPr>
          </w:p>
        </w:tc>
        <w:tc>
          <w:tcPr>
            <w:tcW w:w="11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Interest</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4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4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$4,351,524</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$ 181,422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$5,025,739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211,399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1,926,365</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42,210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1,458,120</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45,857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25,178</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1,234</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28,470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514,392</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2,573</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357,881</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3,202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6,817,459</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227,439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6,870,210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261,908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(145,689)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(191,888)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102,251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104,446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178,694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180,936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539,177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758,903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7,491,892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7,722,607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$1,313,752</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3,191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$1,335,034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5,304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977,863</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4,656</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750,685</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5,516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194,433</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184,420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1,509,753</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14,980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1,612,691</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23,968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973,335</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11,480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1,110,195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475,687</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5,353</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650,588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11,669</w:t>
            </w: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5,444,823</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39,853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5,643,613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65,085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25"/>
        </w:trPr>
        <w:tc>
          <w:tcPr>
            <w:tcW w:w="322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102,711</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3,197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4.16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103,697</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3,162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Federal Home Loan Bank advances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49,442</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1,601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100,727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146,221</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8,169</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7.47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150,098</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7,994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298,374</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12,967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354,522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13,903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421"/>
        </w:trPr>
        <w:tc>
          <w:tcPr>
            <w:tcW w:w="32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5,743,197</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52,820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5,998,135</w:t>
            </w:r>
          </w:p>
        </w:tc>
        <w:tc>
          <w:tcPr>
            <w:tcW w:w="12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78,988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884,417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755,845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64,622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6,696,745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6,818,602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795,147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904,005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7,491,892</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7,722,607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$ 174,619</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182,920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3.23%</w:t>
            </w: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79" w:hanging="388"/>
        <w:spacing w:after="0" w:line="325"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4"/>
          <w:szCs w:val="14"/>
          <w:color w:val="auto"/>
        </w:rPr>
      </w:pPr>
    </w:p>
    <w:p>
      <w:pPr>
        <w:ind w:left="720" w:right="159" w:hanging="388"/>
        <w:spacing w:after="0" w:line="277" w:lineRule="auto"/>
        <w:tabs>
          <w:tab w:leader="none" w:pos="7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Included in the average balance of loans outstanding are loans where the accrual of interest has been discontinued and loans that are held for sale.</w:t>
      </w:r>
    </w:p>
    <w:p>
      <w:pPr>
        <w:spacing w:after="0" w:line="21" w:lineRule="exact"/>
        <w:rPr>
          <w:rFonts w:ascii="Arial" w:cs="Arial" w:eastAsia="Arial" w:hAnsi="Arial"/>
          <w:sz w:val="15"/>
          <w:szCs w:val="15"/>
          <w:color w:val="auto"/>
        </w:rPr>
      </w:pPr>
    </w:p>
    <w:p>
      <w:pPr>
        <w:ind w:left="720" w:right="179" w:hanging="388"/>
        <w:spacing w:after="0" w:line="277" w:lineRule="auto"/>
        <w:tabs>
          <w:tab w:leader="none" w:pos="7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Securities available for sale are shown at amortized cost. Pretax unrealized gains of $32.4 million in 2011 and $44.1 million in 2010 are included in other assets for purposes of this presentation.</w:t>
      </w:r>
    </w:p>
    <w:p>
      <w:pPr>
        <w:spacing w:after="0" w:line="21" w:lineRule="exact"/>
        <w:rPr>
          <w:rFonts w:ascii="Arial" w:cs="Arial" w:eastAsia="Arial" w:hAnsi="Arial"/>
          <w:sz w:val="15"/>
          <w:szCs w:val="15"/>
          <w:color w:val="auto"/>
        </w:rPr>
      </w:pPr>
    </w:p>
    <w:p>
      <w:pPr>
        <w:ind w:left="720" w:hanging="388"/>
        <w:spacing w:after="0"/>
        <w:tabs>
          <w:tab w:leader="none" w:pos="7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0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right="3559"/>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3540" w:type="dxa"/>
            <w:vAlign w:val="bottom"/>
            <w:gridSpan w:val="12"/>
          </w:tcPr>
          <w:p>
            <w:pPr>
              <w:jc w:val="center"/>
              <w:ind w:right="360"/>
              <w:spacing w:after="0"/>
              <w:rPr>
                <w:sz w:val="20"/>
                <w:szCs w:val="20"/>
                <w:color w:val="auto"/>
              </w:rPr>
            </w:pPr>
            <w:r>
              <w:rPr>
                <w:rFonts w:ascii="Arial" w:cs="Arial" w:eastAsia="Arial" w:hAnsi="Arial"/>
                <w:sz w:val="18"/>
                <w:szCs w:val="18"/>
                <w:b w:val="1"/>
                <w:bCs w:val="1"/>
                <w:color w:val="auto"/>
                <w:w w:val="90"/>
              </w:rPr>
              <w:t>Three Months Ended September 30, 2011</w:t>
            </w:r>
          </w:p>
        </w:tc>
        <w:tc>
          <w:tcPr>
            <w:tcW w:w="316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 30, 2011</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Compared to 2010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2010</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Due to Changes in</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Due to Changes in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9"/>
              </w:rPr>
              <w:t>Volume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8"/>
                <w:szCs w:val="18"/>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(9,940)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794</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(28,125)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(29,977)</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(16,076)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 interest-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(1,722)</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r>
      <w:tr>
        <w:trPr>
          <w:trHeight w:val="223"/>
        </w:trPr>
        <w:tc>
          <w:tcPr>
            <w:tcW w:w="3020" w:type="dxa"/>
            <w:vAlign w:val="bottom"/>
          </w:tcPr>
          <w:p>
            <w:pPr>
              <w:ind w:left="200"/>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(14,766)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(19,703)</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(34,469)</w:t>
            </w:r>
          </w:p>
        </w:tc>
        <w:tc>
          <w:tcPr>
            <w:tcW w:w="100" w:type="dxa"/>
            <w:vAlign w:val="bottom"/>
          </w:tcPr>
          <w:p>
            <w:pPr>
              <w:spacing w:after="0"/>
              <w:rPr>
                <w:sz w:val="19"/>
                <w:szCs w:val="19"/>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(2,113)</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(2,050)</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(4,828)</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(6,898)</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(6,316)</w:t>
            </w: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(20,395)</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(25,232)</w:t>
            </w:r>
          </w:p>
        </w:tc>
        <w:tc>
          <w:tcPr>
            <w:tcW w:w="100" w:type="dxa"/>
            <w:vAlign w:val="bottom"/>
          </w:tcPr>
          <w:p>
            <w:pPr>
              <w:spacing w:after="0"/>
              <w:rPr>
                <w:sz w:val="20"/>
                <w:szCs w:val="20"/>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(1,146)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r>
      <w:tr>
        <w:trPr>
          <w:trHeight w:val="198"/>
        </w:trPr>
        <w:tc>
          <w:tcPr>
            <w:tcW w:w="302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interest-bearing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(9,084)</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(19,501)</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(26,168)</w:t>
            </w:r>
          </w:p>
        </w:tc>
      </w:tr>
      <w:tr>
        <w:trPr>
          <w:trHeight w:val="421"/>
        </w:trPr>
        <w:tc>
          <w:tcPr>
            <w:tcW w:w="3020" w:type="dxa"/>
            <w:vAlign w:val="bottom"/>
          </w:tcPr>
          <w:p>
            <w:pPr>
              <w:ind w:left="600"/>
              <w:spacing w:after="0"/>
              <w:rPr>
                <w:sz w:val="20"/>
                <w:szCs w:val="20"/>
                <w:color w:val="auto"/>
              </w:rPr>
            </w:pPr>
            <w:r>
              <w:rPr>
                <w:rFonts w:ascii="Arial" w:cs="Arial" w:eastAsia="Arial" w:hAnsi="Arial"/>
                <w:sz w:val="18"/>
                <w:szCs w:val="18"/>
                <w:b w:val="1"/>
                <w:bCs w:val="1"/>
                <w:color w:val="auto"/>
              </w:rPr>
              <w:t>Decrease in net interest</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20" w:type="dxa"/>
            <w:vAlign w:val="bottom"/>
          </w:tcPr>
          <w:p>
            <w:pPr>
              <w:ind w:left="80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(1,331)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598</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(8,099)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(8,301)</w:t>
            </w:r>
          </w:p>
        </w:tc>
      </w:tr>
      <w:tr>
        <w:trPr>
          <w:trHeight w:val="20"/>
        </w:trPr>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85"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quarter-end. The provision for loan losses was $36.0 million and $237 million for the third quarter and the first nine months of 2011, respectively, compared to $50.5 million and $187 million for the same periods in 2010. The amount of provision recorded in the third quarter was the amount required such that the total allowance for loan losses reflected the appropriate balance, in the estimation of management, and was sufficient to cover inherent losses in the loan portfolio. During the third quarter of 2011, United recorded a loan loss allocation of $25.0 million related to the classification of its largest lending relationship. For the nine months ended September 30, 2011, the increase in the provision for loan losses compared to a year ago was primarily due to the increased level of charge-offs in the first quarter of 2011 recorded in conjunction with the Problem Asset Disposition Plan and transfer of loans to the held for sale category in anticipation of the Bulk Loan Sale. This also had the impact of lowering the second quarter 2011 provision for loan losses due to the lower level of nonperforming loans and net charge-offs. For the three and nine months ended September 30, 2011, net loan charge-offs as an annualized percentage of average outstanding loans were 1.68% and 8.28%, compared to 4.12% and 4.54%, respectively, for the same periods in 2010.</w:t>
      </w:r>
    </w:p>
    <w:p>
      <w:pPr>
        <w:spacing w:after="0" w:line="142"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As the residential construction and housing markets have struggled, it has been difficult for many builders and developers to obtain cash flow needed to service debt from selling lots and houses. This deterioration of the residential construction and housing market was the primary factor that resulted in higher credit losses and increases in non-performing assets over the last three years. Although a majority of the charge-offs have been within the residential construction and development portion of the portfolio, credit quality deterioration has migrated to other loan categories as pressure resulting from economic conditions has persisted and unemployment levels have remained high throughout United’s markets. Additional discussion on credit quality and the allowance for loan losses is included in the Asset Quality and Risk Elements section of this report on page 46.</w:t>
      </w:r>
    </w:p>
    <w:p>
      <w:pPr>
        <w:sectPr>
          <w:pgSz w:w="11900" w:h="16838" w:orient="portrait"/>
          <w:cols w:equalWidth="0" w:num="1">
            <w:col w:w="10219"/>
          </w:cols>
          <w:pgMar w:left="240" w:top="419" w:right="1440" w:bottom="1054"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54"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Operating fee revenue for the three and nine months ended September 30, 2011 was $11.5 million and $37.2 million, respectively, a decrease of $1.36 million, or 11%, compared to third quarter 2010, and an increase of $1.14 million, or 3%, from the year-to-date period of 2010. Fee revenue from continuing operations excludes consulting fees earned by United’s Brintech subsidiary which was sold on March 31, 2010.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fee revenue for the third quarters and first nine months of 2011 and 2010.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2"/>
              </w:rPr>
              <w:t>Nine Months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Pr>
          <w:p>
            <w:pPr>
              <w:spacing w:after="0"/>
              <w:rPr>
                <w:sz w:val="20"/>
                <w:szCs w:val="20"/>
                <w:color w:val="auto"/>
              </w:rPr>
            </w:pPr>
          </w:p>
        </w:tc>
        <w:tc>
          <w:tcPr>
            <w:tcW w:w="21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2010</w:t>
            </w:r>
          </w:p>
        </w:tc>
        <w:tc>
          <w:tcPr>
            <w:tcW w:w="3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2011</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3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Overdraft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4,427</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13,396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3,302</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2,517</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7,465</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Service charges and fees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3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23,088</w:t>
            </w: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5,151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Brokerage fees</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731</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1,884</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2,491</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Losses from prepayment of</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(2,233)</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(2,233)</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Hedge ineffectiveness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4,687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1,185</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1,817</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4,847</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4,479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fee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12,861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36,106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Service charges and fees of $7.5 million were down $114,000, or 1%, from the third quarter of 2010. For the first nine months of 2011, service charges and fees of $21.9 million were down $1.23 million, or 5%, from the same period in 2010. The decrease was primarily due to a 20% decline in overdraft fees resulting from decreased utilization of our courtesy overdraft services with the changes to Regulation E in 2010 requiring customers to opt in to such services. The decrease in overdraft fees was partially offset by higher ATM and debit card interchange revenue.</w:t>
      </w:r>
    </w:p>
    <w:p>
      <w:pPr>
        <w:spacing w:after="0" w:line="14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Mortgage loans and related fees for the third quarter and first nine months of 2011 were down $923,000, or 45%, and $1.56 million, or 30%, respectively, from the same periods in 2010. In the third quarter of 2011, United closed 387 loans totaling $57.4 million compared with 582 loans totaling $99.7 million in the third quarter of 2010. Origination volumes were driven by the changing interest rate environment which had a significant impact on refinancing activity. Year-to-date mortgage production in 2011 amounted to 1,217 loans totaling $182 million, compared to 1,469 loans totaling $235 million for the same period in 2010.</w:t>
      </w:r>
    </w:p>
    <w:p>
      <w:pPr>
        <w:spacing w:after="0" w:line="132"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United recognized net securities gains of $838,000 for the nine months ended September 30, 2011. Net securities gains totaled $2.49 million in the third quarter of 2010 and $2.55 million for the first nine months of 2010. No securities gains were recognized in the third quarter of 2011. The 2010 net gain included $950,000 in impairment charges on trust preferred securities of a bank whose financial condition had deteriorated. The impairment charge was more than offset by realized gains from securities sales. United also recognized losses from the prepayment of Federal Home Loan Bank advances in the first nine months of 2011 and 2010, and the third quarter of 2010. The losses were part of the same balance sheet management activities that resulted in the securities gains. The securities gains and prepayment losses are mostly offsetting and had little net impact on financial results in the periods incurred.</w:t>
      </w:r>
    </w:p>
    <w:p>
      <w:pPr>
        <w:spacing w:after="0" w:line="14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 the third quarter of 2011, United recognized $575,000 in income from hedge ineffectiveness compared with $336,000 in income from hedge ineffectiveness in the third quarter of 2010. For the first nine months of 2011, United recognized $4.69 million in income from hedge ineffectiveness compared with $1.19 million in income for the same period of 2010. Most of the hedge ineffectiveness in 2010 and all of the hedge ineffectiveness in 2011 relates to terminated cash flow hedges where the gains realized on the terminated positions are being deferred over the original term of the derivative instrument. The ineffectiveness, which is caused by a decrease in qualifying prime-based loans, results in the accelerated recognition of the deferred gains.</w:t>
      </w:r>
    </w:p>
    <w:p>
      <w:pPr>
        <w:spacing w:after="0" w:line="13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Other fee revenue of $1.41 million for the third quarter of 2011 was down $412,000, or 23%, due to a $657,000 change in the value of deferred compensation plan assets. The mark to market adjustments on deferred compensation plan assets are completely offset by the mark to market adjustment on United’s deferred compensation plan liability. The offsetting mark to market adjustment on the deferred compensation plan liability is included in salaries and employee benefits expense.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operating expenses for the three and nine months ended September 30, 2011 and 2010.</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4"/>
              </w:rPr>
              <w:t>Nine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Pr>
          <w:p>
            <w:pPr>
              <w:spacing w:after="0"/>
              <w:rPr>
                <w:sz w:val="20"/>
                <w:szCs w:val="20"/>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3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2010</w:t>
            </w:r>
          </w:p>
        </w:tc>
        <w:tc>
          <w:tcPr>
            <w:tcW w:w="3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25,262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24,891</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72,841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3,620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10,006</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10,404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11,673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11,370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1,128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3,347</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3,523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2,117</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7,731</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6,238</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FDIC assessments and 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charges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11,660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10,448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793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2,270</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2,389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14,368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200"/>
              <w:spacing w:after="0"/>
              <w:rPr>
                <w:sz w:val="20"/>
                <w:szCs w:val="20"/>
                <w:color w:val="auto"/>
              </w:rPr>
            </w:pPr>
            <w:r>
              <w:rPr>
                <w:rFonts w:ascii="Arial" w:cs="Arial" w:eastAsia="Arial" w:hAnsi="Arial"/>
                <w:sz w:val="18"/>
                <w:szCs w:val="18"/>
                <w:color w:val="auto"/>
              </w:rPr>
              <w:t>Total excluding foreclosed</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00"/>
              <w:spacing w:after="0"/>
              <w:rPr>
                <w:sz w:val="20"/>
                <w:szCs w:val="20"/>
                <w:color w:val="auto"/>
              </w:rPr>
            </w:pPr>
            <w:r>
              <w:rPr>
                <w:rFonts w:ascii="Arial" w:cs="Arial" w:eastAsia="Arial" w:hAnsi="Arial"/>
                <w:sz w:val="18"/>
                <w:szCs w:val="18"/>
                <w:color w:val="auto"/>
              </w:rPr>
              <w:t>property expenses and loss 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0"/>
              <w:spacing w:after="0"/>
              <w:rPr>
                <w:sz w:val="20"/>
                <w:szCs w:val="20"/>
                <w:color w:val="auto"/>
              </w:rPr>
            </w:pPr>
            <w:r>
              <w:rPr>
                <w:rFonts w:ascii="Arial" w:cs="Arial" w:eastAsia="Arial" w:hAnsi="Arial"/>
                <w:sz w:val="18"/>
                <w:szCs w:val="18"/>
                <w:color w:val="auto"/>
              </w:rPr>
              <w:t>NPA sale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43,707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45,154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140,916</w:t>
            </w: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132,929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(gains) losses on sales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7,137</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7,998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15,753</w:t>
            </w: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Foreclosed property write downs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7,051</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53,475</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17,724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Foreclosed property maintenance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5,564</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8"/>
              </w:rPr>
              <w:t>Loss on sale of nonperforming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45,349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210,590</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210,590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275,496</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210,519</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433,973</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Operating expenses for the third quarter of 2011 totaled $46.5 million, down $229 million, or 83%, from the third quarter of 2010. For the nine months ended September 30, 2011, operating expenses totaled $210.5 million, down $223 million, or 51%, from the same period in 2010, mostly due to a goodwill impairment charge of $211 million incurred in the third quarter of 2010. An increase in foreclosed property losses incurred in connection with United’s Problem Asset Disposition Plan was reflected in the nine months ended September 30, 2011. Excluding goodwill impairment, foreclosed property costs and the loss on sale of nonperforming assets in the second quarter of 2010, total operating expenses were $43.7 million, and $141 million for the three and nine months ended September 30, 2011, down $1.45 million, or 3%, from the third quarter of 2010 and up $7.99 million, or 6%, from a year ago.</w:t>
      </w:r>
    </w:p>
    <w:p>
      <w:pPr>
        <w:spacing w:after="0" w:line="140" w:lineRule="exact"/>
        <w:rPr>
          <w:sz w:val="20"/>
          <w:szCs w:val="20"/>
          <w:color w:val="auto"/>
        </w:rPr>
      </w:pPr>
    </w:p>
    <w:p>
      <w:pPr>
        <w:jc w:val="both"/>
        <w:ind w:left="340" w:right="179"/>
        <w:spacing w:after="0" w:line="297" w:lineRule="auto"/>
        <w:rPr>
          <w:sz w:val="20"/>
          <w:szCs w:val="20"/>
          <w:color w:val="auto"/>
        </w:rPr>
      </w:pPr>
      <w:r>
        <w:rPr>
          <w:rFonts w:ascii="Arial" w:cs="Arial" w:eastAsia="Arial" w:hAnsi="Arial"/>
          <w:sz w:val="16"/>
          <w:szCs w:val="16"/>
          <w:color w:val="auto"/>
        </w:rPr>
        <w:t>Salaries and employee benefits for the third quarter of 2011 were $25.3 million, up $371,000, or 1%, from the same period of 2010. For the first nine months of 2011, salaries and employee benefits of $76.6 million were up $3.78 million, or 5%, from the first nine months of 2010. Severance costs for eliminated staff positions accounted for $1.20 million of the year-to-date increase. The increase was also due to higher group medical insurance costs, a lower level of deferred direct loan origination costs and higher equity compensation expense. Headcount totaled 1,762 at September 30, 2011, compared to 1,812 at September 30, 2010.</w:t>
      </w:r>
    </w:p>
    <w:p>
      <w:pPr>
        <w:spacing w:after="0" w:line="11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Occupancy expense of $3.79 million and $11.7 million, respectively, for the third quarter and first nine months of 2011 was up $74,000, or 2%, and up $303,000, or 3%, respectively, compared to the same periods of 2010. The increase was due to higher costs for utilities, real estate taxes and insurance premiums.</w:t>
      </w:r>
    </w:p>
    <w:p>
      <w:pPr>
        <w:spacing w:after="0" w:line="14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Advertising and public relations expense for the third quarter of 2011 totaled $1.05 million, down $76,000, or 7%, from the third quarter of 2010. For the nine months ended September 30, 2011 and 2010, advertising and public relations expense totaled $3.35 million and $3.52 million, respectively. The decrease for both periods is due to a discontinuance of direct mail programs and efforts to reduce discretionary spending.</w:t>
      </w:r>
    </w:p>
    <w:p>
      <w:pPr>
        <w:spacing w:after="0" w:line="160"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Postage, printing and supplies expense for the third quarter of 2011 totaled $1.04 million, up $17,000, or 2%, from the same period of 2010. For the nine months ended September 30, 2011 and 2010, postage, printing and supplies expense totaled $3.24 million and $3.01 million, respectively. The increase was primarily due to higher postage costs and outside courier expenses.</w:t>
      </w:r>
    </w:p>
    <w:p>
      <w:pPr>
        <w:spacing w:after="0" w:line="12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Professional fees for the third quarter of 2011 of $2.05 million were down $66,000, or 3%, from the same period in 2010. For the nine months ended September 30, 2011 professional fees of $7.73 million were up $1.49 million, or 24%, primarily due to professional service costs associated with the Bulk Loan Sale.</w:t>
      </w:r>
    </w:p>
    <w:p>
      <w:pPr>
        <w:spacing w:after="0" w:line="141"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FDIC assessments and other regulatory charges of $2.60 million and $11.7 million for the third quarter and first nine months of 2011, decreased $653,000, or 20%, from the third quarter of 2010 and increased $1.21 million, or 12%, compared to the first nine months of 2010. The year-to-date increase was due to an increase in United’s assessment rate beginning in the first quarter as well as an increase in insured deposits. The assessment rate came down effective April 1, 2011, due to the FDIC’s change to an asset based formula which was more favorable to United. United’s assessment rate was reduced further late in the second quarter.</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Other expense of $3.88 million for the third quarter of 2011 decreased $733,000 from the third quarter of 2010. Year-to-date, other expense of $14.4 million increased $1.66 million from the first nine months of 2010. The year-to-date increase was primarily due to $2.60 million of property taxes and other loan collateral costs incurred to prepare loans for the Bulk Loan Sale. The decrease for the quarter is primarily due to lower loan collection costs.</w:t>
      </w:r>
    </w:p>
    <w:p>
      <w:pPr>
        <w:spacing w:after="0" w:line="16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Gains on sale of foreclosed property totaled $804,000 for the third quarter of 2011, compared to losses on sale of $7.14 million for the third quarter of 2010. For the nine months ended September 30, 2011, losses on sale were $8.00 million compared to losses on sale of $15.8 million for the same period of the prior year. Foreclosed property write-downs for the third quarter and first nine months of 2011 were $1.77 million and $53.5 million compared to $7.05 million and $17.7 million a year ago. The year to date increase reflected higher write downs in the first half of 2011 on foreclosed properties to expedite sales under the Problem Asset Disposition Plan. Foreclosed property maintenance expenses include legal fees, property taxes, marketing costs, utility services, maintenance and repair charges that totaled $1.85 million and $8.13 million, respectively, for the third quarter and first nine months of 2011 compared with $5.56 million and $11.6 million, respectively, a year ago. Foreclosed property costs in general are down in the third quarter from a year ago due to lower balances of foreclosed property after execution of United’s Problem Asset Disposition Plan beginning in the first quarter of 2011.</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Income tax benefit for the third quarter of 2011 was $5.96 million as compared with income tax benefit of $17.2 million for the third quarter of 2010, representing an effective tax rate of approximately 49.0% and 6.79%, respectively. The third quarter 2011 tax benefit included the reversal of previously established reserves for uncertain tax positions of $1.09 million as the tax returns upon which the tax positions were claimed are no longer subject to audit as a result of statute expiration. Absent the reversal of the reserves, the effective tax rate for the third quarter would have been 40%. Excluding the goodwill impairment charges in 2010, which had a very limited tax impact, the effective tax rate for the third quarter of 2010 was 40.0%. For the first nine months of 2011, income tax benefit was $95.9 million as compared with income tax benefit of $73.0 million for the same period in 2010, representing an effective tax rate of 40.5% and 18.1%, respectively. The effective tax rates were different from the statutory tax rates primarily due to interest revenue on certain investment securities and loans that are exempt from income taxes, tax exempt fee revenue, tax credits received on affordable housing investments, and the change in valuation allowance on deferred tax assets as discussed below.</w:t>
      </w:r>
    </w:p>
    <w:p>
      <w:pPr>
        <w:spacing w:after="0" w:line="14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United was profitable during the second quarter of 2011; however, incurred a net loss during the third quarter of 2011, due to the classification of United’s largest lending relationship and the establishment of a specific reserve for anticipated losses. This was an isolated situation that is not representative of management’s earnings expectations going forward. The change from a pre-tax loss to pre-tax earnings will affect the effective tax rate going forward to the extent profitability continues. Because in aggregate, United’s permanent tax differences are generally in United’s favor, they tend to reduce the effective tax rate below the blended statutory rate of 38.9% when United has pre-tax earnings and they increase the effective tax rate above the blended statutory rate when United has a pre-tax loss. The effective tax rates can be volatile as earnings or losses approach a break-even point since United would report a tax benefit even if it were to break even as a result of the permanent tax differences. Therefore some volatility in the effective tax rate is expected as United moves from a loss position to positive earnings.</w:t>
      </w:r>
    </w:p>
    <w:p>
      <w:pPr>
        <w:spacing w:after="0" w:line="141" w:lineRule="exact"/>
        <w:rPr>
          <w:sz w:val="20"/>
          <w:szCs w:val="20"/>
          <w:color w:val="auto"/>
        </w:rPr>
      </w:pPr>
    </w:p>
    <w:p>
      <w:pPr>
        <w:jc w:val="both"/>
        <w:ind w:left="340" w:right="159"/>
        <w:spacing w:after="0" w:line="285" w:lineRule="auto"/>
        <w:rPr>
          <w:sz w:val="20"/>
          <w:szCs w:val="20"/>
          <w:color w:val="auto"/>
        </w:rPr>
      </w:pPr>
      <w:r>
        <w:rPr>
          <w:rFonts w:ascii="Arial" w:cs="Arial" w:eastAsia="Arial" w:hAnsi="Arial"/>
          <w:sz w:val="16"/>
          <w:szCs w:val="16"/>
          <w:color w:val="auto"/>
        </w:rPr>
        <w:t xml:space="preserve">Management determined that it is more likely than not that approximately $5.39 million at September 30, 2011 and $5.16 million at September 30, 2010, net of Federal benefit, in state tax credits will expire unused due to their very short three to five year carry forward period and a valuation allowance has been established for these benefits. At September 30, 2011, United had net deferred tax assets of $264 million, net of the valuation allowance of $5.39 million.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At September 30, 2011, management believes that it is more likely than not that, with the exception of those state tax credits that are expected to expire unused due to a relatively short carryforward period of only three to five years, it will be able to fully realize its deferred tax benefits through its ability to carry losses forward to future profitable years. Despite recent losses and the challenging economic environment, United has a history of strong earnings, is well-capitalized, continues to grow its core customer deposit base while maintaining very high customer satisfaction scores, and has expectations regarding future taxable income that are in excess of the amount required to utilize United’s net operating losses prior to their expiration. The deferred tax assets are analyzed quarterly for changes affecting realizability. United’s most recent analysis, which management believes is based on conservative assumptions, indicated that the deferred tax assets will be fully utilized well in advance of the twenty-year carryforward period allowed for net operating losses; however, there can be no guarantee that a valuation allowance will not be necessary in future periods. Also important at arriving at that conclusion is the assumption that an “ownership change” as defined by Section 382 of the Internal Revenue Code of 1986, as amended, and related Internal Revenue Service pronouncements (“Section 382”) did not occur as a result of the first quarter Private Placement. Management believes that no such change of control has occurred.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While United’s recent losses and informal Memorandum of Understanding (“MOU”) with the FDIC are considered negative evidence with regard to United’s ability to use its deferred tax assets, the losses were primarily the result of the collapse in the housing market and United’s concentration of residential construction loans rather than a fundamental problem with its underlying business approach. United has reduced its concentration of residential construction loans from a high of 35% of its portfolio to 12% as of September 30, 2011. With the recent capital transaction and disposition of problem assets, United’s credit measures have significantly improved leading management to the expectation that it is at or near a point of sustainable profitability. At September 30, 2011, nonperforming assets represent only 2.64% of total assets, down from a high of 5.32% of total assets at the end of the first quarter of 2010 and the improving trend is expected to continue. During the weak economic cycle, United was able to improve its already high customer satisfaction scores and achieve national recognition from JD Power &amp; Associates for superior customer service, United was also able to increase core customer deposits (non-CD, non-public) by $812 million since December 2008. Perhaps the strongest evidence supporting United’s ability to fully utilize its deferred tax asset was its ability to raise $380 million in new capital from private equity investors. These investors performed extensive due diligence prior to investing in United. Their investment in United was made with the expectation, based on their objective analysis, that United would provide an attractive return on their investment. United’s management has therefore concluded that it is more likely than not that it will be able to fully utilize its deferred tax assets.</w:t>
      </w:r>
    </w:p>
    <w:p>
      <w:pPr>
        <w:spacing w:after="0" w:line="14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During their review of two resale registration statements and related periodic reports, the Securities and Exchange Commission (“SEC”) has inquired as to the necessity of an additional deferred tax asset valuation allowance. Although management has concluded that United will realize all of its net deferred tax assets prior to their expiration, it is possible the Company will be required to record an additional valuation allowance, as a result of this inquiry.</w:t>
      </w:r>
    </w:p>
    <w:p>
      <w:pPr>
        <w:spacing w:after="0" w:line="146"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13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 connection with the tax benefits preservation plan, on February 22, 2011, United entered into a share exchange agreement with the Elm Ridge Parties to transfer to the Company 1,551,126 shares of United’s common stock, in exchange for 16,613 shares of the Company’s series D preferred shares and warrants to purchase 1,551,126 shares of common stock.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w:t>
      </w:r>
    </w:p>
    <w:p>
      <w:pPr>
        <w:spacing w:after="0" w:line="15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Additional information regarding income taxes can be found in Note 15 to the consolidated financial statements filed with United’s 2010 Form 10-K.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Total assets at September 30, 2011, December 31, 2010 and September 30, 2010 were $7.16 billion, $7.44 billion and $7.01 billion, respectively. Average total assets for the third quarter of 2011 were $7.26 billion, down from $7.52 billion in the third quarter of 2010.</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1,771,101</w:t>
            </w:r>
          </w:p>
        </w:tc>
        <w:tc>
          <w:tcPr>
            <w:tcW w:w="26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1,761,424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1,781,271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296,582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309,519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429,043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441,518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456,368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2,499,524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474,552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695,166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763,424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1,149,678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1,278,780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116,970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130,656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132,928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4,109,875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4,604,126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Atlanta MSA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1,192,496</w:t>
            </w:r>
          </w:p>
        </w:tc>
        <w:tc>
          <w:tcPr>
            <w:tcW w:w="26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1,310,222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1,364,823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271,705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312,049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316,499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North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1,478,179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1,688,586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1,754,541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607,284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701,798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718,948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Coastal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315,597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335,020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344,901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256,451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259,792</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4,109,875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4,604,126</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4,759,504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Substantially all of United’s loans are to customers (including customers who have a seasonal residence in United’s market areas) located in the immediate market areas of its community banks in Georgia, North Carolina, and Tennessee, and more than 85% of the loans are secured by real estate. At September 30, 2011, total loans, excluding loans acquired from SCB that are covered by loss sharing agreements with the FDIC, were $4.11 billion, a decrease of $650 million, or 14%, from September 30, 2010. The rate of loan growth began to decline in the first quarter of 2007 and the balances have continued to decline. The decrease in the loan portfolio began with deterioration in the residential construction and housing markets. This deterioration resulted in part in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has continued to pursue lending opportunities which resulted in $87.8 million in new loans that were funded in the third quarter of 2011.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900" w:type="dxa"/>
            <w:vAlign w:val="bottom"/>
            <w:gridSpan w:val="4"/>
          </w:tcPr>
          <w:p>
            <w:pPr>
              <w:ind w:left="6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Commercial (sec. by RE)</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134,356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117,525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119,651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156,765</w:t>
            </w:r>
          </w:p>
        </w:tc>
        <w:tc>
          <w:tcPr>
            <w:tcW w:w="18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157,245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102,592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24,868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16,645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16,425</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16,767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22,251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185,754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165,517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170,963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282,088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76,179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74,277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80,534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177,381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Installment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341,343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313,113</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322,968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512,147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549,926</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97,906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97,931</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100,200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214,676</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Gainesville MSA</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19,615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14,957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17,417</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33,962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27,097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140,886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148,228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229,845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North Carolina</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30,202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27,280</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42,335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37,085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East Tennessee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7,069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6,192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6,739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8,882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341,343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313,113</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322,968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512,147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549,926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At September 30, 2011, performing substandard loans totaled $341 million and increased $28.2 million from the prior quarter-end, and decreased $209 million from a year ago. Most of the decrease from a year ago occurred in United’s Atlanta and north Georgia markets and was primarily the result of our Bulk Loan Sale which was completed on April 18, 2011. Residential construction and commercial construction loans showed the most significant decreases as they represented more than 60% of the pre-charge down carrying amount of the aggregate loans included in the loan sale. The increase from the second quarter was primarily in the commercial secured by real estate category, primarily in north Georgia and North Carolina markets.</w:t>
      </w:r>
    </w:p>
    <w:p>
      <w:pPr>
        <w:spacing w:after="0" w:line="13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Reviews of substandard performing and non-performing loans, troubled debt restructures, past due loans and larger credits, are conducted on a regular basis with management each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In addition to United’s internal loan review, United also uses external loan review to ensure the independence of the loan review process.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and nine months ended September 30, 2011 and 2010.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9 — Allowance for Loan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w w:val="98"/>
              </w:rPr>
              <w:t>Nine Months Ended September 30,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Problem</w:t>
            </w:r>
            <w:r>
              <w:rPr>
                <w:rFonts w:ascii="Arial" w:cs="Arial" w:eastAsia="Arial" w:hAnsi="Arial"/>
                <w:sz w:val="11"/>
                <w:szCs w:val="11"/>
                <w:color w:val="auto"/>
              </w:rPr>
              <w:t>(1)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Asset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4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400" w:type="dxa"/>
            <w:vAlign w:val="bottom"/>
            <w:vMerge w:val="restart"/>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Disposition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Other</w:t>
            </w:r>
          </w:p>
        </w:tc>
        <w:tc>
          <w:tcPr>
            <w:tcW w:w="3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3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beginning of period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127,638</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174,111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174,695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155,602</w:t>
            </w: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4"/>
                <w:szCs w:val="14"/>
                <w:color w:val="auto"/>
              </w:rPr>
              <w:t>Provision for loan losses</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36,000</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50,500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237,000</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187,000</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Commercial (secured by real estate)</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2,270</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14,343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44,052</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10,358</w:t>
            </w: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54,410</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27,070</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Commercial construction</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1,705</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1,989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47,237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5,163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52,400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5,660</w:t>
            </w: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Commercial (commercial and industrial)</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866</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1,458</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3,411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2,421</w:t>
            </w: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5,832</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7,776</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Residential construction</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7,668</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25,661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78,653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28,039</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106,692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111,632</w:t>
            </w: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Residential mortgage</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6,399</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8,043</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30,139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17,603</w:t>
            </w: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47,742</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19,435</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installment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1,162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2,652</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2,949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3,708</w:t>
            </w:r>
          </w:p>
        </w:tc>
        <w:tc>
          <w:tcPr>
            <w:tcW w:w="0" w:type="dxa"/>
            <w:vAlign w:val="bottom"/>
          </w:tcPr>
          <w:p>
            <w:pPr>
              <w:spacing w:after="0"/>
              <w:rPr>
                <w:sz w:val="1"/>
                <w:szCs w:val="1"/>
                <w:color w:val="auto"/>
              </w:rPr>
            </w:pPr>
          </w:p>
        </w:tc>
      </w:tr>
      <w:tr>
        <w:trPr>
          <w:trHeight w:val="163"/>
        </w:trPr>
        <w:tc>
          <w:tcPr>
            <w:tcW w:w="3020" w:type="dxa"/>
            <w:vAlign w:val="bottom"/>
          </w:tcPr>
          <w:p>
            <w:pPr>
              <w:ind w:left="400"/>
              <w:spacing w:after="0" w:line="155" w:lineRule="exact"/>
              <w:rPr>
                <w:sz w:val="20"/>
                <w:szCs w:val="20"/>
                <w:color w:val="auto"/>
              </w:rPr>
            </w:pPr>
            <w:r>
              <w:rPr>
                <w:rFonts w:ascii="Arial" w:cs="Arial" w:eastAsia="Arial" w:hAnsi="Arial"/>
                <w:sz w:val="14"/>
                <w:szCs w:val="14"/>
                <w:color w:val="auto"/>
              </w:rPr>
              <w:t>Total loans charged-off</w:t>
            </w: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19,878</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52,656</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203,789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66,236</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270,025</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175,281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Commercial (secured by real estate)</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131</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352</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Commercial construction</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Commercial (commercial and industrial)</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446</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251</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849</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1,592</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Residential construction</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1,287</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1,727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1,544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1,544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Residential mortgage</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348</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660</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installment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826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63"/>
        </w:trPr>
        <w:tc>
          <w:tcPr>
            <w:tcW w:w="3020" w:type="dxa"/>
            <w:vAlign w:val="bottom"/>
          </w:tcPr>
          <w:p>
            <w:pPr>
              <w:ind w:left="400"/>
              <w:spacing w:after="0" w:line="155" w:lineRule="exact"/>
              <w:rPr>
                <w:sz w:val="20"/>
                <w:szCs w:val="20"/>
                <w:color w:val="auto"/>
              </w:rPr>
            </w:pPr>
            <w:r>
              <w:rPr>
                <w:rFonts w:ascii="Arial" w:cs="Arial" w:eastAsia="Arial" w:hAnsi="Arial"/>
                <w:sz w:val="14"/>
                <w:szCs w:val="14"/>
                <w:color w:val="auto"/>
              </w:rPr>
              <w:t>Total recoveries</w:t>
            </w: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2,332</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2,658</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4,422</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4,422</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Net charge-offs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17,546</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49,998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203,789</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61,814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265,603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167,989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20" w:type="dxa"/>
            <w:vAlign w:val="bottom"/>
            <w:vMerge w:val="restart"/>
          </w:tcPr>
          <w:p>
            <w:pPr>
              <w:ind w:left="400"/>
              <w:spacing w:after="0"/>
              <w:rPr>
                <w:sz w:val="20"/>
                <w:szCs w:val="20"/>
                <w:color w:val="auto"/>
              </w:rPr>
            </w:pPr>
            <w:r>
              <w:rPr>
                <w:rFonts w:ascii="Arial" w:cs="Arial" w:eastAsia="Arial" w:hAnsi="Arial"/>
                <w:sz w:val="14"/>
                <w:szCs w:val="14"/>
                <w:color w:val="auto"/>
              </w:rPr>
              <w:t>Balance end of period</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146,092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174,613</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146,092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174,613</w:t>
            </w:r>
          </w:p>
        </w:tc>
        <w:tc>
          <w:tcPr>
            <w:tcW w:w="0" w:type="dxa"/>
            <w:vAlign w:val="bottom"/>
          </w:tcPr>
          <w:p>
            <w:pPr>
              <w:spacing w:after="0" w:line="20" w:lineRule="exact"/>
              <w:rPr>
                <w:sz w:val="1"/>
                <w:szCs w:val="1"/>
                <w:color w:val="auto"/>
              </w:rPr>
            </w:pPr>
          </w:p>
        </w:tc>
      </w:tr>
      <w:tr>
        <w:trPr>
          <w:trHeight w:val="143"/>
        </w:trPr>
        <w:tc>
          <w:tcPr>
            <w:tcW w:w="30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 *</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At period-end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4,109,875</w:t>
            </w:r>
          </w:p>
        </w:tc>
        <w:tc>
          <w:tcPr>
            <w:tcW w:w="4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9"/>
              </w:rPr>
              <w:t>4,759,504</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4,109,875</w:t>
            </w:r>
          </w:p>
        </w:tc>
        <w:tc>
          <w:tcPr>
            <w:tcW w:w="3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4,759,504</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4,132,526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9"/>
              </w:rPr>
              <w:t>4,818,924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4,286,260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4,947,209</w:t>
            </w:r>
          </w:p>
        </w:tc>
        <w:tc>
          <w:tcPr>
            <w:tcW w:w="0" w:type="dxa"/>
            <w:vAlign w:val="bottom"/>
          </w:tcPr>
          <w:p>
            <w:pPr>
              <w:spacing w:after="0"/>
              <w:rPr>
                <w:sz w:val="1"/>
                <w:szCs w:val="1"/>
                <w:color w:val="auto"/>
              </w:rPr>
            </w:pPr>
          </w:p>
        </w:tc>
      </w:tr>
      <w:tr>
        <w:trPr>
          <w:trHeight w:val="312"/>
        </w:trPr>
        <w:tc>
          <w:tcPr>
            <w:tcW w:w="3020" w:type="dxa"/>
            <w:vAlign w:val="bottom"/>
          </w:tcPr>
          <w:p>
            <w:pPr>
              <w:spacing w:after="0"/>
              <w:rPr>
                <w:sz w:val="20"/>
                <w:szCs w:val="20"/>
                <w:color w:val="auto"/>
              </w:rPr>
            </w:pPr>
            <w:r>
              <w:rPr>
                <w:rFonts w:ascii="Arial" w:cs="Arial" w:eastAsia="Arial" w:hAnsi="Arial"/>
                <w:sz w:val="14"/>
                <w:szCs w:val="14"/>
                <w:color w:val="auto"/>
              </w:rPr>
              <w:t>Allowance as a percentage of period-end loans</w:t>
            </w:r>
          </w:p>
        </w:tc>
        <w:tc>
          <w:tcPr>
            <w:tcW w:w="14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3.55%</w:t>
            </w:r>
          </w:p>
        </w:tc>
        <w:tc>
          <w:tcPr>
            <w:tcW w:w="14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3.55</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 a percentage of average loans: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Net charge-offs</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1.68</w:t>
            </w: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4.12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8.28</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loan losses</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7.39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78"/>
        </w:trPr>
        <w:tc>
          <w:tcPr>
            <w:tcW w:w="3020" w:type="dxa"/>
            <w:vAlign w:val="bottom"/>
          </w:tcPr>
          <w:p>
            <w:pPr>
              <w:spacing w:after="0"/>
              <w:rPr>
                <w:sz w:val="20"/>
                <w:szCs w:val="20"/>
                <w:color w:val="auto"/>
              </w:rPr>
            </w:pPr>
            <w:r>
              <w:rPr>
                <w:rFonts w:ascii="Arial" w:cs="Arial" w:eastAsia="Arial" w:hAnsi="Arial"/>
                <w:sz w:val="14"/>
                <w:szCs w:val="14"/>
                <w:color w:val="auto"/>
              </w:rPr>
              <w:t>Allowance as a percentage of non-performing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20" w:type="dxa"/>
            <w:vAlign w:val="bottom"/>
          </w:tcPr>
          <w:p>
            <w:pPr>
              <w:ind w:left="200"/>
              <w:spacing w:after="0"/>
              <w:rPr>
                <w:sz w:val="20"/>
                <w:szCs w:val="20"/>
                <w:color w:val="auto"/>
              </w:rPr>
            </w:pPr>
            <w:r>
              <w:rPr>
                <w:rFonts w:ascii="Arial" w:cs="Arial" w:eastAsia="Arial" w:hAnsi="Arial"/>
                <w:sz w:val="14"/>
                <w:szCs w:val="14"/>
                <w:color w:val="auto"/>
              </w:rPr>
              <w:t>loans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loans covered by loss sharing agreements with the FDIC</w:t>
      </w:r>
    </w:p>
    <w:p>
      <w:pPr>
        <w:spacing w:after="0" w:line="77" w:lineRule="exact"/>
        <w:rPr>
          <w:sz w:val="20"/>
          <w:szCs w:val="20"/>
          <w:color w:val="auto"/>
        </w:rPr>
      </w:pPr>
    </w:p>
    <w:p>
      <w:pPr>
        <w:jc w:val="both"/>
        <w:ind w:left="720" w:right="159" w:hanging="388"/>
        <w:spacing w:after="0" w:line="276"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7"/>
          <w:szCs w:val="17"/>
          <w:color w:val="auto"/>
        </w:rPr>
        <w:t>United’s Problem Asset Dispostion Plan resulted in charge-offs in the first nine months of 2011 totaling $179 million related to the Bulk Loan Sale that closed on April 18, 2011. Also in the first nine months of 2011 related to United’s Problem Asset Disposition Plan was an additional $9.5 million in charge-offs related to other bulk loan sales that were completed in the first quarter of 2011 and $15.6 million in charge-offs on foreclosed properties related to the Problem Asset Disposition Plan. Total losses related to the Problem Asset Disposition Plan for the first six months of 2011 were $203.8 million.</w:t>
      </w:r>
    </w:p>
    <w:p>
      <w:pPr>
        <w:spacing w:after="0" w:line="132"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stabilization of the level of the allowance for loan losses compared to the previous periods reflects stabilizing trends in substandard loans, leading to an expectation that charge-off levels may continue to decline.</w:t>
      </w:r>
    </w:p>
    <w:p>
      <w:pPr>
        <w:spacing w:after="0" w:line="127"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At September 30, 2011 the allowance for loan losses was $146 million, or 3.55% of loans, compared with $175 million, or 3.79% of loans, at December 31, 2010 and $175 million, or 3.67% of loans, at September 30, 2010. The decrease in the allowance for loan losses is consistent with the decrease in classified loans resulting from the execution of the Problem Asset Disposition Plan, including the Bulk Loan Sale which reduced the amount of loss remaining in the loan portfolio. During the third quarter of 2011, United recorded a loan loss allocation of $25.0 million due to the classification of its largest lending relationship.</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Management believes that the allowance for loan losses at September 30, 2011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in United’s Annual Report on Form 10-K for additional information on the allowance for loan losses.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8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144,484</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179,094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217,766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44,263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142,208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129,964</w:t>
            </w:r>
          </w:p>
        </w:tc>
      </w:tr>
      <w:tr>
        <w:trPr>
          <w:trHeight w:val="223"/>
        </w:trPr>
        <w:tc>
          <w:tcPr>
            <w:tcW w:w="5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321,302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347,730</w:t>
            </w: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46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2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r>
    </w:tbl>
    <w:p>
      <w:pPr>
        <w:spacing w:after="0" w:line="93"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were no loans 90 days or more past due that were still accruing at period end.</w:t>
      </w:r>
    </w:p>
    <w:p>
      <w:pPr>
        <w:spacing w:after="0" w:line="198"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At September 30, 2011, nonperforming loans were $144 million, compared to $179 million at December 31, 2010 and $218 million at September 30, 2010. The ratio of nonperforming loans to total loans decreased from December 31, 2010 and September 30, 2010 due to the Bulk Loan Sale in April 2011, which included performing and nonperforming substandard loans. Nonperforming assets, which include nonperforming loans and foreclosed real estate, totaled $189 million at September 30, 2011, compared with $321 million at December 31, 2010 and $348 million at September 30, 2010. United sold $13.8 million and $87.3 million, respectively, of foreclosed properties during the third quarter and first nine months of 2011. Both of these events helped lower the balance of foreclosed properties by 66% compared to September 30, 2010.</w:t>
      </w:r>
    </w:p>
    <w:p>
      <w:pPr>
        <w:spacing w:after="0" w:line="137"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11 — Nonperforming Assets by Quarter</w:t>
      </w:r>
      <w:r>
        <w:rPr>
          <w:rFonts w:ascii="Arial" w:cs="Arial" w:eastAsia="Arial" w:hAnsi="Arial"/>
          <w:sz w:val="15"/>
          <w:szCs w:val="15"/>
          <w:color w:val="auto"/>
        </w:rPr>
        <w:t>(1)</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September 30, 2011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December 31, 2010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September 30, 2010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8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50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100" w:type="dxa"/>
            <w:vAlign w:val="bottom"/>
          </w:tcPr>
          <w:p>
            <w:pPr>
              <w:spacing w:after="0"/>
              <w:rPr>
                <w:sz w:val="10"/>
                <w:szCs w:val="10"/>
                <w:color w:val="auto"/>
              </w:rPr>
            </w:pPr>
          </w:p>
        </w:tc>
        <w:tc>
          <w:tcPr>
            <w:tcW w:w="48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NPAs</w:t>
            </w: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Loans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NPAs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Loans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NPAs</w:t>
            </w: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BY CATEGORY</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Commercial (sec. by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0"/>
              <w:spacing w:after="0"/>
              <w:rPr>
                <w:sz w:val="20"/>
                <w:szCs w:val="20"/>
                <w:color w:val="auto"/>
              </w:rPr>
            </w:pPr>
            <w:r>
              <w:rPr>
                <w:rFonts w:ascii="Arial" w:cs="Arial" w:eastAsia="Arial" w:hAnsi="Arial"/>
                <w:sz w:val="14"/>
                <w:szCs w:val="14"/>
                <w:color w:val="auto"/>
              </w:rPr>
              <w:t>RE)</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21,998</w:t>
            </w:r>
          </w:p>
        </w:tc>
        <w:tc>
          <w:tcPr>
            <w:tcW w:w="300" w:type="dxa"/>
            <w:vAlign w:val="bottom"/>
          </w:tcPr>
          <w:p>
            <w:pPr>
              <w:spacing w:after="0"/>
              <w:rPr>
                <w:sz w:val="14"/>
                <w:szCs w:val="14"/>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8,880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30,878</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44,927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23,659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68,586</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53,646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14,838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68,484</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11,370</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5,862</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17,232</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21,374</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17,808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39,182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17,279</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15,125</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32,404</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Commercial &amp;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0"/>
              <w:spacing w:after="0"/>
              <w:rPr>
                <w:sz w:val="20"/>
                <w:szCs w:val="20"/>
                <w:color w:val="auto"/>
              </w:rPr>
            </w:pPr>
            <w:r>
              <w:rPr>
                <w:rFonts w:ascii="Arial" w:cs="Arial" w:eastAsia="Arial" w:hAnsi="Arial"/>
                <w:sz w:val="14"/>
                <w:szCs w:val="14"/>
                <w:color w:val="auto"/>
              </w:rPr>
              <w:t>industrial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53,009</w:t>
            </w: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5,611</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5,611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7,670</w:t>
            </w: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7,670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commercial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86,377</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101,119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71,912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41,467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113,379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78,595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29,963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108,558</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Residential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0"/>
              <w:spacing w:after="0"/>
              <w:rPr>
                <w:sz w:val="20"/>
                <w:szCs w:val="20"/>
                <w:color w:val="auto"/>
              </w:rPr>
            </w:pPr>
            <w:r>
              <w:rPr>
                <w:rFonts w:ascii="Arial" w:cs="Arial" w:eastAsia="Arial" w:hAnsi="Arial"/>
                <w:sz w:val="14"/>
                <w:szCs w:val="14"/>
                <w:color w:val="auto"/>
              </w:rPr>
              <w:t>construction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34,472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21,561</w:t>
            </w: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56,033</w:t>
            </w: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54,505</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78,231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132,736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79,321</w:t>
            </w: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73,206</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152,527</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22,671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7,960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30,631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51,083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22,510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73,593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58,107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26,795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84,902</w:t>
            </w:r>
          </w:p>
        </w:tc>
        <w:tc>
          <w:tcPr>
            <w:tcW w:w="0" w:type="dxa"/>
            <w:vAlign w:val="bottom"/>
          </w:tcPr>
          <w:p>
            <w:pPr>
              <w:spacing w:after="0"/>
              <w:rPr>
                <w:sz w:val="1"/>
                <w:szCs w:val="1"/>
                <w:color w:val="auto"/>
              </w:rPr>
            </w:pP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Consumer / installment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964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964</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1,594</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1,743</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NPAs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144,484</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44,263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4"/>
              </w:rPr>
              <w:t>188,747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179,094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142,208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321,302</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217,766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129,964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347,730</w:t>
            </w:r>
          </w:p>
        </w:tc>
        <w:tc>
          <w:tcPr>
            <w:tcW w:w="0" w:type="dxa"/>
            <w:vAlign w:val="bottom"/>
          </w:tcPr>
          <w:p>
            <w:pPr>
              <w:spacing w:after="0"/>
              <w:rPr>
                <w:sz w:val="1"/>
                <w:szCs w:val="1"/>
                <w:color w:val="auto"/>
              </w:rPr>
            </w:pPr>
          </w:p>
        </w:tc>
      </w:tr>
      <w:tr>
        <w:trPr>
          <w:trHeight w:val="20"/>
        </w:trPr>
        <w:tc>
          <w:tcPr>
            <w:tcW w:w="1500" w:type="dxa"/>
            <w:vAlign w:val="bottom"/>
            <w:vMerge w:val="restart"/>
          </w:tcPr>
          <w:p>
            <w:pPr>
              <w:ind w:left="200"/>
              <w:spacing w:after="0" w:line="160" w:lineRule="exact"/>
              <w:rPr>
                <w:sz w:val="20"/>
                <w:szCs w:val="20"/>
                <w:color w:val="auto"/>
              </w:rPr>
            </w:pPr>
            <w:r>
              <w:rPr>
                <w:rFonts w:ascii="Arial" w:cs="Arial" w:eastAsia="Arial" w:hAnsi="Arial"/>
                <w:sz w:val="14"/>
                <w:szCs w:val="14"/>
                <w:b w:val="1"/>
                <w:bCs w:val="1"/>
                <w:color w:val="auto"/>
              </w:rPr>
              <w:t>Balance as a % of</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5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Unpaid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400"/>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77.8%</w:t>
            </w:r>
            <w:r>
              <w:rPr>
                <w:rFonts w:ascii="Arial" w:cs="Arial" w:eastAsia="Arial" w:hAnsi="Arial"/>
                <w:sz w:val="12"/>
                <w:szCs w:val="12"/>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59.3%</w:t>
            </w: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64.4%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65.9%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34"/>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Atlanta MSA</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13,350</w:t>
            </w:r>
          </w:p>
        </w:tc>
        <w:tc>
          <w:tcPr>
            <w:tcW w:w="300" w:type="dxa"/>
            <w:vAlign w:val="bottom"/>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12,971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26,321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48,289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41,154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89,443</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65,304</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32,785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98,089</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Gainesville MSA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5,311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2,495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7,806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5,171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9,273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14,444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11,905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5,685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17,590</w:t>
            </w:r>
          </w:p>
        </w:tc>
        <w:tc>
          <w:tcPr>
            <w:tcW w:w="0" w:type="dxa"/>
            <w:vAlign w:val="bottom"/>
          </w:tcPr>
          <w:p>
            <w:pPr>
              <w:spacing w:after="0"/>
              <w:rPr>
                <w:sz w:val="1"/>
                <w:szCs w:val="1"/>
                <w:color w:val="auto"/>
              </w:rPr>
            </w:pP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105,078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17,467</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122,545</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83,551</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66,211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149,762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92,295</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67,439</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159,734</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Western North</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Carolina</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13,243</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7,941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21,184</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25,832</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11,553</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37,385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31,545</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11,559</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43,104</w:t>
            </w:r>
          </w:p>
        </w:tc>
        <w:tc>
          <w:tcPr>
            <w:tcW w:w="0" w:type="dxa"/>
            <w:vAlign w:val="bottom"/>
          </w:tcPr>
          <w:p>
            <w:pPr>
              <w:spacing w:after="0"/>
              <w:rPr>
                <w:sz w:val="1"/>
                <w:szCs w:val="1"/>
                <w:color w:val="auto"/>
              </w:rPr>
            </w:pPr>
          </w:p>
        </w:tc>
      </w:tr>
      <w:tr>
        <w:trPr>
          <w:trHeight w:val="149"/>
        </w:trPr>
        <w:tc>
          <w:tcPr>
            <w:tcW w:w="1500" w:type="dxa"/>
            <w:vAlign w:val="bottom"/>
          </w:tcPr>
          <w:p>
            <w:pPr>
              <w:spacing w:after="0" w:line="149" w:lineRule="exact"/>
              <w:rPr>
                <w:sz w:val="20"/>
                <w:szCs w:val="20"/>
                <w:color w:val="auto"/>
              </w:rPr>
            </w:pPr>
            <w:r>
              <w:rPr>
                <w:rFonts w:ascii="Arial" w:cs="Arial" w:eastAsia="Arial" w:hAnsi="Arial"/>
                <w:sz w:val="14"/>
                <w:szCs w:val="14"/>
                <w:color w:val="auto"/>
              </w:rPr>
              <w:t>Coastal Georgia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2,354</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7,954</w:t>
            </w: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11,145</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11,901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10,611</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10,951</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21,562</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 Tennessee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1,035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2,937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5,106</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6,106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1,545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7,651</w:t>
            </w:r>
          </w:p>
        </w:tc>
        <w:tc>
          <w:tcPr>
            <w:tcW w:w="0" w:type="dxa"/>
            <w:vAlign w:val="bottom"/>
          </w:tcPr>
          <w:p>
            <w:pPr>
              <w:spacing w:after="0"/>
              <w:rPr>
                <w:sz w:val="1"/>
                <w:szCs w:val="1"/>
                <w:color w:val="auto"/>
              </w:rPr>
            </w:pPr>
          </w:p>
        </w:tc>
      </w:tr>
      <w:tr>
        <w:trPr>
          <w:trHeight w:val="156"/>
        </w:trPr>
        <w:tc>
          <w:tcPr>
            <w:tcW w:w="15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NPAs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144,484</w:t>
            </w: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44,263</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188,747</w:t>
            </w:r>
          </w:p>
        </w:tc>
        <w:tc>
          <w:tcPr>
            <w:tcW w:w="4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179,094</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142,208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321,302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217,766</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129,964</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347,730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pacing w:after="0" w:line="21" w:lineRule="exact"/>
        <w:rPr>
          <w:rFonts w:ascii="Arial" w:cs="Arial" w:eastAsia="Arial" w:hAnsi="Arial"/>
          <w:sz w:val="15"/>
          <w:szCs w:val="15"/>
          <w:color w:val="auto"/>
        </w:rPr>
      </w:pPr>
    </w:p>
    <w:p>
      <w:pPr>
        <w:jc w:val="both"/>
        <w:ind w:left="720" w:right="159" w:hanging="388"/>
        <w:spacing w:after="0" w:line="286" w:lineRule="auto"/>
        <w:tabs>
          <w:tab w:leader="none" w:pos="720" w:val="left"/>
        </w:tabs>
        <w:numPr>
          <w:ilvl w:val="0"/>
          <w:numId w:val="17"/>
        </w:numPr>
        <w:rPr>
          <w:rFonts w:ascii="Arial" w:cs="Arial" w:eastAsia="Arial" w:hAnsi="Arial"/>
          <w:sz w:val="14"/>
          <w:szCs w:val="14"/>
          <w:color w:val="auto"/>
        </w:rPr>
      </w:pPr>
      <w:r>
        <w:rPr>
          <w:rFonts w:ascii="Arial" w:cs="Arial" w:eastAsia="Arial" w:hAnsi="Arial"/>
          <w:sz w:val="17"/>
          <w:szCs w:val="17"/>
          <w:color w:val="auto"/>
        </w:rPr>
        <w:t>These amounts were significantly impacted by the placing of United’s largest lending relationship on nonaccrual status. Excluding that loan relationship which has a $25 million special allowance allocation, the balance of nonaccrual loans and total nonperforming assets as a percentage of unpaid principal is 62.2% and 46.4%, respectively.</w:t>
      </w:r>
    </w:p>
    <w:p>
      <w:pPr>
        <w:spacing w:after="0" w:line="125"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In April 2011, United sold nonperforming loans in the Bulk Loan Sale with a pre-write down carrying amount of $101 million and performing substandard loans with a pre-write down carrying amount of $166 million. Nonperforming assets in the residential construction category were $56.0 million at September 30, 2011, compared with $153 million at September 30, 2010, a decrease of $96.5 million, or 63%. Commercial nonperforming assets decreased from $109 million at September 30, 2010 to $101 million at September 30, 2011. Residential mortgage non-performing assets of $30.6 million decreased $54.3 million from September 30, 2010. While United experienced a reduction in nonperforming assets across all markets, the execution of the Problem Asset Disposition Plan, which included the Bulk Loan Sale and the write down of foreclosed properties, contributed to a decline in the North Georgia market and Atlanta MSA, where nonperforming asset levels had been particularly elevated.</w:t>
      </w:r>
    </w:p>
    <w:p>
      <w:pPr>
        <w:spacing w:after="0" w:line="13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At September 30, 2011, December 31, 2010, and September 30, 2010 United had $75.7 million, $101 million and $66.3 respectively, in loans with terms that have been modified in a troubled debt restructuring (“TDR”). Included therein were $5.91 million, $17.3 million and $16.7 million of TDRs that were not performing in accordance with their modified terms and were included in nonperforming loans. The remaining TDRs with an aggregate balance of $69.8 million, $83.7 million and $49.6 million, respectively, were performing according to their modified terms and are therefore not considered to be nonperforming assets.</w:t>
      </w:r>
    </w:p>
    <w:p>
      <w:pPr>
        <w:spacing w:after="0" w:line="131"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 xml:space="preserve">At September 30, 2011, December 31, 2010, and September 30, 2010, there were $183 million, $123 million and $157 million, respectively, of loans classified as impaired under the Accounting Standards Codification. Included in impaired loans at September 30, 2011, December 31, 2010 and September 30, 2010, was $62.7 million, $115 million and $150 million, respectively that did not require specific reserves or had previously been charged down to net realizable value. The balance of impaired loans at September 30, 2011, December 31, 2010 and September 30, 2010, of $120 million, $7.64 million and $7.1 million, respectively, had specific reserves that totaled $33.5 million, $1.05 million and $1.27 million, respectively. During the third quarter of 2011, United classified its largest lending relationship of $76.6 million as impaired and recorded a specific reserve of $25.0 million. The average recorded investment in impaired loans for the third quarters of 2011 and 2010 was $109 million and $159 million, respectively. For the three and nine months ended September 30, 2011, United recognized $797,000 in interest income on impaired loans. There was no interest revenue recognized on loans while they were impaired for the first nine months of 2010. United’s policy is to discontinue the recognition of interest revenue for loans classified as impaired under the Financial Accounting Standards Board’s Accounting Standards Codification (“ASC”) Topic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 xml:space="preserve">Third Quarter 2011 </w:t>
            </w:r>
            <w:r>
              <w:rPr>
                <w:rFonts w:ascii="Arial" w:cs="Arial" w:eastAsia="Arial" w:hAnsi="Arial"/>
                <w:sz w:val="15"/>
                <w:szCs w:val="15"/>
                <w:color w:val="auto"/>
              </w:rPr>
              <w:t>(1)</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 xml:space="preserve">Third Quarter 2010 </w:t>
            </w:r>
            <w:r>
              <w:rPr>
                <w:rFonts w:ascii="Arial" w:cs="Arial" w:eastAsia="Arial" w:hAnsi="Arial"/>
                <w:sz w:val="15"/>
                <w:szCs w:val="15"/>
                <w:color w:val="auto"/>
              </w:rPr>
              <w:t>(1)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0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2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00" w:type="dxa"/>
            <w:vAlign w:val="bottom"/>
          </w:tcPr>
          <w:p>
            <w:pPr>
              <w:spacing w:after="0"/>
              <w:rPr>
                <w:sz w:val="16"/>
                <w:szCs w:val="16"/>
                <w:color w:val="auto"/>
              </w:rPr>
            </w:pPr>
          </w:p>
        </w:tc>
        <w:tc>
          <w:tcPr>
            <w:tcW w:w="66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Loans</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NPAs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Loans</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NPAs</w:t>
            </w:r>
          </w:p>
        </w:tc>
      </w:tr>
      <w:tr>
        <w:trPr>
          <w:trHeight w:val="210"/>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118,649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224,335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348,245</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 xml:space="preserve">Loans placed on non-accrual </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103,365</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103,365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119,783</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119,783</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(11,469)</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charge-offs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(15,335)</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(15,335)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(52,647)</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(52,647)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(59,844)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Capitalized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(42,595)</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Write downs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(7,051)</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(7,137)</w:t>
            </w:r>
          </w:p>
        </w:tc>
      </w:tr>
      <w:tr>
        <w:trPr>
          <w:trHeight w:val="223"/>
        </w:trPr>
        <w:tc>
          <w:tcPr>
            <w:tcW w:w="2620" w:type="dxa"/>
            <w:vAlign w:val="bottom"/>
          </w:tcPr>
          <w:p>
            <w:pPr>
              <w:ind w:left="200"/>
              <w:spacing w:after="0"/>
              <w:rPr>
                <w:sz w:val="20"/>
                <w:szCs w:val="20"/>
                <w:color w:val="auto"/>
              </w:rPr>
            </w:pPr>
            <w:r>
              <w:rPr>
                <w:rFonts w:ascii="Arial" w:cs="Arial" w:eastAsia="Arial" w:hAnsi="Arial"/>
                <w:sz w:val="18"/>
                <w:szCs w:val="18"/>
                <w:b w:val="1"/>
                <w:bCs w:val="1"/>
                <w:color w:val="auto"/>
              </w:rPr>
              <w:t>Ending Balance</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144,484</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188,747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217,766</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129,964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347,730</w:t>
            </w:r>
          </w:p>
        </w:tc>
        <w:tc>
          <w:tcPr>
            <w:tcW w:w="10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9"/>
          </w:tcPr>
          <w:p>
            <w:pPr>
              <w:jc w:val="right"/>
              <w:ind w:right="700"/>
              <w:spacing w:after="0"/>
              <w:rPr>
                <w:sz w:val="20"/>
                <w:szCs w:val="20"/>
                <w:color w:val="auto"/>
              </w:rPr>
            </w:pPr>
            <w:r>
              <w:rPr>
                <w:rFonts w:ascii="Arial" w:cs="Arial" w:eastAsia="Arial" w:hAnsi="Arial"/>
                <w:sz w:val="18"/>
                <w:szCs w:val="18"/>
                <w:b w:val="1"/>
                <w:bCs w:val="1"/>
                <w:color w:val="auto"/>
              </w:rPr>
              <w:t xml:space="preserve">First Nine Months 2011 </w:t>
            </w:r>
            <w:r>
              <w:rPr>
                <w:rFonts w:ascii="Arial" w:cs="Arial" w:eastAsia="Arial" w:hAnsi="Arial"/>
                <w:sz w:val="15"/>
                <w:szCs w:val="15"/>
                <w:color w:val="auto"/>
              </w:rPr>
              <w:t>(1)(3)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 xml:space="preserve">First Nine Months 2010 </w:t>
            </w:r>
            <w:r>
              <w:rPr>
                <w:rFonts w:ascii="Arial" w:cs="Arial" w:eastAsia="Arial" w:hAnsi="Arial"/>
                <w:sz w:val="15"/>
                <w:szCs w:val="15"/>
                <w:color w:val="auto"/>
              </w:rPr>
              <w:t>(1)</w:t>
            </w:r>
          </w:p>
        </w:tc>
      </w:tr>
      <w:tr>
        <w:trPr>
          <w:trHeight w:val="191"/>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0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2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Loans</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NPAs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Loans</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NPAs</w:t>
            </w:r>
          </w:p>
        </w:tc>
      </w:tr>
      <w:tr>
        <w:trPr>
          <w:trHeight w:val="210"/>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179,094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142,208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321,302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264,092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384,862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 xml:space="preserve">Loans placed on non-accrual </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194,006</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194,006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413,820</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413,820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(15,247)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(29,391)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(29,391)</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charge-offs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(78,192)</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(78,192)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(174,237)</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(174,237)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(49,693)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(176,071)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176,071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Capitalized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(80,447)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(134,626)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(215,073)</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8"/>
              </w:rPr>
              <w:t>Loans transferred to held for sale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(74,084)</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(74,084)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(17,724)</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Net losses on sales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(7,998)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(15,753)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(15,753)</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144,484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188,747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217,766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129,964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347,730</w:t>
            </w: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pacing w:after="0" w:line="21" w:lineRule="exact"/>
        <w:rPr>
          <w:rFonts w:ascii="Arial" w:cs="Arial" w:eastAsia="Arial" w:hAnsi="Arial"/>
          <w:sz w:val="15"/>
          <w:szCs w:val="15"/>
          <w:color w:val="auto"/>
        </w:rPr>
      </w:pPr>
    </w:p>
    <w:p>
      <w:pPr>
        <w:ind w:left="720" w:hanging="388"/>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7"/>
          <w:szCs w:val="17"/>
          <w:color w:val="auto"/>
        </w:rPr>
        <w:t>Includes $76.6 million from United’s largest loan relationship that was placed on nonaccrual in the third quarter of 2011.</w:t>
      </w:r>
    </w:p>
    <w:p>
      <w:pPr>
        <w:spacing w:after="0" w:line="88" w:lineRule="exact"/>
        <w:rPr>
          <w:rFonts w:ascii="Arial" w:cs="Arial" w:eastAsia="Arial" w:hAnsi="Arial"/>
          <w:sz w:val="14"/>
          <w:szCs w:val="14"/>
          <w:color w:val="auto"/>
        </w:rPr>
      </w:pPr>
    </w:p>
    <w:p>
      <w:pPr>
        <w:jc w:val="both"/>
        <w:ind w:left="720" w:right="159" w:hanging="388"/>
        <w:spacing w:after="0" w:line="276"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7"/>
          <w:szCs w:val="17"/>
          <w:color w:val="auto"/>
        </w:rPr>
        <w:t>The NPA activity shown for the first nine months of 2011 is presented with all activity related to loans transferred to the held for sale classification on one line as if those loans were transferred to held for sale at the beginning of the period. During the first quarter of 2011, $27.1 million in loans transferred to held for sale were placed on nonaccrual, $1.1 million in payments were received on nonaccrual loans transferred to held for sale and $66.6 million in charge-offs were recorded on nonaccrual loans transferred to held for sale to mark them down to the expected proceeds from the sale.</w:t>
      </w:r>
    </w:p>
    <w:p>
      <w:pPr>
        <w:spacing w:after="0" w:line="13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third quarter and first nine months of 2011, United transferred $10.6 million and $49.7 million, respectively, of loans into foreclosed property. During the same periods, proceeds from sales of foreclosed property were $13.8 million and $87.3 million, respectively, which includes $3.1 million and $16.3 million of sales that were financed by United, respectively. During the first quarter of 2011, United recorded $48.6 million in write-downs on foreclosed property in order to expedite sales in the second and third quarter.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98"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September 30, 2011 increased $813 million from a year ago. The increase in the securities portfolio was a result of a buildup of liquidity resulting partially from strong core deposit growth with little loan demand to invest the proceeds. In addition, United had previously sought to maintain above normal amounts of liquidity due to the uncertain economy. United invested the proceeds from deposits in floating rate mortgage-backed securities. United chose floating rate securities because they have less market risk in the event rates begin to rise.</w:t>
      </w:r>
    </w:p>
    <w:p>
      <w:pPr>
        <w:spacing w:after="0" w:line="15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At September 30, 2011, United had securities held to maturity with a carrying value of $354 million and securities available for sale totaling $1.77 billion. At September 30, 2011, December 31, 2010, and September 30, 2010, the securities portfolio represented approximately 30%, 20%, and 19% of total assets, respectively.</w:t>
      </w:r>
    </w:p>
    <w:p>
      <w:pPr>
        <w:spacing w:after="0" w:line="141"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corporate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Goodwill represents the premium paid for acquired companies above the fair value of the assets acquired and liabilities assumed, including separately identifiable intangible assets. As a result of the significant drop in United’s stock price during the third quarter of 2010, United conducted an interim goodwill impairment test to determine if the stock price decline might indicate goodwill was impaired. United’s third quarter interim 2010 impairment test indicated that goodwill was in fact impaired and United recorded a charge to earnings for the entire remaining balance of $211 million. In performing the interim impairment test, United engaged the services of a national third party valuation expert who employed commonly used valuation techniques including an earnings approach that considered discounted future expected cash earnings and three market approaches.</w:t>
      </w:r>
    </w:p>
    <w:p>
      <w:pPr>
        <w:spacing w:after="0" w:line="137"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8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very successful in increasing core transaction deposit accounts and reducing more costly time deposit balances as United’s funding needs decreased due to lower loan demand. United has continued to pursue customer transaction deposits by stressing its high customer satisfaction scores.</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Total deposits as of September 30, 2011 were $6.01 billion, an increase of $6.7 million from September 30, 2010. Total non-interest-bearing demand deposit accounts of $966 million increased $183 million, or 23%, due to the success of core deposit programs. Also impacted by the programs were NOW, money market and savings accounts of $2.53 billion which increased $200 million, or 9%, from September 30, 2010.</w:t>
      </w:r>
    </w:p>
    <w:p>
      <w:pPr>
        <w:spacing w:after="0" w:line="16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Total time deposits, excluding brokered deposits, as of September 30, 2011 were $2.30 billion, down $233 million from September 30, 2010. Time deposits less than $100,000 totaled $1.39 billion, a decrease of $105 million, or 7%, from a year ago. Time deposits of $100,000 and greater totaled $905 million as of September 30, 2011, a decrease of $128 million, or 12%, from September 30, 2010. United continued to offer low rates on certificates of deposit, allowing balances to decline as United’s funding needs declined due to weak loan demand.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$40.6 million and $55.1 million as of September 30, 2011 and 2010, respectively. United anticipates continued use of this short and long-term source of funds. FHLB advances outstanding at September 30, 2011 had fixed interest rates ranging up to 4.49%. During the second quarter of 2011 and the third quarter of 2010, United prepaid approximately $14.5 million and $50.0 million, respectively, of fixed-rate advances and incurred prepayment charges of $791,000 and $2.23 million, respectively. Additional information regarding FHLB advances is provided in Note 11 to the consolidated financial statements included in United’s 2010 Form 10-K.</w:t>
      </w:r>
    </w:p>
    <w:p>
      <w:pPr>
        <w:spacing w:after="0" w:line="14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At September 30, 2011 and 2010, United had $103 million and $104 million, respectively, in repurchase agreements and other short-term borrowings outstanding. United takes advantage of these additional sources of liquidity when rates are favorable compared to other forms of short-term borrowings, such as FHLB advances and brokered deposits.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46"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United’s net interest revenue, and the fair value of its financial instruments, are influenced by changes in the level of interest rates. United manages its exposure to fluctuations in interest rates through policies established by the Asset/Liability Management Committee (“ALCO”). ALCO meets periodically and has responsibility for approving asset/liability management policies, formulating and implementing strategies to improve balance sheet positioning and/or earnings, and reviewing United’s interest rate sensitivity.</w:t>
      </w:r>
    </w:p>
    <w:p>
      <w:pPr>
        <w:spacing w:after="0" w:line="114"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gradually rising and falling rate scenarios, which are compared to this base scenario. Another commonly analyzed scenario is a most-likely scenario that projects the expected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pacing w:after="0" w:line="142"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first 12 months to a 10% decrease in either scenario. The policy ramp and base scenarios assume a static balance sheet. Historically low rates on September 30, 2011 and 2010 made use of the down 200 basis points scenario problematic. At September 30, 2011 United’s simulation model indicated that a 200 basis point increase in rates would cause an approximate 1.83% increase in net interest revenue over twelve months, and a 25 basis point decrease would cause an approximate .47% increase in net interest revenue over twelve months. At September 30, 2010, United’s simulation model indicated that a 200 basis point increase in rates would cause an approximate .48% decrease in net interest revenue and a 25 basis point decrease in rates over twelve months would cause an approximate .33% increase in net interest revenue.</w:t>
      </w:r>
    </w:p>
    <w:p>
      <w:pPr>
        <w:spacing w:after="0" w:line="126"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3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16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Varying interest rate environments can create unexpected changes in prepayment levels of assets and liabilities that are not reflected in an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ectPr>
          <w:pgSz w:w="11900" w:h="16838" w:orient="portrait"/>
          <w:cols w:equalWidth="0" w:num="1">
            <w:col w:w="10219"/>
          </w:cols>
          <w:pgMar w:left="240" w:top="419" w:right="1440" w:bottom="1108"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8"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and receives a fixed rate and interest rate floor contracts where United pays a premium up front to a counterparty for the right to be compensated if a specified rate index falls below a pre-determined floor rate.</w:t>
      </w:r>
    </w:p>
    <w:p>
      <w:pPr>
        <w:spacing w:after="0" w:line="14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September 30, 2011, United did not have any active derivative contracts outstanding.</w:t>
      </w:r>
    </w:p>
    <w:p>
      <w:pPr>
        <w:spacing w:after="0" w:line="14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September 30, 2011, United had $7.16 million in gains from terminated derivative positions included in other comprehensive income that will be amortized into earnings over their remaining original contract terms. Approximately $5.33 million is expected to be reclassified into interest revenue over the next twelve months.</w:t>
      </w:r>
    </w:p>
    <w:p>
      <w:pPr>
        <w:spacing w:after="0" w:line="14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26"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3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$22.1 million at September 30, 2011, and typically turn over every 45 days as the closed loans are sold to investors in the secondary market. In addition, at September 30, 2011 United held $826 million in excess liquidity including $230 million in cash equivalent balances, primarily balances in excess of reserve requirements at the Federal Reserve Bank and $596 million in floating rate securities.</w:t>
      </w:r>
    </w:p>
    <w:p>
      <w:pPr>
        <w:spacing w:after="0" w:line="13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3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Substantially all of the parent company’s liquidity is obtained from subsidiary service fees and dividends from the Bank, which is limited by applicable law.</w:t>
      </w:r>
    </w:p>
    <w:p>
      <w:pPr>
        <w:spacing w:after="0" w:line="143"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At September 30, 2011, United had sufficient qualifying collateral to increase FHLB advances by $1.39 billion and Federal Reserve discount window capacity of $405 million. United’s internal policy limits brokered deposits to 25% of total assets. At September 30, 2011, United had the capacity to increase brokered deposits by $1.58 billion, subject to certain regulatory approvals, and still remain within this limit. In addition to these wholesale sources, United has the ability to attract retail deposits at any time by competing more aggressively on pricing.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$149 million for the nine months ended September 30, 2011. The net loss of $141 million for the nine month period included non-cash expenses for the provision for loan losses of $237 million and losses and write downs on foreclosed property of $61.5 million. As an offset, other assets increased $35.7 million, primarily due to an increase in deferred tax assets. Net cash used in investing activities of $350 million consisted primarily of purchases of securities of $1.14 billion and purchases of premises and equipment of $6.44 million, that were offset by proceeds from sales of securities of $107 million, maturities and calls of investment securities of $416 million, net proceeds from sales of other real estate of $71.0 million, proceeds from note sales of $99.3 million, and a net decrease in loans of $106 million. Net cash used in financing activities of $149 million consisted primarily of the proceeds of $362 million from the issuance of common and preferred stock offset by a net decrease in deposits of $464 million. United also paid $15.3 million to settle FHLB advances and repaid $30.0 million in long-term debt. In the opinion of management, United had a significant excess liquidity position at September 30, 2011, which was sufficient to meet its expected cash flow requirements.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Shareholders’ equity at September 30, 2011 was $848 million, an increase of $213 million from December 31, 2010. Accumulated other comprehensive income,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shareholders’ equity increased $217 million from December 31, 2010.</w:t>
      </w:r>
    </w:p>
    <w:p>
      <w:pPr>
        <w:spacing w:after="0" w:line="114"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During the first quarter of 2011, United closed the Private Placement. Pursuant to the Private Placement, the Investors purchased and United issued $32.9 million of the Company’s existing common stock, consisting of 3,467,699 shares, for $9.50 per share and issued $347 million in preferred stock consisting of $196 million of Series F Preferred Stock, and $151 million of Series G Preferred Stock. Under the terms of the Private Placement Agreement and following receipt of required shareholder approvals, which were received on June 16, 2011 at United’s annual shareholders’ meeting, the Series F Preferred Stock converted into 20,618,156 shares of voting common stock and the Series G Preferred Stock converted into 15,914,209 shares of non-voting common stock. Following such conversion, the Investors owned an aggregate of 24,085,855 shares of common stock and 15,914,209 shares of non-voting common stock. The Private Placement resulted in an increase to shareholders’ equity of $362 million, net of transaction costs.</w:t>
      </w:r>
    </w:p>
    <w:p>
      <w:pPr>
        <w:spacing w:after="0" w:line="13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On February 22, 2011, the Company entered into the Share Exchange Agreement with the Elm Ridge Parties. Under the Share Exchange Agreement, the Elm Ridge Parties agreed to transfer to the Company 1,551,126 shares of the Company’s common stock in exchange for 16,613 Series D Preferred Shares and warrants to purchase 1,551,126 common shares.</w:t>
      </w:r>
    </w:p>
    <w:p>
      <w:pPr>
        <w:spacing w:after="0" w:line="12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United accrued $3.02 million and $8.81 million, respectively, in dividends, including accretion of discounts, on Series A, Series B and Series D preferred stock in the third quarter and first nine months of 2011.</w:t>
      </w:r>
    </w:p>
    <w:p>
      <w:pPr>
        <w:spacing w:after="0" w:line="13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In November 2011, United entered into an informal memorandum of understanding with the Federal Reserve Bank of Atlanta and the Georgia Department of Finance (the “Holding Company MOU”) that superseded the board resolution previously requested by the Federal Reserve. The Holding Company MOU provides, similar to the superseded resolution, that United may not incur additional indebtedness, pay cash dividends, make payments on our trust preferred securities or subordinated indebtedness or repurchase outstanding stock without prior approval of the Federal Reserve. We were not given permission to pay interest on our trust preferred securities and dividends on our preferred stock during the first quarter of 2011. Effective April 15, 2011, United received approval to make payments for currently payable and previously deferred dividends and interest on its preferred stock and trust preferred securities. Since then, United has continued to receive quarterly approvals of all payments, including the fourth quarter of 2011. Additionally, the Holding Company MOU requires, among other things, that United ensures that the Bank functions in a safe and sound manner. United believes it is in compliance with all requirements of the Holding Company MOU.</w:t>
      </w:r>
    </w:p>
    <w:p>
      <w:pPr>
        <w:spacing w:after="0" w:line="151"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The Bank is currently subject to an informal memorandum of understanding with the Federal Deposit Insurance Corporation and the Georgia Department of Banking and Finance (the “Bank MOU”) which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2011 and 2010.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13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4"/>
              </w:rPr>
              <w:t>2011</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4"/>
              </w:rPr>
              <w:t>2010</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Avg Daily</w:t>
            </w:r>
          </w:p>
        </w:tc>
        <w:tc>
          <w:tcPr>
            <w:tcW w:w="100" w:type="dxa"/>
            <w:vAlign w:val="bottom"/>
          </w:tcPr>
          <w:p>
            <w:pPr>
              <w:spacing w:after="0"/>
              <w:rPr>
                <w:sz w:val="16"/>
                <w:szCs w:val="16"/>
                <w:color w:val="auto"/>
              </w:rPr>
            </w:pPr>
          </w:p>
        </w:tc>
      </w:tr>
      <w:tr>
        <w:trPr>
          <w:trHeight w:val="234"/>
        </w:trPr>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Close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Volume</w:t>
            </w:r>
          </w:p>
        </w:tc>
        <w:tc>
          <w:tcPr>
            <w:tcW w:w="16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Close</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Volume</w:t>
            </w:r>
          </w:p>
        </w:tc>
      </w:tr>
      <w:tr>
        <w:trPr>
          <w:trHeight w:val="210"/>
        </w:trPr>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$ 11.85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5.95</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$ 11.65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227,321</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$ 25.00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$ 16.05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$ 22.05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176,585</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1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9.80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10.56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139,741</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31.00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19.30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19.75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169,997</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214,303</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162,032</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13.00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9.75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216,916</w:t>
            </w:r>
          </w:p>
        </w:tc>
      </w:tr>
    </w:tbl>
    <w:p>
      <w:pPr>
        <w:spacing w:after="0" w:line="14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stock price information shown above has been adjusted to reflect United’s 1 for 5 reverse stock split as though it had occurred at the beginning of the earliest reported period.</w:t>
      </w:r>
    </w:p>
    <w:p>
      <w:pPr>
        <w:spacing w:after="0" w:line="130"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3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32"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1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shows United’s capital ratios, as calculated under regulatory guidelines, at September 30, 2011, December 31, 2010 and September 30, 2010.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440"/>
              <w:spacing w:after="0"/>
              <w:rPr>
                <w:sz w:val="20"/>
                <w:szCs w:val="20"/>
                <w:color w:val="auto"/>
              </w:rPr>
            </w:pPr>
            <w:r>
              <w:rPr>
                <w:rFonts w:ascii="Arial" w:cs="Arial" w:eastAsia="Arial" w:hAnsi="Arial"/>
                <w:sz w:val="14"/>
                <w:szCs w:val="14"/>
                <w:b w:val="1"/>
                <w:bCs w:val="1"/>
                <w:color w:val="auto"/>
              </w:rPr>
              <w:t>Regulatory</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8"/>
          </w:tcPr>
          <w:p>
            <w:pPr>
              <w:jc w:val="center"/>
              <w:ind w:left="328"/>
              <w:spacing w:after="0"/>
              <w:rPr>
                <w:sz w:val="20"/>
                <w:szCs w:val="20"/>
                <w:color w:val="auto"/>
              </w:rPr>
            </w:pPr>
            <w:r>
              <w:rPr>
                <w:rFonts w:ascii="Arial" w:cs="Arial" w:eastAsia="Arial" w:hAnsi="Arial"/>
                <w:sz w:val="14"/>
                <w:szCs w:val="14"/>
                <w:b w:val="1"/>
                <w:bCs w:val="1"/>
                <w:color w:val="auto"/>
                <w:w w:val="94"/>
              </w:rPr>
              <w:t>United Community Banks, Inc.</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7"/>
            <w:vMerge w:val="restart"/>
          </w:tcPr>
          <w:p>
            <w:pPr>
              <w:jc w:val="center"/>
              <w:ind w:left="428"/>
              <w:spacing w:after="0"/>
              <w:rPr>
                <w:sz w:val="20"/>
                <w:szCs w:val="20"/>
                <w:color w:val="auto"/>
              </w:rPr>
            </w:pPr>
            <w:r>
              <w:rPr>
                <w:rFonts w:ascii="Arial" w:cs="Arial" w:eastAsia="Arial" w:hAnsi="Arial"/>
                <w:sz w:val="14"/>
                <w:szCs w:val="14"/>
                <w:b w:val="1"/>
                <w:bCs w:val="1"/>
                <w:color w:val="auto"/>
                <w:w w:val="94"/>
              </w:rPr>
              <w:t>United Community Bank</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Guidelines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(Consolidated)</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Minimum</w:t>
            </w:r>
          </w:p>
        </w:tc>
        <w:tc>
          <w:tcPr>
            <w:tcW w:w="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Well</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102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4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Capitalized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Risk-based ratios: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Tier I capital</w:t>
            </w:r>
          </w:p>
        </w:tc>
        <w:tc>
          <w:tcPr>
            <w:tcW w:w="92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4.0%</w:t>
            </w: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13.97%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10.42%</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13.80%</w:t>
            </w: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capital</w:t>
            </w:r>
          </w:p>
        </w:tc>
        <w:tc>
          <w:tcPr>
            <w:tcW w:w="92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8.0</w:t>
            </w: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12.99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20"/>
                <w:szCs w:val="20"/>
                <w:color w:val="auto"/>
              </w:rPr>
            </w:pPr>
            <w:r>
              <w:rPr>
                <w:rFonts w:ascii="Arial" w:cs="Arial" w:eastAsia="Arial" w:hAnsi="Arial"/>
                <w:sz w:val="14"/>
                <w:szCs w:val="14"/>
                <w:color w:val="auto"/>
              </w:rPr>
              <w:t>Leverage ratio</w:t>
            </w:r>
          </w:p>
        </w:tc>
        <w:tc>
          <w:tcPr>
            <w:tcW w:w="920" w:type="dxa"/>
            <w:vAlign w:val="bottom"/>
            <w:gridSpan w:val="3"/>
          </w:tcPr>
          <w:p>
            <w:pPr>
              <w:ind w:left="560"/>
              <w:spacing w:after="0"/>
              <w:rPr>
                <w:sz w:val="20"/>
                <w:szCs w:val="20"/>
                <w:color w:val="auto"/>
              </w:rPr>
            </w:pPr>
            <w:r>
              <w:rPr>
                <w:rFonts w:ascii="Arial" w:cs="Arial" w:eastAsia="Arial" w:hAnsi="Arial"/>
                <w:sz w:val="14"/>
                <w:szCs w:val="14"/>
                <w:color w:val="auto"/>
              </w:rPr>
              <w:t>3.0</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8.97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6.75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7.32</w:t>
            </w:r>
          </w:p>
        </w:tc>
        <w:tc>
          <w:tcPr>
            <w:tcW w:w="2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8.84</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7.45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15"/>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Tier I capital</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629,088</w:t>
            </w:r>
          </w:p>
        </w:tc>
        <w:tc>
          <w:tcPr>
            <w:tcW w:w="26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483,257</w:t>
            </w: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520,367</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619,126</w:t>
            </w:r>
          </w:p>
        </w:tc>
        <w:tc>
          <w:tcPr>
            <w:tcW w:w="180" w:type="dxa"/>
            <w:vAlign w:val="bottom"/>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534,161</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567,428</w:t>
            </w:r>
          </w:p>
        </w:tc>
        <w:tc>
          <w:tcPr>
            <w:tcW w:w="0" w:type="dxa"/>
            <w:vAlign w:val="bottom"/>
          </w:tcPr>
          <w:p>
            <w:pPr>
              <w:spacing w:after="0"/>
              <w:rPr>
                <w:sz w:val="1"/>
                <w:szCs w:val="1"/>
                <w:color w:val="auto"/>
              </w:rPr>
            </w:pPr>
          </w:p>
        </w:tc>
      </w:tr>
      <w:tr>
        <w:trPr>
          <w:trHeight w:val="182"/>
        </w:trPr>
        <w:tc>
          <w:tcPr>
            <w:tcW w:w="1160" w:type="dxa"/>
            <w:vAlign w:val="bottom"/>
          </w:tcPr>
          <w:p>
            <w:pPr>
              <w:ind w:left="200"/>
              <w:spacing w:after="0"/>
              <w:rPr>
                <w:sz w:val="20"/>
                <w:szCs w:val="20"/>
                <w:color w:val="auto"/>
              </w:rPr>
            </w:pPr>
            <w:r>
              <w:rPr>
                <w:rFonts w:ascii="Arial" w:cs="Arial" w:eastAsia="Arial" w:hAnsi="Arial"/>
                <w:sz w:val="14"/>
                <w:szCs w:val="14"/>
                <w:color w:val="auto"/>
              </w:rPr>
              <w:t>Total capital</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713,596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605,204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648,363</w:t>
            </w:r>
          </w:p>
        </w:tc>
        <w:tc>
          <w:tcPr>
            <w:tcW w:w="2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676,319</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621,807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655,047</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shareholders’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42"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02"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There have been no material changes in United’s quantitative and qualitative disclosures about market risk as of September 30, 2011 from that presented in the Annual Report on Form 10-K for the year ended December 31, 2010. The interest rate sensitivity position at September 30, 2011 is included in management’s discussion and analysis on page 53 of this report.</w:t>
      </w:r>
    </w:p>
    <w:p>
      <w:pPr>
        <w:spacing w:after="0" w:line="12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September 30, 2011.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our deferred tax asset balances may be materially impaired.</w:t>
      </w:r>
    </w:p>
    <w:p>
      <w:pPr>
        <w:spacing w:after="0" w:line="19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As of September 30, 2011, our net deferred tax asset balance was approximately $264 million, which includes approximately $212 million resulting from federal and state net operating losses. We currently have a valuation allowance of $5.39 million against certain deferred state tax assets that have a very short carry forward period.</w:t>
      </w:r>
    </w:p>
    <w:p>
      <w:pPr>
        <w:spacing w:after="0" w:line="141"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Our ability to use these tax benefits would be substantially limited if we were to experience an “ownership change” as defined under Section 382 of the Internal Revenue Code of 1986, as amended, and related Internal Revenue Service pronouncements. As a result of the Private Placement we did not incur an “ownership change”, but are close to the threshold. In general, an “ownership change” would occur if our “5-percent shareholders”, as defined under Section 382, collectively increased their ownership in United by more than 50%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which was 4.55% for ownership changes occurring in March 2011, the month in which United completed the Private Placement.</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While we have taken measures to reduce the likelihood that future transactions in our stock will result in an ownership change, there can be no assurance that an ownership change will not occur in the future or that a there will not be a change in applicable law that may result in an ownership change. More specifically, while our Tax Benefits Preservation Plan provides an economic disincentive for any one person or group to become a Threshold Holder (as defined in the plan) and for any existing Threshold Holder to acquire more than a specified amount of additional shares, there can be no assurance that the Tax Benefits Preservation Plan will deter a shareholder from increasing its ownership interests beyond the limits set by the plan. Such an increase could adversely affect our ownership change calculations.</w:t>
      </w:r>
    </w:p>
    <w:p>
      <w:pPr>
        <w:spacing w:after="0" w:line="16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valuation allowances may need to be maintained for deferred tax assets that we estimate are more likely than not to be unrealizable, based on available evidence at the time the estimate is made. Valuation allowances related to deferred tax assets can be affected by changes to tax laws, statutory tax rates, and future taxable income levels and based on input from our auditors, tax advisors or regulatory authorities. In the event that we were to determine that we would not be able to realize all or a portion of our net deferred tax assets in the future, we would reduce such amounts through a charge to income tax expense in the period in which that determination was made, which could have a material adverse impact on our financial condition and results of operations and our ability to maintain profitability.</w:t>
      </w:r>
    </w:p>
    <w:p>
      <w:pPr>
        <w:spacing w:after="0" w:line="14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b w:val="1"/>
          <w:bCs w:val="1"/>
          <w:i w:val="1"/>
          <w:iCs w:val="1"/>
          <w:color w:val="auto"/>
        </w:rPr>
        <w:t>Enforcement actions could have a material negative effect on our business, operations, financial condition, results of operations or the value of our common stock.</w:t>
      </w:r>
    </w:p>
    <w:p>
      <w:pPr>
        <w:spacing w:after="0" w:line="13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Pursuant to the Holding Company MOU, United has agreed to not incur additional indebtedness, pay cash dividends, make payments on our trust preferred securities or subordinated indebtedness or repurchase outstanding stock without prior regulatory approval. Additionally, the Holding Company MOU requires, among other things, that United ensures that the Bank functions in a safe and sound manner. The Bank MOU requires, among other things, that the Bank maintain its Tier 1 leverage ratio at not less than 8% and its total risk-based capital ratio at not less than 10% during the life of the Bank MOU and that, prior to declaring or paying any cash dividends to United, the Bank must obtain the written consent of its regulators.</w:t>
      </w:r>
    </w:p>
    <w:p>
      <w:pPr>
        <w:spacing w:after="0" w:line="151"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If we are unable to comply with the Holding Company MOU or Bank MOU, then we could become subject to additional, heightened enforcement actions and orders, possibly including cease and desist or consent orders, written agreements and/or other regulatory enforcement actions. If our regulators were to take such additional enforcement actions, then we could, among other things, become subject to significant restrictions on our ability to develop any new business, as well as restrictions on our existing business, and we could be required to raise additional capital, dispose of certain assets and liabilities within a prescribed period of time, or both. The terms of any such enforcement action could have a material negative effect on our business, operations, financial condition, results of operations or the value of our common stock. Further, as long as either memorandum of understanding is in place, it is unlikely that United or the Bank could participate in negotiated purchases, mergers or FDIC-assisted transactions.</w:t>
      </w:r>
    </w:p>
    <w:p>
      <w:pPr>
        <w:spacing w:after="0" w:line="12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Other than the risk factors mentioned above, there have been no material changes from the risk associated with our business and industry, as well as the risks related to legislative and regulatory events, contained in the section entitled “Risk Factors” in our Annual Report on Form 10-K for the year ended December 31, 2010.</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39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40" w:type="dxa"/>
            <w:vAlign w:val="bottom"/>
            <w:gridSpan w:val="2"/>
          </w:tcPr>
          <w:p>
            <w:pPr>
              <w:spacing w:after="0"/>
              <w:rPr>
                <w:sz w:val="17"/>
                <w:szCs w:val="17"/>
                <w:color w:val="auto"/>
              </w:rPr>
            </w:pPr>
          </w:p>
        </w:tc>
        <w:tc>
          <w:tcPr>
            <w:tcW w:w="8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1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Exhibit No.</w:t>
            </w:r>
          </w:p>
        </w:tc>
        <w:tc>
          <w:tcPr>
            <w:tcW w:w="280" w:type="dxa"/>
            <w:vAlign w:val="bottom"/>
          </w:tcPr>
          <w:p>
            <w:pPr>
              <w:spacing w:after="0"/>
              <w:rPr>
                <w:sz w:val="24"/>
                <w:szCs w:val="2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1"/>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2"/>
              </w:rPr>
              <w:t>Restated Articles of Incorporation of United Community Banks, Inc., as amended (incorporated by reference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2"/>
              </w:rPr>
              <w:t>Exhibit 3.1 to United Community Banks, Inc.’s Quarterly Report on Form 10-Q/A for the period ended June 30,</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2011, filed with the SEC on August 9, 2011).</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0"/>
              </w:rPr>
              <w:t>Amended and Restated Bylaws of United Community Banks, Inc., as amended (incorporated herein by reference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 Exhibit 3.2 to United Community Banks, Inc.’s Quarterly Report on Form 10-Q for the period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March 31, 2011, filed with the SEC on May 4, 2011).</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4"/>
              </w:rPr>
              <w:t>See Exhibits 3.1 and 3.2 for provisions of the Restated Articles of Incorporation of United Community Banks,</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0"/>
              </w:rPr>
              <w:t>Inc., as amended, and the Amended and Restated Bylaws, as amended, of United Community Banks, Inc., which</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define the rights of security holders.</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6"/>
              </w:rPr>
              <w:t>Second Amendment to Tax Benefits Preservation Plan, dated as of June 17, 2011 (incorporated herein by</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3"/>
              </w:rPr>
              <w:t>reference to Exhibit 1.1 to United Community Banks, Inc.’s Current Report on Form 8-K,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June 21, 2011).</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0"/>
              </w:rPr>
              <w:t>Asset Purchase and Sale Agreement, dated as of April 18, 2011, among United Community Bank, CF Southeast,</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5"/>
              </w:rPr>
              <w:t>LLC and CF Southeast Trust 2011-1 (incorporated herein by reference to Exhibit 10.3 to United Community</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8"/>
              </w:rPr>
              <w:t>Banks, Inc.’s Quarterly Report on Form 10-Q for the period ended March 31, 2011,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May 4, 2011).</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4"/>
              </w:rPr>
              <w:t>Certification by Jimmy C. Tallent, President and Chief Executive Officer of United Community Banks, Inc., as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5"/>
              </w:rPr>
              <w:t>Certification by Rex S. Schuette, Executive Vice President and Chief Financial Officer of United Community</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Banks, Inc., as adopted pursuant to Section 302 of the Sarbanes-Oxley Act of 2002.</w:t>
            </w:r>
          </w:p>
        </w:tc>
      </w:tr>
    </w:tbl>
    <w:p>
      <w:pPr>
        <w:spacing w:after="0" w:line="202" w:lineRule="exact"/>
        <w:rPr>
          <w:sz w:val="20"/>
          <w:szCs w:val="20"/>
          <w:color w:val="auto"/>
        </w:rPr>
      </w:pPr>
    </w:p>
    <w:p>
      <w:pPr>
        <w:ind w:left="1900" w:right="179" w:hanging="951"/>
        <w:spacing w:after="0" w:line="277" w:lineRule="auto"/>
        <w:tabs>
          <w:tab w:leader="none" w:pos="1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769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769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769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Date: November 8, 2011</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419" w:right="1440" w:bottom="1440" w:gutter="0" w:footer="0" w:header="0"/>
        </w:sectPr>
      </w:pPr>
    </w:p>
    <w:bookmarkStart w:id="67" w:name="page68"/>
    <w:bookmarkEnd w:id="67"/>
    <w:p>
      <w:pPr>
        <w:jc w:val="center"/>
        <w:ind w:right="151"/>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Jimmy C. Tallent, certify that:</w:t>
      </w:r>
    </w:p>
    <w:p>
      <w:pPr>
        <w:spacing w:after="0" w:line="198" w:lineRule="exact"/>
        <w:rPr>
          <w:sz w:val="20"/>
          <w:szCs w:val="20"/>
          <w:color w:val="auto"/>
        </w:rPr>
      </w:pPr>
    </w:p>
    <w:p>
      <w:pPr>
        <w:ind w:left="188" w:hanging="188"/>
        <w:spacing w:after="0"/>
        <w:tabs>
          <w:tab w:leader="none" w:pos="1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88" w:right="159" w:firstLine="1"/>
        <w:spacing w:after="0" w:line="286" w:lineRule="auto"/>
        <w:tabs>
          <w:tab w:leader="none" w:pos="575"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388" w:right="159" w:firstLine="1"/>
        <w:spacing w:after="0" w:line="286" w:lineRule="auto"/>
        <w:tabs>
          <w:tab w:leader="none" w:pos="586"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88" w:right="159" w:firstLine="1"/>
        <w:spacing w:after="0" w:line="264" w:lineRule="auto"/>
        <w:tabs>
          <w:tab w:leader="none" w:pos="58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8" w:right="159" w:firstLine="1"/>
        <w:spacing w:after="0" w:line="264" w:lineRule="auto"/>
        <w:tabs>
          <w:tab w:leader="none" w:pos="6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159" w:hanging="8"/>
        <w:spacing w:after="0" w:line="277" w:lineRule="auto"/>
        <w:tabs>
          <w:tab w:leader="none" w:pos="1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rFonts w:ascii="Arial" w:cs="Arial" w:eastAsia="Arial" w:hAnsi="Arial"/>
          <w:sz w:val="18"/>
          <w:szCs w:val="18"/>
          <w:color w:val="auto"/>
        </w:rPr>
      </w:pPr>
    </w:p>
    <w:p>
      <w:pPr>
        <w:jc w:val="both"/>
        <w:ind w:left="388" w:right="179" w:firstLine="1"/>
        <w:spacing w:after="0" w:line="264" w:lineRule="auto"/>
        <w:tabs>
          <w:tab w:leader="none" w:pos="5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8" w:right="179" w:firstLine="1"/>
        <w:spacing w:after="0" w:line="277" w:lineRule="auto"/>
        <w:tabs>
          <w:tab w:leader="none" w:pos="62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27616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Date: November 8, 2011</w:t>
      </w:r>
    </w:p>
    <w:p>
      <w:pPr>
        <w:sectPr>
          <w:pgSz w:w="11900" w:h="16838" w:orient="portrait"/>
          <w:cols w:equalWidth="0" w:num="1">
            <w:col w:w="9887"/>
          </w:cols>
          <w:pgMar w:left="572" w:top="121" w:right="1440" w:bottom="1440" w:gutter="0" w:footer="0" w:header="0"/>
        </w:sectPr>
      </w:pPr>
    </w:p>
    <w:bookmarkStart w:id="68" w:name="page69"/>
    <w:bookmarkEnd w:id="68"/>
    <w:p>
      <w:pPr>
        <w:jc w:val="center"/>
        <w:ind w:right="151"/>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Rex S. Schuette, certify that:</w:t>
      </w:r>
    </w:p>
    <w:p>
      <w:pPr>
        <w:spacing w:after="0" w:line="198" w:lineRule="exact"/>
        <w:rPr>
          <w:sz w:val="20"/>
          <w:szCs w:val="20"/>
          <w:color w:val="auto"/>
        </w:rPr>
      </w:pPr>
    </w:p>
    <w:p>
      <w:pPr>
        <w:ind w:left="188" w:hanging="188"/>
        <w:spacing w:after="0"/>
        <w:tabs>
          <w:tab w:leader="none" w:pos="1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88" w:right="159" w:firstLine="1"/>
        <w:spacing w:after="0" w:line="286" w:lineRule="auto"/>
        <w:tabs>
          <w:tab w:leader="none" w:pos="575"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388" w:right="159" w:firstLine="1"/>
        <w:spacing w:after="0" w:line="286" w:lineRule="auto"/>
        <w:tabs>
          <w:tab w:leader="none" w:pos="586"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88" w:right="159" w:firstLine="1"/>
        <w:spacing w:after="0" w:line="264" w:lineRule="auto"/>
        <w:tabs>
          <w:tab w:leader="none" w:pos="58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8" w:right="159" w:firstLine="1"/>
        <w:spacing w:after="0" w:line="264" w:lineRule="auto"/>
        <w:tabs>
          <w:tab w:leader="none" w:pos="6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179" w:hanging="8"/>
        <w:spacing w:after="0" w:line="277"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rFonts w:ascii="Arial" w:cs="Arial" w:eastAsia="Arial" w:hAnsi="Arial"/>
          <w:sz w:val="18"/>
          <w:szCs w:val="18"/>
          <w:color w:val="auto"/>
        </w:rPr>
      </w:pPr>
    </w:p>
    <w:p>
      <w:pPr>
        <w:jc w:val="both"/>
        <w:ind w:left="388" w:right="179" w:firstLine="1"/>
        <w:spacing w:after="0" w:line="264" w:lineRule="auto"/>
        <w:tabs>
          <w:tab w:leader="none" w:pos="5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8" w:right="179" w:firstLine="1"/>
        <w:spacing w:after="0" w:line="277" w:lineRule="auto"/>
        <w:tabs>
          <w:tab w:leader="none" w:pos="62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27616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Date: November 8, 2011</w:t>
      </w:r>
    </w:p>
    <w:p>
      <w:pPr>
        <w:sectPr>
          <w:pgSz w:w="11900" w:h="16838" w:orient="portrait"/>
          <w:cols w:equalWidth="0" w:num="1">
            <w:col w:w="9887"/>
          </w:cols>
          <w:pgMar w:left="572" w:top="121" w:right="1440" w:bottom="1440" w:gutter="0" w:footer="0" w:header="0"/>
        </w:sectPr>
      </w:pPr>
    </w:p>
    <w:bookmarkStart w:id="69" w:name="page70"/>
    <w:bookmarkEnd w:id="69"/>
    <w:p>
      <w:pPr>
        <w:ind w:left="44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In connection with the Quarterly Report of United Community Banks, Inc. (“United”) on Form 10-Q for the period ending September 30, 2011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31" w:lineRule="exact"/>
        <w:rPr>
          <w:sz w:val="20"/>
          <w:szCs w:val="20"/>
          <w:color w:val="auto"/>
        </w:rPr>
      </w:pPr>
    </w:p>
    <w:p>
      <w:pPr>
        <w:ind w:left="740" w:hanging="370"/>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27616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27616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Date: November 8, 2011</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2"/>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2019-12-10T10:11:18Z</dcterms:created>
  <dcterms:modified xsi:type="dcterms:W3CDTF">2019-12-10T10:11:18Z</dcterms:modified>
</cp:coreProperties>
</file>