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FORM 10-Q</w:t>
      </w:r>
    </w:p>
    <w:tbl>
      <w:tblPr>
        <w:tblW w:w="664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176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QUARTERLY REPORT PURSUANT TO SECTION 13 OR 15(d)</w:t>
              <w:br/>
              <w:t>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664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176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TRANSITION REPORT PURSUANT TO SECTION 13 OR 15(d)</w:t>
              <w:br/>
              <w:t>OF THE SECURITIES EXCHANGE ACT OF 1934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Transition Period from ___________ to ___________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jc w:val="center"/>
        <w:rPr>
          <w:rFonts w:ascii="Times New Roman;serif" w:hAnsi="Times New Roman;serif"/>
          <w:b/>
          <w:color w:val="000000"/>
          <w:sz w:val="18"/>
        </w:rPr>
      </w:pPr>
      <w:r>
        <w:rPr>
          <w:rFonts w:ascii="Times New Roman;serif" w:hAnsi="Times New Roman;serif"/>
          <w:b/>
          <w:color w:val="000000"/>
          <w:sz w:val="18"/>
        </w:rPr>
        <w:t>Commission file number 001-35095</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COMMUNITY BANKS,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5156" w:type="dxa"/>
        <w:jc w:val="center"/>
        <w:tblInd w:w="0" w:type="dxa"/>
        <w:tblLayout w:type="fixed"/>
        <w:tblCellMar>
          <w:top w:w="28" w:type="dxa"/>
          <w:left w:w="28" w:type="dxa"/>
          <w:bottom w:w="28" w:type="dxa"/>
          <w:right w:w="28" w:type="dxa"/>
        </w:tblCellMar>
      </w:tblPr>
      <w:tblGrid>
        <w:gridCol w:w="693"/>
        <w:gridCol w:w="608"/>
        <w:gridCol w:w="618"/>
        <w:gridCol w:w="109"/>
        <w:gridCol w:w="109"/>
        <w:gridCol w:w="109"/>
        <w:gridCol w:w="849"/>
        <w:gridCol w:w="849"/>
        <w:gridCol w:w="1212"/>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58-1807304</w:t>
            </w:r>
          </w:p>
        </w:tc>
      </w:tr>
      <w:tr>
        <w:trPr/>
        <w:tc>
          <w:tcPr>
            <w:tcW w:w="1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bl>
    <w:tbl>
      <w:tblPr>
        <w:tblW w:w="4330" w:type="dxa"/>
        <w:jc w:val="center"/>
        <w:tblInd w:w="0" w:type="dxa"/>
        <w:tblLayout w:type="fixed"/>
        <w:tblCellMar>
          <w:top w:w="28" w:type="dxa"/>
          <w:left w:w="28" w:type="dxa"/>
          <w:bottom w:w="28" w:type="dxa"/>
          <w:right w:w="28" w:type="dxa"/>
        </w:tblCellMar>
      </w:tblPr>
      <w:tblGrid>
        <w:gridCol w:w="1115"/>
        <w:gridCol w:w="977"/>
        <w:gridCol w:w="982"/>
        <w:gridCol w:w="109"/>
        <w:gridCol w:w="109"/>
        <w:gridCol w:w="109"/>
        <w:gridCol w:w="272"/>
        <w:gridCol w:w="272"/>
        <w:gridCol w:w="385"/>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200 East Camperdown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Greenville, South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29601</w:t>
            </w:r>
          </w:p>
        </w:tc>
      </w:tr>
      <w:tr>
        <w:trPr/>
        <w:tc>
          <w:tcPr>
            <w:tcW w:w="3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(800) 822-2651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bl>
      <w:tblPr>
        <w:tblW w:w="7844" w:type="dxa"/>
        <w:jc w:val="center"/>
        <w:tblInd w:w="0" w:type="dxa"/>
        <w:tblLayout w:type="fixed"/>
        <w:tblCellMar>
          <w:top w:w="28" w:type="dxa"/>
          <w:left w:w="28" w:type="dxa"/>
          <w:bottom w:w="28" w:type="dxa"/>
          <w:right w:w="28" w:type="dxa"/>
        </w:tblCellMar>
      </w:tblPr>
      <w:tblGrid>
        <w:gridCol w:w="1061"/>
        <w:gridCol w:w="932"/>
        <w:gridCol w:w="932"/>
        <w:gridCol w:w="485"/>
        <w:gridCol w:w="485"/>
        <w:gridCol w:w="485"/>
        <w:gridCol w:w="1015"/>
        <w:gridCol w:w="1015"/>
        <w:gridCol w:w="1434"/>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78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$1 per share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UCB</w:t>
            </w:r>
          </w:p>
        </w:tc>
        <w:tc>
          <w:tcPr>
            <w:tcW w:w="3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center"/>
        <w:rPr/>
      </w:pPr>
      <w:r>
        <w:rPr>
          <w:rFonts w:ascii="Times New Roman;serif" w:hAnsi="Times New Roman;serif"/>
          <w:b/>
          <w:color w:val="000000"/>
          <w:sz w:val="18"/>
        </w:rPr>
        <w:t xml:space="preserve">Yes </w:t>
      </w:r>
      <w:r>
        <w:rPr>
          <w:color w:val="000000"/>
        </w:rPr>
        <w:t xml:space="preserve">☒ </w:t>
      </w:r>
      <w:r>
        <w:rPr>
          <w:rFonts w:ascii="Times New Roman;serif" w:hAnsi="Times New Roman;serif"/>
          <w:b/>
          <w:color w:val="000000"/>
          <w:sz w:val="18"/>
        </w:rPr>
        <w:t xml:space="preserve">No </w:t>
      </w:r>
      <w:r>
        <w:rPr>
          <w:color w:val="000000"/>
        </w:rPr>
        <w: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color w:val="000000"/>
          <w:sz w:val="18"/>
        </w:rPr>
        <w:t xml:space="preserve">Yes </w:t>
      </w:r>
      <w:r>
        <w:rPr>
          <w:color w:val="000000"/>
        </w:rPr>
        <w:t xml:space="preserve">☒ </w:t>
      </w:r>
      <w:r>
        <w:rPr>
          <w:rFonts w:ascii="Times New Roman;serif" w:hAnsi="Times New Roman;serif"/>
          <w:b/>
          <w:color w:val="000000"/>
          <w:sz w:val="18"/>
        </w:rPr>
        <w:t xml:space="preserve">No </w:t>
      </w:r>
      <w:r>
        <w:rPr>
          <w:color w:val="000000"/>
        </w:rPr>
        <w:t>☐</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31" w:type="dxa"/>
        <w:jc w:val="left"/>
        <w:tblInd w:w="0" w:type="dxa"/>
        <w:tblLayout w:type="fixed"/>
        <w:tblCellMar>
          <w:top w:w="28" w:type="dxa"/>
          <w:left w:w="28" w:type="dxa"/>
          <w:bottom w:w="28" w:type="dxa"/>
          <w:right w:w="28" w:type="dxa"/>
        </w:tblCellMar>
      </w:tblPr>
      <w:tblGrid>
        <w:gridCol w:w="652"/>
        <w:gridCol w:w="573"/>
        <w:gridCol w:w="575"/>
        <w:gridCol w:w="109"/>
        <w:gridCol w:w="109"/>
        <w:gridCol w:w="109"/>
        <w:gridCol w:w="109"/>
        <w:gridCol w:w="109"/>
        <w:gridCol w:w="109"/>
        <w:gridCol w:w="734"/>
        <w:gridCol w:w="734"/>
        <w:gridCol w:w="737"/>
        <w:gridCol w:w="109"/>
        <w:gridCol w:w="109"/>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Indicate by check mark whether the registrant is a shell company (as defined in Rule 12b-2 of the Exchange Act).</w:t>
      </w:r>
    </w:p>
    <w:p>
      <w:pPr>
        <w:pStyle w:val="TextBody"/>
        <w:bidi w:val="0"/>
        <w:spacing w:lineRule="auto" w:line="288" w:before="0" w:after="0"/>
        <w:jc w:val="center"/>
        <w:rPr/>
      </w:pPr>
      <w:r>
        <w:rPr>
          <w:rFonts w:ascii="Times New Roman;serif" w:hAnsi="Times New Roman;serif"/>
          <w:b/>
          <w:color w:val="000000"/>
          <w:sz w:val="18"/>
        </w:rPr>
        <w:t xml:space="preserve">Yes </w:t>
      </w:r>
      <w:r>
        <w:rPr>
          <w:color w:val="000000"/>
        </w:rPr>
        <w:t xml:space="preserve">☐ </w:t>
      </w:r>
      <w:r>
        <w:rPr>
          <w:rFonts w:ascii="Times New Roman;serif" w:hAnsi="Times New Roman;serif"/>
          <w:b/>
          <w:color w:val="000000"/>
          <w:sz w:val="18"/>
        </w:rPr>
        <w:t xml:space="preserve">No </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There were 120,575,503 shares of the registrant’s common stock, par value $1 per share, outstanding as of August 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097" w:type="dxa"/>
        <w:jc w:val="left"/>
        <w:tblInd w:w="0" w:type="dxa"/>
        <w:tblLayout w:type="fixed"/>
        <w:tblCellMar>
          <w:top w:w="28" w:type="dxa"/>
          <w:left w:w="28" w:type="dxa"/>
          <w:bottom w:w="28" w:type="dxa"/>
          <w:right w:w="28" w:type="dxa"/>
        </w:tblCellMar>
      </w:tblPr>
      <w:tblGrid>
        <w:gridCol w:w="124"/>
        <w:gridCol w:w="109"/>
        <w:gridCol w:w="109"/>
        <w:gridCol w:w="274"/>
        <w:gridCol w:w="274"/>
        <w:gridCol w:w="276"/>
        <w:gridCol w:w="2517"/>
        <w:gridCol w:w="2517"/>
        <w:gridCol w:w="25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0">
              <w:r>
                <w:rPr>
                  <w:rStyle w:val="InternetLink"/>
                  <w:rFonts w:ascii="Times New Roman;serif" w:hAnsi="Times New Roman;serif"/>
                  <w:b/>
                  <w:color w:val="0000FF"/>
                  <w:sz w:val="20"/>
                  <w:u w:val="single"/>
                </w:rPr>
                <w:t>Glossary of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0">
              <w:r>
                <w:rPr>
                  <w:rStyle w:val="InternetLink"/>
                  <w:rFonts w:ascii="Times New Roman;serif" w:hAnsi="Times New Roman;serif"/>
                  <w:b w:val="false"/>
                  <w:color w:val="0000FF"/>
                  <w:sz w:val="20"/>
                  <w:u w:val="single"/>
                </w:rPr>
                <w:t>3</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3">
              <w:r>
                <w:rPr>
                  <w:rStyle w:val="InternetLink"/>
                  <w:rFonts w:ascii="Times New Roman;serif" w:hAnsi="Times New Roman;serif"/>
                  <w:b/>
                  <w:color w:val="0000FF"/>
                  <w:sz w:val="20"/>
                  <w:u w:val="single"/>
                </w:rPr>
                <w:t>Cautionary Note Regarding 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3">
              <w:r>
                <w:rPr>
                  <w:rStyle w:val="InternetLink"/>
                  <w:rFonts w:ascii="Times New Roman;serif" w:hAnsi="Times New Roman;serif"/>
                  <w:b w:val="false"/>
                  <w:color w:val="0000FF"/>
                  <w:sz w:val="20"/>
                  <w:u w:val="single"/>
                </w:rPr>
                <w:t>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7"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038cde0dce64ea9ae98d2f3afe2d37d_16">
              <w:r>
                <w:rPr>
                  <w:rStyle w:val="InternetLink"/>
                  <w:rFonts w:ascii="Times New Roman;serif" w:hAnsi="Times New Roman;serif"/>
                  <w:b/>
                  <w:color w:val="0000FF"/>
                  <w:sz w:val="20"/>
                  <w:u w:val="single"/>
                </w:rPr>
                <w:t>PART I - Financial Information</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9">
              <w:r>
                <w:rPr>
                  <w:rStyle w:val="InternetLink"/>
                  <w:rFonts w:ascii="Times New Roman;serif" w:hAnsi="Times New Roman;serif"/>
                  <w:b/>
                  <w:color w:val="0000FF"/>
                  <w:sz w:val="20"/>
                  <w:u w:val="single"/>
                </w:rPr>
                <w:t>Consolidated Balance Sheets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9">
              <w:r>
                <w:rPr>
                  <w:rStyle w:val="InternetLink"/>
                  <w:rFonts w:ascii="Times New Roman;serif" w:hAnsi="Times New Roman;serif"/>
                  <w:b w:val="false"/>
                  <w:color w:val="0000FF"/>
                  <w:sz w:val="20"/>
                  <w:u w:val="single"/>
                </w:rPr>
                <w:t>5</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22">
              <w:r>
                <w:rPr>
                  <w:rStyle w:val="InternetLink"/>
                  <w:rFonts w:ascii="Times New Roman;serif" w:hAnsi="Times New Roman;serif"/>
                  <w:b/>
                  <w:color w:val="0000FF"/>
                  <w:sz w:val="20"/>
                  <w:u w:val="single"/>
                </w:rPr>
                <w:t>Consolidated Statements of Income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22">
              <w:r>
                <w:rPr>
                  <w:rStyle w:val="InternetLink"/>
                  <w:rFonts w:ascii="Times New Roman;serif" w:hAnsi="Times New Roman;serif"/>
                  <w:b w:val="false"/>
                  <w:color w:val="0000FF"/>
                  <w:sz w:val="20"/>
                  <w:u w:val="single"/>
                </w:rPr>
                <w:t>6</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25">
              <w:r>
                <w:rPr>
                  <w:rStyle w:val="InternetLink"/>
                  <w:rFonts w:ascii="Times New Roman;serif" w:hAnsi="Times New Roman;serif"/>
                  <w:b/>
                  <w:color w:val="0000FF"/>
                  <w:sz w:val="20"/>
                  <w:u w:val="single"/>
                </w:rPr>
                <w:t>Consolidated Statements of Comprehensive Income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25">
              <w:r>
                <w:rPr>
                  <w:rStyle w:val="InternetLink"/>
                  <w:rFonts w:ascii="Times New Roman;serif" w:hAnsi="Times New Roman;serif"/>
                  <w:b w:val="false"/>
                  <w:color w:val="0000FF"/>
                  <w:sz w:val="20"/>
                  <w:u w:val="single"/>
                </w:rPr>
                <w:t>7</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259">
              <w:r>
                <w:rPr>
                  <w:rStyle w:val="InternetLink"/>
                  <w:rFonts w:ascii="Times New Roman;serif" w:hAnsi="Times New Roman;serif"/>
                  <w:b/>
                  <w:color w:val="0000FF"/>
                  <w:sz w:val="20"/>
                  <w:u w:val="single"/>
                </w:rPr>
                <w:t>Consolidated Statements of Changes in Shareholders’ Equity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259">
              <w:r>
                <w:rPr>
                  <w:rStyle w:val="InternetLink"/>
                  <w:rFonts w:ascii="Times New Roman;serif" w:hAnsi="Times New Roman;serif"/>
                  <w:b w:val="false"/>
                  <w:color w:val="0000FF"/>
                  <w:sz w:val="20"/>
                  <w:u w:val="single"/>
                </w:rPr>
                <w:t>8</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31">
              <w:r>
                <w:rPr>
                  <w:rStyle w:val="InternetLink"/>
                  <w:rFonts w:ascii="Times New Roman;serif" w:hAnsi="Times New Roman;serif"/>
                  <w:b/>
                  <w:color w:val="0000FF"/>
                  <w:sz w:val="20"/>
                  <w:u w:val="single"/>
                </w:rPr>
                <w:t>Consolidated Statements of Cash Flows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31">
              <w:r>
                <w:rPr>
                  <w:rStyle w:val="InternetLink"/>
                  <w:rFonts w:ascii="Times New Roman;serif" w:hAnsi="Times New Roman;serif"/>
                  <w:b w:val="false"/>
                  <w:color w:val="0000FF"/>
                  <w:sz w:val="20"/>
                  <w:u w:val="single"/>
                </w:rPr>
                <w:t>9</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34">
              <w:r>
                <w:rPr>
                  <w:rStyle w:val="InternetLink"/>
                  <w:rFonts w:ascii="Times New Roman;serif" w:hAnsi="Times New Roman;serif"/>
                  <w:b/>
                  <w:color w:val="0000FF"/>
                  <w:sz w:val="20"/>
                  <w:u w:val="single"/>
                </w:rPr>
                <w:t>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34">
              <w:r>
                <w:rPr>
                  <w:rStyle w:val="InternetLink"/>
                  <w:rFonts w:ascii="Times New Roman;serif" w:hAnsi="Times New Roman;serif"/>
                  <w:b w:val="false"/>
                  <w:color w:val="0000FF"/>
                  <w:sz w:val="20"/>
                  <w:u w:val="single"/>
                </w:rPr>
                <w:t>10</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91">
              <w:r>
                <w:rPr>
                  <w:rStyle w:val="InternetLink"/>
                  <w:rFonts w:ascii="Times New Roman;serif" w:hAnsi="Times New Roman;serif"/>
                  <w:b/>
                  <w:color w:val="0000FF"/>
                  <w:sz w:val="20"/>
                  <w:u w:val="single"/>
                </w:rPr>
                <w:t>Item 2.</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91">
              <w:r>
                <w:rPr>
                  <w:rStyle w:val="InternetLink"/>
                  <w:rFonts w:ascii="Times New Roman;serif" w:hAnsi="Times New Roman;serif"/>
                  <w:b/>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91">
              <w:r>
                <w:rPr>
                  <w:rStyle w:val="InternetLink"/>
                  <w:rFonts w:ascii="Times New Roman;serif" w:hAnsi="Times New Roman;serif"/>
                  <w:b w:val="false"/>
                  <w:color w:val="0000FF"/>
                  <w:sz w:val="20"/>
                  <w:u w:val="single"/>
                </w:rPr>
                <w:t>32</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75">
              <w:r>
                <w:rPr>
                  <w:rStyle w:val="InternetLink"/>
                  <w:rFonts w:ascii="Times New Roman;serif" w:hAnsi="Times New Roman;serif"/>
                  <w:b/>
                  <w:color w:val="0000FF"/>
                  <w:sz w:val="20"/>
                  <w:u w:val="single"/>
                </w:rPr>
                <w:t>Item 3.</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75">
              <w:r>
                <w:rPr>
                  <w:rStyle w:val="InternetLink"/>
                  <w:rFonts w:ascii="Times New Roman;serif" w:hAnsi="Times New Roman;serif"/>
                  <w:b/>
                  <w:color w:val="0000FF"/>
                  <w:sz w:val="20"/>
                  <w:u w:val="single"/>
                </w:rPr>
                <w:t>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75">
              <w:r>
                <w:rPr>
                  <w:rStyle w:val="InternetLink"/>
                  <w:rFonts w:ascii="Times New Roman;serif" w:hAnsi="Times New Roman;serif"/>
                  <w:b w:val="false"/>
                  <w:color w:val="0000FF"/>
                  <w:sz w:val="20"/>
                  <w:u w:val="single"/>
                </w:rPr>
                <w:t>51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78">
              <w:r>
                <w:rPr>
                  <w:rStyle w:val="InternetLink"/>
                  <w:rFonts w:ascii="Times New Roman;serif" w:hAnsi="Times New Roman;serif"/>
                  <w:b/>
                  <w:color w:val="0000FF"/>
                  <w:sz w:val="20"/>
                  <w:u w:val="single"/>
                </w:rPr>
                <w:t>Item 4.</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78">
              <w:r>
                <w:rPr>
                  <w:rStyle w:val="InternetLink"/>
                  <w:rFonts w:ascii="Times New Roman;serif" w:hAnsi="Times New Roman;serif"/>
                  <w:b/>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78">
              <w:r>
                <w:rPr>
                  <w:rStyle w:val="InternetLink"/>
                  <w:rFonts w:ascii="Times New Roman;serif" w:hAnsi="Times New Roman;serif"/>
                  <w:b w:val="false"/>
                  <w:color w:val="0000FF"/>
                  <w:sz w:val="20"/>
                  <w:u w:val="single"/>
                </w:rPr>
                <w:t>51</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7"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038cde0dce64ea9ae98d2f3afe2d37d_181">
              <w:r>
                <w:rPr>
                  <w:rStyle w:val="InternetLink"/>
                  <w:rFonts w:ascii="Times New Roman;serif" w:hAnsi="Times New Roman;serif"/>
                  <w:b/>
                  <w:color w:val="0000FF"/>
                  <w:sz w:val="20"/>
                  <w:u w:val="single"/>
                </w:rPr>
                <w:t>PART II - Other Information</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84">
              <w:r>
                <w:rPr>
                  <w:rStyle w:val="InternetLink"/>
                  <w:rFonts w:ascii="Times New Roman;serif" w:hAnsi="Times New Roman;serif"/>
                  <w:b/>
                  <w:color w:val="0000FF"/>
                  <w:sz w:val="20"/>
                  <w:u w:val="single"/>
                </w:rPr>
                <w:t>Item 1A.</w:t>
              </w:r>
            </w:hyperlink>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84">
              <w:r>
                <w:rPr>
                  <w:rStyle w:val="InternetLink"/>
                  <w:rFonts w:ascii="Times New Roman;serif" w:hAnsi="Times New Roman;serif"/>
                  <w:b/>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84">
              <w:r>
                <w:rPr>
                  <w:rStyle w:val="InternetLink"/>
                  <w:rFonts w:ascii="Times New Roman;serif" w:hAnsi="Times New Roman;serif"/>
                  <w:b w:val="false"/>
                  <w:color w:val="0000FF"/>
                  <w:sz w:val="20"/>
                  <w:u w:val="single"/>
                </w:rPr>
                <w:t>52</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90">
              <w:r>
                <w:rPr>
                  <w:rStyle w:val="InternetLink"/>
                  <w:rFonts w:ascii="Times New Roman;serif" w:hAnsi="Times New Roman;serif"/>
                  <w:b/>
                  <w:color w:val="0000FF"/>
                  <w:sz w:val="20"/>
                  <w:u w:val="single"/>
                </w:rPr>
                <w:t>Item 5.</w:t>
              </w:r>
            </w:hyperlink>
          </w:p>
        </w:tc>
        <w:tc>
          <w:tcPr>
            <w:tcW w:w="7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190">
              <w:r>
                <w:rPr>
                  <w:rStyle w:val="InternetLink"/>
                  <w:rFonts w:ascii="Times New Roman;serif" w:hAnsi="Times New Roman;serif"/>
                  <w:b/>
                  <w:color w:val="0000FF"/>
                  <w:sz w:val="20"/>
                  <w:u w:val="single"/>
                </w:rPr>
                <w:t>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190">
              <w:r>
                <w:rPr>
                  <w:rStyle w:val="InternetLink"/>
                  <w:rFonts w:ascii="Times New Roman;serif" w:hAnsi="Times New Roman;serif"/>
                  <w:b w:val="false"/>
                  <w:color w:val="0000FF"/>
                  <w:sz w:val="20"/>
                  <w:u w:val="single"/>
                </w:rPr>
                <w:t>52</w:t>
              </w:r>
            </w:hyperlink>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755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205">
              <w:r>
                <w:rPr>
                  <w:rStyle w:val="InternetLink"/>
                  <w:rFonts w:ascii="Times New Roman;serif" w:hAnsi="Times New Roman;serif"/>
                  <w:b/>
                  <w:color w:val="0000FF"/>
                  <w:sz w:val="20"/>
                  <w:u w:val="single"/>
                </w:rPr>
                <w:t>Item 6.</w:t>
              </w:r>
            </w:hyperlink>
          </w:p>
        </w:tc>
        <w:tc>
          <w:tcPr>
            <w:tcW w:w="7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038cde0dce64ea9ae98d2f3afe2d37d_205">
              <w:r>
                <w:rPr>
                  <w:rStyle w:val="InternetLink"/>
                  <w:rFonts w:ascii="Times New Roman;serif" w:hAnsi="Times New Roman;serif"/>
                  <w:b/>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038cde0dce64ea9ae98d2f3afe2d37d_205">
              <w:r>
                <w:rPr>
                  <w:rStyle w:val="InternetLink"/>
                  <w:rFonts w:ascii="Times New Roman;serif" w:hAnsi="Times New Roman;serif"/>
                  <w:b w:val="false"/>
                  <w:color w:val="0000FF"/>
                  <w:sz w:val="20"/>
                  <w:u w:val="single"/>
                </w:rPr>
                <w:t>53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Glossary of Defined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terms may be used throughout this report, including the consolidated financial statements and related notes.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50"/>
        <w:gridCol w:w="483"/>
        <w:gridCol w:w="476"/>
        <w:gridCol w:w="109"/>
        <w:gridCol w:w="109"/>
        <w:gridCol w:w="109"/>
        <w:gridCol w:w="2572"/>
        <w:gridCol w:w="2396"/>
        <w:gridCol w:w="3401"/>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Definition</w:t>
            </w:r>
          </w:p>
        </w:tc>
      </w:tr>
      <w:tr>
        <w:trPr/>
        <w:tc>
          <w:tcPr>
            <w:tcW w:w="1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2025 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United’s Annual Report on Form 10-K for the year ended December 31, 2025 filed with the SEC on February 17, 2026</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Asset/Liability Management Committee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ANB Holdings, Inc. and its wholly-owned subsidiary, American National Bank</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Community Bank</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Community Banks, Inc., Board of Directors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BOLI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expected credit losses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Chicago Mercantile Exchange</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Community Banks, Inc. (interchangeable with "United" below)</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DTL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Modification made to borrowers experiencing financial difficulty</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 Reserve Bank</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taxable equivalent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enterprise</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Community Banks, Inc. on an unconsolidated basis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HTM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MD&amp;A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Navitas Credit Corp. and NLFC Reinsurance Corp.</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Negotiable order of withdrawal</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asset</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Peach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Peach State Bancshares, Inc. and its wholly owned-subsidiary, Peach State Bank &amp; Trust</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Quarterly Report on Form 10-Q for the quarterly period ending June 30, 2026</w:t>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Small Business Administration</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r>
        <w:trPr/>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Community Banks, Inc. and its direct and indirect subsidiaries</w:t>
            </w:r>
          </w:p>
        </w:tc>
      </w:tr>
      <w:tr>
        <w:trPr/>
        <w:tc>
          <w:tcPr>
            <w:tcW w:w="1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Department of Agriculture</w:t>
            </w:r>
          </w:p>
        </w:tc>
      </w:tr>
      <w:tr>
        <w:trPr/>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(including those with respect to the effects of the Peach State acquisition and the expected sale of our equipment financing subsidiary, Navitas) or events, and statements about our future performance, operations, products and services, and should be viewed with caution.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pStyle w:val="TextBody"/>
        <w:bidi w:val="0"/>
        <w:spacing w:before="0" w:after="0"/>
        <w:jc w:val="both"/>
        <w:rPr/>
      </w:pPr>
      <w:r>
        <w:rPr/>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changes in loan underwriting, credit review or loss policies associated with economic conditions, examination conclusions or regulatory developments;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potential effects of pandemics or public health conditions on the economic and business environments in which we operate, including the impact of actions taken by governmental authorities to address these conditions;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strategic, market, operational, liquidity and interest rate risks associated with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any unanticipated or greater than anticipated adverse conditions in the national or local economies in which we operate;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our loan concentration in industries or sectors that may experience unanticipated or greater than anticipated adverse conditions than other industries or sectors in the national or local economies in which we operate;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risks of expansion into new geographic or product markets;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risks with respect to our ability to identify and complete future mergers or acquisitions as well as our ability to successfully expand and integrate those businesses and operations that we acquire;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outcome of any legal or regulatory proceedings or governmental inquiries or investigations that may be currently pending or later instituted against United or Peach State that relate to the proposed Peach State merger;</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risk that the cost savings, any revenue synergies and expected market effects from the Peach State merger may not be realized or take longer than anticipated to be realized or that the costs, fees, expenses and charges related to the merger may be greater than anticipated;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disruption from the Peach State merger of customer, supplier, employee or other business partner relationships of United or Peach State;</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our ability to attract and retain key employees;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our ability to successfully complete the sale of Navitas;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our ability to successfully redeploy the capital and liquidity resulting from the sale of Navitas;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competition from financial institutions and other financial service providers including non-bank financial technology providers and our ability to attract customers from other financial institutions;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losses due to fraudulent and negligent conduct of our customers, third-party service providers or employees;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our reliance on third parties to provide key components of our business infrastructure and services required to operate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risk that we may be required to make substantial expenditures to keep pace with regulatory initiatives and the rapid technological changes in the financial services market; including those accelerated by the use of artificial intelligence and machine learning;</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the availability of and access to capital, particularly if there were to be increased capital requirements or enhanced regulatory supervision;</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legislative, regulatory or accounting changes that may adversely affect us;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volatility in the ACL resulting from the CECL methodology, either alone or as that may be affected by conditions affecting our business;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government shutdowns, the effect of which could delay legislative activities or regulatory approval processes that could be harmful to our customers, business activities and strategic initiatives;</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any matter that would cause us to conclude that there was impairment of any asset, including intangible assets, such as goodwill;</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limitations on our ability to declare and pay dividends and other distributions from the Bank to the Holding Company, which could affect Holding Company liquidity, including its ability to pay dividends to shareholders or take other capital actions;</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pStyle w:val="TextBody"/>
        <w:bidi w:val="0"/>
        <w:spacing w:lineRule="auto" w:line="288" w:before="0" w:after="80"/>
        <w:ind w:left="0" w:right="0" w:hanging="360"/>
        <w:jc w:val="both"/>
        <w:rPr/>
      </w:pPr>
      <w:r>
        <w:rPr>
          <w:color w:val="000000"/>
        </w:rPr>
        <w:t>•</w:t>
      </w:r>
      <w:r>
        <w:rPr>
          <w:rFonts w:ascii="Times New Roman;serif" w:hAnsi="Times New Roman;serif"/>
          <w:b w:val="false"/>
          <w:color w:val="000000"/>
          <w:sz w:val="20"/>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Item 1A, Risk Factors of our 2025 10-K and in Part II, Item 1A, “Risk Factors” of this Report.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jc w:val="left"/>
        <w:rPr/>
      </w:pPr>
      <w:r>
        <w:rPr/>
      </w:r>
    </w:p>
    <w:tbl>
      <w:tblPr>
        <w:tblW w:w="3630" w:type="dxa"/>
        <w:jc w:val="left"/>
        <w:tblInd w:w="0" w:type="dxa"/>
        <w:tblLayout w:type="fixed"/>
        <w:tblCellMar>
          <w:top w:w="28" w:type="dxa"/>
          <w:left w:w="28" w:type="dxa"/>
          <w:bottom w:w="28" w:type="dxa"/>
          <w:right w:w="28" w:type="dxa"/>
        </w:tblCellMar>
      </w:tblPr>
      <w:tblGrid>
        <w:gridCol w:w="1161"/>
        <w:gridCol w:w="1020"/>
        <w:gridCol w:w="1449"/>
      </w:tblGrid>
      <w:tr>
        <w:trPr/>
        <w:tc>
          <w:tcPr>
            <w:tcW w:w="116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Consolidated Balance Sheets</w:t>
            </w:r>
            <w:r>
              <w:rPr>
                <w:color w:val="000000"/>
              </w:rPr>
              <w:t xml:space="preserve"> </w:t>
            </w:r>
            <w:r>
              <w:rPr>
                <w:rFonts w:ascii="Times New Roman;serif" w:hAnsi="Times New Roman;serif"/>
                <w:b w:val="false"/>
                <w:i/>
                <w:color w:val="000000"/>
                <w:sz w:val="20"/>
              </w:rPr>
              <w:t>(Unaudited)</w:t>
            </w:r>
          </w:p>
        </w:tc>
      </w:tr>
      <w:tr>
        <w:trPr/>
        <w:tc>
          <w:tcPr>
            <w:tcW w:w="3630" w:type="dxa"/>
            <w:gridSpan w:val="3"/>
            <w:tcBorders/>
            <w:vAlign w:val="center"/>
          </w:tcPr>
          <w:p>
            <w:pPr>
              <w:pStyle w:val="TableContents"/>
              <w:bidi w:val="0"/>
              <w:spacing w:before="0" w:after="283"/>
              <w:jc w:val="left"/>
              <w:rPr>
                <w:sz w:val="4"/>
                <w:szCs w:val="4"/>
              </w:rPr>
            </w:pPr>
            <w:r>
              <w:rPr>
                <w:sz w:val="4"/>
                <w:szCs w:val="4"/>
              </w:rPr>
            </w:r>
          </w:p>
        </w:tc>
      </w:tr>
    </w:tbl>
    <w:tbl>
      <w:tblPr>
        <w:tblW w:w="10131" w:type="dxa"/>
        <w:jc w:val="left"/>
        <w:tblInd w:w="0" w:type="dxa"/>
        <w:tblLayout w:type="fixed"/>
        <w:tblCellMar>
          <w:top w:w="28" w:type="dxa"/>
          <w:left w:w="28" w:type="dxa"/>
          <w:bottom w:w="28" w:type="dxa"/>
          <w:right w:w="28" w:type="dxa"/>
        </w:tblCellMar>
      </w:tblPr>
      <w:tblGrid>
        <w:gridCol w:w="2495"/>
        <w:gridCol w:w="2198"/>
        <w:gridCol w:w="2207"/>
        <w:gridCol w:w="109"/>
        <w:gridCol w:w="109"/>
        <w:gridCol w:w="109"/>
        <w:gridCol w:w="196"/>
        <w:gridCol w:w="961"/>
        <w:gridCol w:w="109"/>
        <w:gridCol w:w="109"/>
        <w:gridCol w:w="109"/>
        <w:gridCol w:w="109"/>
        <w:gridCol w:w="196"/>
        <w:gridCol w:w="961"/>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r>
      <w:tr>
        <w:trPr/>
        <w:tc>
          <w:tcPr>
            <w:tcW w:w="6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 in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securities held-to-maturity (fair value $1,848,900 and $1,918,426,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receivables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19,384,317 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allowance for credit losses -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17,855,425 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19,173,888 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(including $100,421 and $107,583 at fair value,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29,051,142 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28,002,554 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17,546,178 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23,724,209 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23,798,430 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expense and other liabilities (including $68,210 and $69,482 at fair value,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25,306,138 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24,363,868 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$1 par value: 200,000,000 shares authorized,</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119,763,827 and 120,598,266 shares issued and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2,754,399 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3,638,686 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29,051,142 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28,002,554 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3825" w:type="dxa"/>
        <w:jc w:val="left"/>
        <w:tblInd w:w="0" w:type="dxa"/>
        <w:tblLayout w:type="fixed"/>
        <w:tblCellMar>
          <w:top w:w="28" w:type="dxa"/>
          <w:left w:w="28" w:type="dxa"/>
          <w:bottom w:w="28" w:type="dxa"/>
          <w:right w:w="28" w:type="dxa"/>
        </w:tblCellMar>
      </w:tblPr>
      <w:tblGrid>
        <w:gridCol w:w="1223"/>
        <w:gridCol w:w="1075"/>
        <w:gridCol w:w="1527"/>
      </w:tblGrid>
      <w:tr>
        <w:trPr/>
        <w:tc>
          <w:tcPr>
            <w:tcW w:w="122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Consolidated Statements of Income</w:t>
            </w:r>
            <w:r>
              <w:rPr>
                <w:color w:val="000000"/>
              </w:rPr>
              <w:t xml:space="preserve"> </w:t>
            </w:r>
            <w:r>
              <w:rPr>
                <w:rFonts w:ascii="Times New Roman;serif" w:hAnsi="Times New Roman;serif"/>
                <w:b w:val="false"/>
                <w:i/>
                <w:color w:val="000000"/>
                <w:sz w:val="18"/>
              </w:rPr>
              <w:t>(Unaudited)</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r>
    </w:tbl>
    <w:tbl>
      <w:tblPr>
        <w:tblW w:w="9185" w:type="dxa"/>
        <w:jc w:val="left"/>
        <w:tblInd w:w="0" w:type="dxa"/>
        <w:tblLayout w:type="fixed"/>
        <w:tblCellMar>
          <w:top w:w="28" w:type="dxa"/>
          <w:left w:w="28" w:type="dxa"/>
          <w:bottom w:w="28" w:type="dxa"/>
          <w:right w:w="28" w:type="dxa"/>
        </w:tblCellMar>
      </w:tblPr>
      <w:tblGrid>
        <w:gridCol w:w="124"/>
        <w:gridCol w:w="1144"/>
        <w:gridCol w:w="1144"/>
        <w:gridCol w:w="1147"/>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including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Tax-exempt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Federal Home Loan Bank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loan gains and other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from sales of 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Lending and loan servicing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(losses)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public relations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Postage, printing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Lending and loan servicing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Outside services - electronic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FDIC assessments and other regulatory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available to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5069" w:type="dxa"/>
        <w:jc w:val="left"/>
        <w:tblInd w:w="0" w:type="dxa"/>
        <w:tblLayout w:type="fixed"/>
        <w:tblCellMar>
          <w:top w:w="28" w:type="dxa"/>
          <w:left w:w="28" w:type="dxa"/>
          <w:bottom w:w="28" w:type="dxa"/>
          <w:right w:w="28" w:type="dxa"/>
        </w:tblCellMar>
      </w:tblPr>
      <w:tblGrid>
        <w:gridCol w:w="1621"/>
        <w:gridCol w:w="1425"/>
        <w:gridCol w:w="2023"/>
      </w:tblGrid>
      <w:tr>
        <w:trPr/>
        <w:tc>
          <w:tcPr>
            <w:tcW w:w="162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Consolidated Statements of Comprehensive Income</w:t>
            </w:r>
            <w:r>
              <w:rPr>
                <w:color w:val="000000"/>
              </w:rPr>
              <w:t xml:space="preserve"> </w:t>
            </w:r>
            <w:r>
              <w:rPr>
                <w:rFonts w:ascii="Times New Roman;serif" w:hAnsi="Times New Roman;serif"/>
                <w:b w:val="false"/>
                <w:i/>
                <w:color w:val="000000"/>
                <w:sz w:val="18"/>
              </w:rPr>
              <w:t>(Unaudited)</w:t>
            </w:r>
          </w:p>
        </w:tc>
      </w:tr>
    </w:tbl>
    <w:tbl>
      <w:tblPr>
        <w:tblW w:w="10205" w:type="dxa"/>
        <w:jc w:val="left"/>
        <w:tblInd w:w="0" w:type="dxa"/>
        <w:tblLayout w:type="fixed"/>
        <w:tblCellMar>
          <w:top w:w="28" w:type="dxa"/>
          <w:left w:w="28" w:type="dxa"/>
          <w:bottom w:w="28" w:type="dxa"/>
          <w:right w:w="28" w:type="dxa"/>
        </w:tblCellMar>
      </w:tblPr>
      <w:tblGrid>
        <w:gridCol w:w="837"/>
        <w:gridCol w:w="621"/>
        <w:gridCol w:w="626"/>
        <w:gridCol w:w="109"/>
        <w:gridCol w:w="109"/>
        <w:gridCol w:w="109"/>
        <w:gridCol w:w="196"/>
        <w:gridCol w:w="736"/>
        <w:gridCol w:w="109"/>
        <w:gridCol w:w="109"/>
        <w:gridCol w:w="109"/>
        <w:gridCol w:w="109"/>
        <w:gridCol w:w="196"/>
        <w:gridCol w:w="669"/>
        <w:gridCol w:w="109"/>
        <w:gridCol w:w="109"/>
        <w:gridCol w:w="109"/>
        <w:gridCol w:w="109"/>
        <w:gridCol w:w="196"/>
        <w:gridCol w:w="736"/>
        <w:gridCol w:w="109"/>
        <w:gridCol w:w="109"/>
        <w:gridCol w:w="109"/>
        <w:gridCol w:w="109"/>
        <w:gridCol w:w="196"/>
        <w:gridCol w:w="736"/>
        <w:gridCol w:w="109"/>
        <w:gridCol w:w="109"/>
        <w:gridCol w:w="109"/>
        <w:gridCol w:w="109"/>
        <w:gridCol w:w="196"/>
        <w:gridCol w:w="669"/>
        <w:gridCol w:w="109"/>
        <w:gridCol w:w="109"/>
        <w:gridCol w:w="109"/>
        <w:gridCol w:w="109"/>
        <w:gridCol w:w="196"/>
        <w:gridCol w:w="736"/>
        <w:gridCol w:w="156"/>
      </w:tblGrid>
      <w:tr>
        <w:trPr/>
        <w:tc>
          <w:tcPr>
            <w:tcW w:w="83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Before-tax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Tax</w:t>
            </w:r>
            <w:r>
              <w:rPr>
                <w:color w:val="000000"/>
              </w:rPr>
              <w:t xml:space="preserv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(Expense)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of Tax</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Before-tax</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of Tax</w:t>
              <w:br/>
              <w:t>Amount</w:t>
            </w:r>
          </w:p>
        </w:tc>
      </w:tr>
      <w:tr>
        <w:trPr/>
        <w:tc>
          <w:tcPr>
            <w:tcW w:w="20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gains (losses)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holding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Reclassification adjustment for losses (gains) included in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(losses)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losses on held-to-maturity securities reclassified from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holding gains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Gains on derivative instruments realized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flow hedge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(3,857)</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defined benefit pension plan net periodic pension cost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(2,156)</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117,248 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197,771 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gains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holding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Reclassification adjustment for gains included in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unrealized gains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35,496 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unrealized losses on held-to-maturity securities reclassified from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instruments designated as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Unrealized holding losses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Gains on derivative instruments realized in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flow hedge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defined benefit pension plan net periodic pension cost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35,749 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112,657 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238,271 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(52,376)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185,895 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5745" w:type="dxa"/>
        <w:jc w:val="center"/>
        <w:tblInd w:w="0" w:type="dxa"/>
        <w:tblLayout w:type="fixed"/>
        <w:tblCellMar>
          <w:top w:w="28" w:type="dxa"/>
          <w:left w:w="28" w:type="dxa"/>
          <w:bottom w:w="28" w:type="dxa"/>
          <w:right w:w="28" w:type="dxa"/>
        </w:tblCellMar>
      </w:tblPr>
      <w:tblGrid>
        <w:gridCol w:w="1838"/>
        <w:gridCol w:w="1614"/>
        <w:gridCol w:w="2293"/>
      </w:tblGrid>
      <w:tr>
        <w:trPr/>
        <w:tc>
          <w:tcPr>
            <w:tcW w:w="1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COMMUNITY BANKS, INC.</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Consolidated Statement of Changes in Shareholders’ Equity</w:t>
            </w:r>
            <w:r>
              <w:rPr>
                <w:color w:val="000000"/>
              </w:rPr>
              <w:t xml:space="preserve"> </w:t>
            </w:r>
            <w:r>
              <w:rPr>
                <w:rFonts w:ascii="Times New Roman;serif" w:hAnsi="Times New Roman;serif"/>
                <w:b w:val="false"/>
                <w:i/>
                <w:color w:val="000000"/>
                <w:sz w:val="18"/>
              </w:rPr>
              <w:t>(Unaudited)</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r>
    </w:tbl>
    <w:tbl>
      <w:tblPr>
        <w:tblW w:w="11221" w:type="dxa"/>
        <w:jc w:val="center"/>
        <w:tblInd w:w="0" w:type="dxa"/>
        <w:tblLayout w:type="fixed"/>
        <w:tblCellMar>
          <w:top w:w="28" w:type="dxa"/>
          <w:left w:w="28" w:type="dxa"/>
          <w:bottom w:w="28" w:type="dxa"/>
          <w:right w:w="28" w:type="dxa"/>
        </w:tblCellMar>
      </w:tblPr>
      <w:tblGrid>
        <w:gridCol w:w="615"/>
        <w:gridCol w:w="277"/>
        <w:gridCol w:w="279"/>
        <w:gridCol w:w="644"/>
        <w:gridCol w:w="407"/>
        <w:gridCol w:w="256"/>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196"/>
        <w:gridCol w:w="87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 </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119,514,298 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(186,559)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acquisitions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2,380,952 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dividends ($0.24 per share)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equity-based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other United sponsored equity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121,431,262 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(177,170)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3,612,924 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119,684,031 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3,654,666 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dividends ($0.25 per share)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equity-based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other United sponsored equity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119,763,827 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(152,728)</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3,745,004 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119,364,110 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3,432,127 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acquisitions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2,380,952 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(506,600)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dividends ($0.48 per share)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equity-based compensation awards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other United sponsored equity plans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121,431,262 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2,777,807 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(177,170)</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3,612,924 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120,598,266 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3,638,686 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stock</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(1,090,402)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dividends ($0.50 per share)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equity-based compensation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other United sponsored equity plans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119,763,827 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2,724,530 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1,053,438 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(152,728)</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3,745,004 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4155" w:type="dxa"/>
        <w:jc w:val="left"/>
        <w:tblInd w:w="0" w:type="dxa"/>
        <w:tblLayout w:type="fixed"/>
        <w:tblCellMar>
          <w:top w:w="28" w:type="dxa"/>
          <w:left w:w="28" w:type="dxa"/>
          <w:bottom w:w="28" w:type="dxa"/>
          <w:right w:w="28" w:type="dxa"/>
        </w:tblCellMar>
      </w:tblPr>
      <w:tblGrid>
        <w:gridCol w:w="1329"/>
        <w:gridCol w:w="1168"/>
        <w:gridCol w:w="1658"/>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Consolidated Statements of Cash Flows</w:t>
            </w:r>
            <w:r>
              <w:rPr>
                <w:color w:val="000000"/>
              </w:rPr>
              <w:t xml:space="preserve"> </w:t>
            </w:r>
            <w:r>
              <w:rPr>
                <w:rFonts w:ascii="Times New Roman;serif" w:hAnsi="Times New Roman;serif"/>
                <w:b w:val="false"/>
                <w:i/>
                <w:color w:val="000000"/>
                <w:sz w:val="18"/>
              </w:rPr>
              <w:t>(Unaudited)</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r>
    </w:tbl>
    <w:tbl>
      <w:tblPr>
        <w:tblW w:w="8584" w:type="dxa"/>
        <w:jc w:val="left"/>
        <w:tblInd w:w="0" w:type="dxa"/>
        <w:tblLayout w:type="fixed"/>
        <w:tblCellMar>
          <w:top w:w="28" w:type="dxa"/>
          <w:left w:w="28" w:type="dxa"/>
          <w:bottom w:w="28" w:type="dxa"/>
          <w:right w:w="28" w:type="dxa"/>
        </w:tblCellMar>
      </w:tblPr>
      <w:tblGrid>
        <w:gridCol w:w="2095"/>
        <w:gridCol w:w="1841"/>
        <w:gridCol w:w="1854"/>
        <w:gridCol w:w="109"/>
        <w:gridCol w:w="109"/>
        <w:gridCol w:w="109"/>
        <w:gridCol w:w="198"/>
        <w:gridCol w:w="747"/>
        <w:gridCol w:w="109"/>
        <w:gridCol w:w="109"/>
        <w:gridCol w:w="109"/>
        <w:gridCol w:w="109"/>
        <w:gridCol w:w="196"/>
        <w:gridCol w:w="736"/>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from sales of other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and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received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(942,572)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FHLB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FHLB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(243,522)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574,956 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2025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United established a trading securities portfolio as part of a hedging strategy to mitigate the volatility in the fair value of United’s mortgage servicing rights asset. The trading securities portfolio consists of U.S. Treasuries that are carried at fair value on the consolidated balance sheets. The securities are classified as Level 1 assets in the fair value hierarchy. Changes in the fair value of the securities are recognized in the consolidated statements of income in other noninterest income. Interest income on trading securities is included in securities interest revenue in the consolidated statements of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management’s opinion, all necessary accounting adjustments have been made to fairly present the financial position and results of operations in the accompanying financial statements.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2025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Supplemental Cash Flow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schedule of significant non-cash investing and financing activities for the six months ended June 30, 2026 and 2025 is as follows.</w:t>
      </w:r>
    </w:p>
    <w:tbl>
      <w:tblPr>
        <w:tblW w:w="7563" w:type="dxa"/>
        <w:jc w:val="left"/>
        <w:tblInd w:w="0" w:type="dxa"/>
        <w:tblLayout w:type="fixed"/>
        <w:tblCellMar>
          <w:top w:w="28" w:type="dxa"/>
          <w:left w:w="28" w:type="dxa"/>
          <w:bottom w:w="28" w:type="dxa"/>
          <w:right w:w="28" w:type="dxa"/>
        </w:tblCellMar>
      </w:tblPr>
      <w:tblGrid>
        <w:gridCol w:w="1748"/>
        <w:gridCol w:w="1534"/>
        <w:gridCol w:w="1547"/>
        <w:gridCol w:w="109"/>
        <w:gridCol w:w="109"/>
        <w:gridCol w:w="109"/>
        <w:gridCol w:w="197"/>
        <w:gridCol w:w="879"/>
        <w:gridCol w:w="110"/>
        <w:gridCol w:w="110"/>
        <w:gridCol w:w="110"/>
        <w:gridCol w:w="110"/>
        <w:gridCol w:w="239"/>
        <w:gridCol w:w="497"/>
        <w:gridCol w:w="155"/>
      </w:tblGrid>
      <w:tr>
        <w:trPr/>
        <w:tc>
          <w:tcPr>
            <w:tcW w:w="174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Significant non-cash investing and financing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equipment financing receivables to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to fund other 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Common stock issued for 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Acquisitions and Divestitures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Pending Sale of Navitas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11, 2026, United entered into a definitive stock purchase agreement to sell the Bank’s equipment finance subsidiary, Navitas Credit Corp. and the related reinsurance subsidiary, NLFC Reinsurance Corp., collectively referred to as Navitas. The agreement provides for United to receive cash consideration estimated at $1.99 billion.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Substantially all of the fair value of the assets to be sold is concentrated in a single asset type, equipment financing receivables. As a result, the sale will be accounted for as an asset sale. During the second quarter of 2026, United reclassified Navitas’ financing receivables to held for sale, where they are carried at the lower of cost or fair value at the aggregate pool level. The Navitas financing receivables are being sold at a premium, and therefore are carried at an amortized cost of $1.91 billion as of June 30, 2026. In addition, upon reclassification of the financing receivables to held for sale, the associated $38.5 million ACL for these loans and leases was released through the provision for credit losses. The remaining assets and liabilities subject to the sale are not material to the transaction.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Pro forma information - ANB</w:t>
      </w:r>
    </w:p>
    <w:p>
      <w:pPr>
        <w:pStyle w:val="TextBody"/>
        <w:bidi w:val="0"/>
        <w:spacing w:lineRule="auto" w:line="288" w:before="0" w:after="0"/>
        <w:jc w:val="left"/>
        <w:rPr>
          <w:color w:val="EE2724"/>
        </w:rPr>
      </w:pPr>
      <w:r>
        <w:rPr>
          <w:color w:val="EE2724"/>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2025, United acquired all of the outstanding common stock of ANB in a stock transaction. The following table discloses the impact of the ANB acquisition on the 2025 financial results since the acquisition date. The table also presents certain pro forma information as if ANB had been acquired on January 1, 2024.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an earlier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ANB merger-related costs incurred by United and ANB during the three and six months ended June 30, 2025, of $8.93 million and $9.13 million, respectively, have been excluded from the pro forma information from those periods presented below. The actual results and pro forma information were as follows:</w:t>
      </w:r>
    </w:p>
    <w:tbl>
      <w:tblPr>
        <w:tblW w:w="10205" w:type="dxa"/>
        <w:jc w:val="left"/>
        <w:tblInd w:w="0" w:type="dxa"/>
        <w:tblLayout w:type="fixed"/>
        <w:tblCellMar>
          <w:top w:w="28" w:type="dxa"/>
          <w:left w:w="28" w:type="dxa"/>
          <w:bottom w:w="28" w:type="dxa"/>
          <w:right w:w="28" w:type="dxa"/>
        </w:tblCellMar>
      </w:tblPr>
      <w:tblGrid>
        <w:gridCol w:w="1756"/>
        <w:gridCol w:w="1490"/>
        <w:gridCol w:w="1502"/>
        <w:gridCol w:w="109"/>
        <w:gridCol w:w="109"/>
        <w:gridCol w:w="109"/>
        <w:gridCol w:w="196"/>
        <w:gridCol w:w="736"/>
        <w:gridCol w:w="109"/>
        <w:gridCol w:w="109"/>
        <w:gridCol w:w="109"/>
        <w:gridCol w:w="109"/>
        <w:gridCol w:w="201"/>
        <w:gridCol w:w="665"/>
        <w:gridCol w:w="111"/>
        <w:gridCol w:w="109"/>
        <w:gridCol w:w="109"/>
        <w:gridCol w:w="109"/>
        <w:gridCol w:w="196"/>
        <w:gridCol w:w="736"/>
        <w:gridCol w:w="109"/>
        <w:gridCol w:w="109"/>
        <w:gridCol w:w="109"/>
        <w:gridCol w:w="109"/>
        <w:gridCol w:w="196"/>
        <w:gridCol w:w="736"/>
        <w:gridCol w:w="158"/>
      </w:tblGrid>
      <w:tr>
        <w:trPr/>
        <w:tc>
          <w:tcPr>
            <w:tcW w:w="175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Income</w:t>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ANB results included in statement of income since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consolidated pro forma as if ANB had been acquired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Note 4 – Investment Securities</w:t>
      </w:r>
    </w:p>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basis, unrealized gains and losses and fair value of HTM debt securities as of the dates indicated are as follows.</w:t>
      </w:r>
    </w:p>
    <w:tbl>
      <w:tblPr>
        <w:tblW w:w="9046" w:type="dxa"/>
        <w:jc w:val="left"/>
        <w:tblInd w:w="0" w:type="dxa"/>
        <w:tblLayout w:type="fixed"/>
        <w:tblCellMar>
          <w:top w:w="28" w:type="dxa"/>
          <w:left w:w="28" w:type="dxa"/>
          <w:bottom w:w="28" w:type="dxa"/>
          <w:right w:w="28" w:type="dxa"/>
        </w:tblCellMar>
      </w:tblPr>
      <w:tblGrid>
        <w:gridCol w:w="987"/>
        <w:gridCol w:w="868"/>
        <w:gridCol w:w="874"/>
        <w:gridCol w:w="196"/>
        <w:gridCol w:w="871"/>
        <w:gridCol w:w="109"/>
        <w:gridCol w:w="109"/>
        <w:gridCol w:w="109"/>
        <w:gridCol w:w="109"/>
        <w:gridCol w:w="404"/>
        <w:gridCol w:w="838"/>
        <w:gridCol w:w="227"/>
        <w:gridCol w:w="109"/>
        <w:gridCol w:w="109"/>
        <w:gridCol w:w="109"/>
        <w:gridCol w:w="276"/>
        <w:gridCol w:w="1040"/>
        <w:gridCol w:w="154"/>
        <w:gridCol w:w="109"/>
        <w:gridCol w:w="109"/>
        <w:gridCol w:w="109"/>
        <w:gridCol w:w="196"/>
        <w:gridCol w:w="87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Unrealized </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Supranational entities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Supranational entities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1,918,426 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basis, unrealized gains and losses, and fair value of AFS debt securities as of the dates indicated are presented below.</w:t>
      </w:r>
    </w:p>
    <w:tbl>
      <w:tblPr>
        <w:tblW w:w="8956" w:type="dxa"/>
        <w:jc w:val="left"/>
        <w:tblInd w:w="0" w:type="dxa"/>
        <w:tblLayout w:type="fixed"/>
        <w:tblCellMar>
          <w:top w:w="28" w:type="dxa"/>
          <w:left w:w="28" w:type="dxa"/>
          <w:bottom w:w="28" w:type="dxa"/>
          <w:right w:w="28" w:type="dxa"/>
        </w:tblCellMar>
      </w:tblPr>
      <w:tblGrid>
        <w:gridCol w:w="987"/>
        <w:gridCol w:w="868"/>
        <w:gridCol w:w="874"/>
        <w:gridCol w:w="196"/>
        <w:gridCol w:w="871"/>
        <w:gridCol w:w="109"/>
        <w:gridCol w:w="109"/>
        <w:gridCol w:w="109"/>
        <w:gridCol w:w="109"/>
        <w:gridCol w:w="293"/>
        <w:gridCol w:w="968"/>
        <w:gridCol w:w="163"/>
        <w:gridCol w:w="109"/>
        <w:gridCol w:w="109"/>
        <w:gridCol w:w="109"/>
        <w:gridCol w:w="268"/>
        <w:gridCol w:w="1008"/>
        <w:gridCol w:w="149"/>
        <w:gridCol w:w="109"/>
        <w:gridCol w:w="109"/>
        <w:gridCol w:w="109"/>
        <w:gridCol w:w="196"/>
        <w:gridCol w:w="87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4,250,968 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152,340 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4,106,366 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148,331 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3,750,863 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value of pledged securities totaled $3.65 billion and $2.98 billion, respectively. Securities were pledged primarily to secure public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and gross unrealized losses of HTM debt securities as of the dates indicated based on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47"/>
        <w:gridCol w:w="678"/>
        <w:gridCol w:w="682"/>
        <w:gridCol w:w="196"/>
        <w:gridCol w:w="646"/>
        <w:gridCol w:w="109"/>
        <w:gridCol w:w="109"/>
        <w:gridCol w:w="109"/>
        <w:gridCol w:w="109"/>
        <w:gridCol w:w="251"/>
        <w:gridCol w:w="539"/>
        <w:gridCol w:w="141"/>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Length of Time in Unrealized Loss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Supranational entities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1,822,810 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1,840,869 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330,163 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Supranational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318,987 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and gross unrealized losses of AFS debt securities as of the dates indicated based on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782"/>
        <w:gridCol w:w="598"/>
        <w:gridCol w:w="602"/>
        <w:gridCol w:w="196"/>
        <w:gridCol w:w="871"/>
        <w:gridCol w:w="109"/>
        <w:gridCol w:w="109"/>
        <w:gridCol w:w="109"/>
        <w:gridCol w:w="109"/>
        <w:gridCol w:w="211"/>
        <w:gridCol w:w="601"/>
        <w:gridCol w:w="11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78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Length of Time in Unrealized Loss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3,109,763 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152,340 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Agency &amp; GSEs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 Non-Agency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2,362,897 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148,331 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there were 507 AFS debt securities and 286 HTM debt securities that were in an unrealized loss position. United does not intend to sell nor does it believe it will be required to sell securities in an unrealized loss position prior to the recovery of their amortized cost basis. Unrealized losses at June 30, 2026 were primarily attributable to changes in interest rates.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majority of HTM securities were considered to have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June 30, 2026 and December 31, 2025. In addition, based on the assessments performed at June 30, 2026 and December 31, 2025, there was no ACL required related to the AFS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accrued interest receivable on HTM and AFS debt securities, which was excluded from the estimate of credit losses, for the periods indicated.</w:t>
      </w:r>
    </w:p>
    <w:tbl>
      <w:tblPr>
        <w:tblW w:w="4909"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263"/>
        <w:gridCol w:w="746"/>
        <w:gridCol w:w="145"/>
        <w:gridCol w:w="119"/>
        <w:gridCol w:w="119"/>
        <w:gridCol w:w="119"/>
        <w:gridCol w:w="352"/>
        <w:gridCol w:w="999"/>
        <w:gridCol w:w="19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Accrued Interest Receivable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HTM</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5,486 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AFS and HTM debt securities at June 30, 2026, by contractual maturity, are presented in the following table.</w:t>
      </w:r>
    </w:p>
    <w:tbl>
      <w:tblPr>
        <w:tblW w:w="9858" w:type="dxa"/>
        <w:jc w:val="left"/>
        <w:tblInd w:w="0" w:type="dxa"/>
        <w:tblLayout w:type="fixed"/>
        <w:tblCellMar>
          <w:top w:w="28" w:type="dxa"/>
          <w:left w:w="28" w:type="dxa"/>
          <w:bottom w:w="28" w:type="dxa"/>
          <w:right w:w="28" w:type="dxa"/>
        </w:tblCellMar>
      </w:tblPr>
      <w:tblGrid>
        <w:gridCol w:w="1390"/>
        <w:gridCol w:w="1221"/>
        <w:gridCol w:w="1229"/>
        <w:gridCol w:w="220"/>
        <w:gridCol w:w="978"/>
        <w:gridCol w:w="122"/>
        <w:gridCol w:w="109"/>
        <w:gridCol w:w="109"/>
        <w:gridCol w:w="109"/>
        <w:gridCol w:w="196"/>
        <w:gridCol w:w="871"/>
        <w:gridCol w:w="109"/>
        <w:gridCol w:w="109"/>
        <w:gridCol w:w="109"/>
        <w:gridCol w:w="109"/>
        <w:gridCol w:w="220"/>
        <w:gridCol w:w="978"/>
        <w:gridCol w:w="122"/>
        <w:gridCol w:w="109"/>
        <w:gridCol w:w="109"/>
        <w:gridCol w:w="109"/>
        <w:gridCol w:w="196"/>
        <w:gridCol w:w="871"/>
        <w:gridCol w:w="154"/>
      </w:tblGrid>
      <w:tr>
        <w:trPr/>
        <w:tc>
          <w:tcPr>
            <w:tcW w:w="139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HTM</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Within 1 year:</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49,122 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316,169 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1 to 5 years: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Supranational entities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367,628 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352,648 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110,218 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5 to 10 years: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327,616 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129,090 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More than 10 years: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143,852 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169,011 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138,322 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Debt securities not due at a single maturity date:</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1,772,687 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914,865 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627,863 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3,095,703 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1,764,431 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1,491,121 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4,250,968 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4,106,366 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2,179,043 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issuers and borrowers may have the right to call or prepay obligations.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color w:val="000000"/>
          <w:sz w:val="20"/>
        </w:rPr>
        <w:t>Realized gains and losses are derived using the specific identification method for determining the cost of securities sold. The following table summarizes AFS securities sales activity for the three and six months ended June 30, 2026 and 2025</w:t>
      </w:r>
      <w:r>
        <w:rPr>
          <w:rFonts w:ascii="Times New Roman;serif" w:hAnsi="Times New Roman;serif"/>
          <w:b w:val="false"/>
          <w:i/>
          <w:color w:val="000000"/>
          <w:sz w:val="20"/>
        </w:rPr>
        <w:t>.</w:t>
      </w:r>
    </w:p>
    <w:p>
      <w:pPr>
        <w:pStyle w:val="TextBody"/>
        <w:bidi w:val="0"/>
        <w:spacing w:before="0" w:after="0"/>
        <w:jc w:val="both"/>
        <w:rPr/>
      </w:pPr>
      <w:r>
        <w:rPr/>
      </w:r>
    </w:p>
    <w:tbl>
      <w:tblPr>
        <w:tblW w:w="8557" w:type="dxa"/>
        <w:jc w:val="left"/>
        <w:tblInd w:w="0" w:type="dxa"/>
        <w:tblLayout w:type="fixed"/>
        <w:tblCellMar>
          <w:top w:w="28" w:type="dxa"/>
          <w:left w:w="28" w:type="dxa"/>
          <w:bottom w:w="28" w:type="dxa"/>
          <w:right w:w="28" w:type="dxa"/>
        </w:tblCellMar>
      </w:tblPr>
      <w:tblGrid>
        <w:gridCol w:w="124"/>
        <w:gridCol w:w="1178"/>
        <w:gridCol w:w="1178"/>
        <w:gridCol w:w="1183"/>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gains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losses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(losses) gains, net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attributable to sales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during the first six months of 2026, United recognized $1.98 million in net losses on trading securities, of which $692,000 related to trading securities held at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Equity Investments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reflects the carrying value of certain equity investments, which are included in other assets on the consolidated balance sheet, as of the dates indicated.</w:t>
      </w:r>
    </w:p>
    <w:p>
      <w:pPr>
        <w:pStyle w:val="TextBody"/>
        <w:bidi w:val="0"/>
        <w:spacing w:before="0" w:after="0"/>
        <w:jc w:val="both"/>
        <w:rPr/>
      </w:pPr>
      <w:r>
        <w:rPr/>
      </w:r>
    </w:p>
    <w:tbl>
      <w:tblPr>
        <w:tblW w:w="7625" w:type="dxa"/>
        <w:jc w:val="left"/>
        <w:tblInd w:w="0" w:type="dxa"/>
        <w:tblLayout w:type="fixed"/>
        <w:tblCellMar>
          <w:top w:w="28" w:type="dxa"/>
          <w:left w:w="28" w:type="dxa"/>
          <w:bottom w:w="28" w:type="dxa"/>
          <w:right w:w="28" w:type="dxa"/>
        </w:tblCellMar>
      </w:tblPr>
      <w:tblGrid>
        <w:gridCol w:w="124"/>
        <w:gridCol w:w="109"/>
        <w:gridCol w:w="109"/>
        <w:gridCol w:w="1292"/>
        <w:gridCol w:w="1292"/>
        <w:gridCol w:w="1300"/>
        <w:gridCol w:w="238"/>
        <w:gridCol w:w="785"/>
        <w:gridCol w:w="132"/>
        <w:gridCol w:w="109"/>
        <w:gridCol w:w="109"/>
        <w:gridCol w:w="109"/>
        <w:gridCol w:w="318"/>
        <w:gridCol w:w="1050"/>
        <w:gridCol w:w="1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Reserve stock</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FHLB stock</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with readily determinable fair values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Loans and Leases and Allowance for Credit Losses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Major classifications of the loan and lease portfolio (collectively referred to as the “loan portfolio” or “loans”) are summarized as of the dates indicated as follows. The disclosures included in this footnote reflect the reclassification of substantially all equipment financing loans and leases to held for sale during the second quarter of 2026 (see Note 3 for further details). Equipment financing loans to be retained by United of $35.9 million and the corresponding ACL of $726,000 were reclassified to the commercial &amp; industrial loan category in the following disclosures, as equipment financing is no longer an individually significant held for investment loan category at June 30, 2026. </w:t>
      </w:r>
    </w:p>
    <w:p>
      <w:pPr>
        <w:pStyle w:val="TextBody"/>
        <w:bidi w:val="0"/>
        <w:spacing w:before="100" w:after="283"/>
        <w:jc w:val="center"/>
        <w:rPr/>
      </w:pPr>
      <w:r>
        <w:rPr/>
      </w:r>
    </w:p>
    <w:tbl>
      <w:tblPr>
        <w:tblW w:w="7901" w:type="dxa"/>
        <w:jc w:val="center"/>
        <w:tblInd w:w="0" w:type="dxa"/>
        <w:tblLayout w:type="fixed"/>
        <w:tblCellMar>
          <w:top w:w="28" w:type="dxa"/>
          <w:left w:w="28" w:type="dxa"/>
          <w:bottom w:w="28" w:type="dxa"/>
          <w:right w:w="28" w:type="dxa"/>
        </w:tblCellMar>
      </w:tblPr>
      <w:tblGrid>
        <w:gridCol w:w="124"/>
        <w:gridCol w:w="109"/>
        <w:gridCol w:w="109"/>
        <w:gridCol w:w="1348"/>
        <w:gridCol w:w="1348"/>
        <w:gridCol w:w="1353"/>
        <w:gridCol w:w="196"/>
        <w:gridCol w:w="961"/>
        <w:gridCol w:w="109"/>
        <w:gridCol w:w="109"/>
        <w:gridCol w:w="109"/>
        <w:gridCol w:w="109"/>
        <w:gridCol w:w="239"/>
        <w:gridCol w:w="1173"/>
        <w:gridCol w:w="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3,949,898 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5,032,342 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2,696,291 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1,847,999 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14,524,332 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3,157,017 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excluding fair value hedge basis adjustment</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19,378,984 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hedge basis adjustment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loans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18,024,130 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19,384,317 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ACL - loans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17,855,425 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19,173,888 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60"/>
        <w:jc w:val="both"/>
        <w:rPr/>
      </w:pPr>
      <w:r>
        <w:rPr/>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Accrued interest receivable related to loans totaled $58.5 million and $60.4 million at June 30, 2026 and December 31, 2025, respectively, and was reported in other assets on the consolidated balance sheets. Accrued interest receivable was excluded from the estimate of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June 30, 2026 and December 31, 2025, the loan portfolio included certain loans specifically pledged to the Federal Reserve as well as loans covered by a blanket lien on qualifying loan types with the FHLB to secure contingent funding 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of certain loans held for investment that were sold in the periods indicated. The net gains on these loan sales were included in noninterest income on the consolidated statements of income.</w:t>
      </w:r>
    </w:p>
    <w:p>
      <w:pPr>
        <w:pStyle w:val="TextBody"/>
        <w:bidi w:val="0"/>
        <w:spacing w:before="0" w:after="0"/>
        <w:jc w:val="both"/>
        <w:rPr/>
      </w:pPr>
      <w:r>
        <w:rPr/>
      </w:r>
    </w:p>
    <w:tbl>
      <w:tblPr>
        <w:tblW w:w="8432" w:type="dxa"/>
        <w:jc w:val="left"/>
        <w:tblInd w:w="0" w:type="dxa"/>
        <w:tblLayout w:type="fixed"/>
        <w:tblCellMar>
          <w:top w:w="28" w:type="dxa"/>
          <w:left w:w="28" w:type="dxa"/>
          <w:bottom w:w="28" w:type="dxa"/>
          <w:right w:w="28" w:type="dxa"/>
        </w:tblCellMar>
      </w:tblPr>
      <w:tblGrid>
        <w:gridCol w:w="124"/>
        <w:gridCol w:w="109"/>
        <w:gridCol w:w="1013"/>
        <w:gridCol w:w="1013"/>
        <w:gridCol w:w="1018"/>
        <w:gridCol w:w="215"/>
        <w:gridCol w:w="708"/>
        <w:gridCol w:w="119"/>
        <w:gridCol w:w="119"/>
        <w:gridCol w:w="119"/>
        <w:gridCol w:w="119"/>
        <w:gridCol w:w="215"/>
        <w:gridCol w:w="708"/>
        <w:gridCol w:w="119"/>
        <w:gridCol w:w="109"/>
        <w:gridCol w:w="109"/>
        <w:gridCol w:w="109"/>
        <w:gridCol w:w="196"/>
        <w:gridCol w:w="648"/>
        <w:gridCol w:w="109"/>
        <w:gridCol w:w="109"/>
        <w:gridCol w:w="109"/>
        <w:gridCol w:w="109"/>
        <w:gridCol w:w="196"/>
        <w:gridCol w:w="64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Guaranteed portion of SBA/USDA loans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21,760 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receivables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38,647 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Past Due and Nonaccrual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tbl>
      <w:tblPr>
        <w:tblW w:w="10205" w:type="dxa"/>
        <w:jc w:val="left"/>
        <w:tblInd w:w="0" w:type="dxa"/>
        <w:tblLayout w:type="fixed"/>
        <w:tblCellMar>
          <w:top w:w="28" w:type="dxa"/>
          <w:left w:w="28" w:type="dxa"/>
          <w:bottom w:w="28" w:type="dxa"/>
          <w:right w:w="28" w:type="dxa"/>
        </w:tblCellMar>
      </w:tblPr>
      <w:tblGrid>
        <w:gridCol w:w="563"/>
        <w:gridCol w:w="408"/>
        <w:gridCol w:w="411"/>
        <w:gridCol w:w="109"/>
        <w:gridCol w:w="109"/>
        <w:gridCol w:w="109"/>
        <w:gridCol w:w="196"/>
        <w:gridCol w:w="961"/>
        <w:gridCol w:w="109"/>
        <w:gridCol w:w="109"/>
        <w:gridCol w:w="109"/>
        <w:gridCol w:w="109"/>
        <w:gridCol w:w="201"/>
        <w:gridCol w:w="664"/>
        <w:gridCol w:w="112"/>
        <w:gridCol w:w="109"/>
        <w:gridCol w:w="109"/>
        <w:gridCol w:w="109"/>
        <w:gridCol w:w="201"/>
        <w:gridCol w:w="664"/>
        <w:gridCol w:w="112"/>
        <w:gridCol w:w="109"/>
        <w:gridCol w:w="109"/>
        <w:gridCol w:w="109"/>
        <w:gridCol w:w="208"/>
        <w:gridCol w:w="431"/>
        <w:gridCol w:w="115"/>
        <w:gridCol w:w="109"/>
        <w:gridCol w:w="109"/>
        <w:gridCol w:w="109"/>
        <w:gridCol w:w="109"/>
        <w:gridCol w:w="109"/>
        <w:gridCol w:w="109"/>
        <w:gridCol w:w="109"/>
        <w:gridCol w:w="233"/>
        <w:gridCol w:w="771"/>
        <w:gridCol w:w="130"/>
        <w:gridCol w:w="109"/>
        <w:gridCol w:w="109"/>
        <w:gridCol w:w="109"/>
        <w:gridCol w:w="196"/>
        <w:gridCol w:w="961"/>
        <w:gridCol w:w="160"/>
      </w:tblGrid>
      <w:tr>
        <w:trPr/>
        <w:tc>
          <w:tcPr>
            <w:tcW w:w="5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Accruing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18"/>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Past Due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30 - 59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60 - 89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&gt;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Nonaccrual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Loans</w:t>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5,017,781 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2,858,749 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13,073,217 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13,136,610 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3,100,617 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1,403,383 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17,920,515 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18,028,693 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3,932,261 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3,949,898 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5,032,342 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2,696,291 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1,847,999 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14,440,328 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51,348 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14,524,332 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3,118,540 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3,157,017 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Consumer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19,244,205 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19,378,984 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nonaccrual loans held for investment by loan class for the periods indicated.</w:t>
      </w:r>
    </w:p>
    <w:tbl>
      <w:tblPr>
        <w:tblW w:w="10205" w:type="dxa"/>
        <w:jc w:val="left"/>
        <w:tblInd w:w="0" w:type="dxa"/>
        <w:tblLayout w:type="fixed"/>
        <w:tblCellMar>
          <w:top w:w="28" w:type="dxa"/>
          <w:left w:w="28" w:type="dxa"/>
          <w:bottom w:w="28" w:type="dxa"/>
          <w:right w:w="28" w:type="dxa"/>
        </w:tblCellMar>
      </w:tblPr>
      <w:tblGrid>
        <w:gridCol w:w="124"/>
        <w:gridCol w:w="524"/>
        <w:gridCol w:w="427"/>
        <w:gridCol w:w="429"/>
        <w:gridCol w:w="109"/>
        <w:gridCol w:w="109"/>
        <w:gridCol w:w="109"/>
        <w:gridCol w:w="229"/>
        <w:gridCol w:w="758"/>
        <w:gridCol w:w="127"/>
        <w:gridCol w:w="109"/>
        <w:gridCol w:w="109"/>
        <w:gridCol w:w="109"/>
        <w:gridCol w:w="229"/>
        <w:gridCol w:w="758"/>
        <w:gridCol w:w="127"/>
        <w:gridCol w:w="109"/>
        <w:gridCol w:w="109"/>
        <w:gridCol w:w="109"/>
        <w:gridCol w:w="196"/>
        <w:gridCol w:w="646"/>
        <w:gridCol w:w="109"/>
        <w:gridCol w:w="109"/>
        <w:gridCol w:w="109"/>
        <w:gridCol w:w="109"/>
        <w:gridCol w:w="229"/>
        <w:gridCol w:w="758"/>
        <w:gridCol w:w="127"/>
        <w:gridCol w:w="109"/>
        <w:gridCol w:w="109"/>
        <w:gridCol w:w="109"/>
        <w:gridCol w:w="229"/>
        <w:gridCol w:w="758"/>
        <w:gridCol w:w="127"/>
        <w:gridCol w:w="109"/>
        <w:gridCol w:w="109"/>
        <w:gridCol w:w="109"/>
        <w:gridCol w:w="196"/>
        <w:gridCol w:w="646"/>
        <w:gridCol w:w="109"/>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Nonaccrual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 an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 no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 an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20,741 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27,350 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38,031 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29,778 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61,320 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United had $53.2 million and $41.5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CRE and commercial and industrial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Credit Quality Indicators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utilizes internal risk ratings as the primary credit quality indicator as outlined below:</w:t>
      </w:r>
    </w:p>
    <w:p>
      <w:pPr>
        <w:pStyle w:val="TextBody"/>
        <w:bidi w:val="0"/>
        <w:spacing w:lineRule="auto" w:line="268" w:before="0" w:after="0"/>
        <w:jc w:val="both"/>
        <w:rPr/>
      </w:pPr>
      <w:r>
        <w:rPr>
          <w:rFonts w:ascii="Times New Roman;serif" w:hAnsi="Times New Roman;serif"/>
          <w:b/>
          <w:color w:val="000000"/>
          <w:sz w:val="20"/>
          <w:u w:val="single"/>
        </w:rPr>
        <w:br/>
      </w:r>
      <w:r>
        <w:rPr>
          <w:rFonts w:ascii="Times New Roman;serif" w:hAnsi="Times New Roman;serif"/>
          <w:b/>
          <w:color w:val="000000"/>
          <w:sz w:val="20"/>
        </w:rPr>
        <w:t xml:space="preserve">Commercial Purpose Loans. </w:t>
      </w:r>
      <w:r>
        <w:rPr>
          <w:rFonts w:ascii="Times New Roman;serif" w:hAnsi="Times New Roman;serif"/>
          <w:b w:val="false"/>
          <w:color w:val="000000"/>
          <w:sz w:val="20"/>
        </w:rPr>
        <w:t>United analyzes commercial loans individually on an ongoing basis based on relevant information about the ability of borrowers to service their debt such as current financial information, historical payment experience, public information, and current industry and economic trends, among other factors. Commercial loans are categorized by the credit risk ratings of Pass, Special Mention, Substandard and Doubtful. Special Mention, Substandard and Doubtful ratings are defined by regulatory authorities and represent an elevated level of risk due to weaknesses identified related to the credit and/or borrower. Ratings within these categories are based on the severity of the weakness and the likelihood of repayment. Pass loans are considered to have a low probability of default and do not meet the criteria of the other ratings.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Consumer Purpose Loans.</w:t>
      </w:r>
      <w:r>
        <w:rPr>
          <w:color w:val="000000"/>
        </w:rPr>
        <w:t xml:space="preserve"> </w:t>
      </w:r>
      <w:r>
        <w:rPr>
          <w:rFonts w:ascii="Times New Roman;serif" w:hAnsi="Times New Roman;serif"/>
          <w:b w:val="false"/>
          <w:color w:val="000000"/>
          <w:sz w:val="20"/>
        </w:rPr>
        <w:t>United applies a pass/fail grading system to all consumer purpose loans. Under this system, loans generally classified as “fail” are those that are on nonaccrual status, are 90 or more days past due, or meet certain bankruptcy status criteria. All other loans are classified as “pass”. For reporting purposes, loans in these categories that are classified as “fail” are reported as substandard and all other loans are reported as pass.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risk category of term loans and gross charge-offs by vintage year, which is the year of origination or most recent renewal, as of the date indicated.</w:t>
      </w:r>
    </w:p>
    <w:tbl>
      <w:tblPr>
        <w:tblW w:w="12748" w:type="dxa"/>
        <w:jc w:val="left"/>
        <w:tblInd w:w="0" w:type="dxa"/>
        <w:tblLayout w:type="fixed"/>
        <w:tblCellMar>
          <w:top w:w="28" w:type="dxa"/>
          <w:left w:w="28" w:type="dxa"/>
          <w:bottom w:w="28" w:type="dxa"/>
          <w:right w:w="28" w:type="dxa"/>
        </w:tblCellMar>
      </w:tblPr>
      <w:tblGrid>
        <w:gridCol w:w="404"/>
        <w:gridCol w:w="263"/>
        <w:gridCol w:w="264"/>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766"/>
        <w:gridCol w:w="109"/>
        <w:gridCol w:w="109"/>
        <w:gridCol w:w="109"/>
        <w:gridCol w:w="109"/>
        <w:gridCol w:w="181"/>
        <w:gridCol w:w="766"/>
        <w:gridCol w:w="109"/>
        <w:gridCol w:w="109"/>
        <w:gridCol w:w="109"/>
        <w:gridCol w:w="109"/>
        <w:gridCol w:w="181"/>
        <w:gridCol w:w="571"/>
        <w:gridCol w:w="109"/>
        <w:gridCol w:w="109"/>
        <w:gridCol w:w="109"/>
        <w:gridCol w:w="109"/>
        <w:gridCol w:w="181"/>
        <w:gridCol w:w="76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54" w:type="dxa"/>
            <w:gridSpan w:val="48"/>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Revolvers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Revolvers converted to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884,891 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550,831 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3,965,456 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478,759 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895,521 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455,037 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426,730 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589,326 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1,118,903 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4,117,210 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1,116 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877,141 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1,334,317 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4,769,020 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713,889 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895,195 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423,264 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452,206 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1,068,978 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1,379,663 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5,017,781 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152,557 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2,739,053 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646,710 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171,212 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839,953 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2,858,749 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12,037 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Commercial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commercial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506,157 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189,948 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1,142,870 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Current period gross charge-offs </w:t>
            </w:r>
            <w:r>
              <w:rPr>
                <w:rFonts w:ascii="Times New Roman;serif" w:hAnsi="Times New Roman;serif"/>
                <w:b w:val="false"/>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1,484,574 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106,982 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198,971 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119,371 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882,324 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1,499,191 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3,100,617 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1,359,586 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1,395,946 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1,359,586 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1,403,383 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Residential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residential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194,644 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192,360 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54,652 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15,718 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193,439 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1,771 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Reflects charge-offs prior to the reclassification of equipment financing loans to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tbl>
      <w:tblPr>
        <w:tblW w:w="12628" w:type="dxa"/>
        <w:jc w:val="center"/>
        <w:tblInd w:w="0" w:type="dxa"/>
        <w:tblLayout w:type="fixed"/>
        <w:tblCellMar>
          <w:top w:w="28" w:type="dxa"/>
          <w:left w:w="28" w:type="dxa"/>
          <w:bottom w:w="28" w:type="dxa"/>
          <w:right w:w="28" w:type="dxa"/>
        </w:tblCellMar>
      </w:tblPr>
      <w:tblGrid>
        <w:gridCol w:w="404"/>
        <w:gridCol w:w="263"/>
        <w:gridCol w:w="264"/>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571"/>
        <w:gridCol w:w="109"/>
        <w:gridCol w:w="109"/>
        <w:gridCol w:w="109"/>
        <w:gridCol w:w="109"/>
        <w:gridCol w:w="181"/>
        <w:gridCol w:w="766"/>
        <w:gridCol w:w="154"/>
      </w:tblGrid>
      <w:tr>
        <w:trPr/>
        <w:tc>
          <w:tcPr>
            <w:tcW w:w="4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Term Loans by Origination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Revolvers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Revolvers converted to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468,682 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3,781,660 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886,895 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469,361 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503,173 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643,709 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531,010 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763,256 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3,949,898 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5,194 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4,748,886 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income producing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939,759 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471,176 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566,546 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1,232,685 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837,582 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906,972 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5,032,342 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1,970 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357,553 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178,064 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680,042 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337,237 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694,703 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2,696,291 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10,327 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15,942 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Commercial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959,642 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commercial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567,529 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64,097 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54,745 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997,802 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2,150 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1,832,698 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equipment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793,881 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303,462 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50,367 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1,847,999 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7,681 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10,018 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24,957 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3,121,059 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200,135 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315,961 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933,317 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913,827 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3,157,017 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646 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1,313,678 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1,277,604 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1,319,474 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Residential construction &amp; 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189,546 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residential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50,443 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190,625 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85,786 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20,522 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187,536 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period gross 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5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4,469 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Modifications to Borrowers Experiencing Financial Difficulty</w:t>
      </w:r>
    </w:p>
    <w:p>
      <w:pPr>
        <w:pStyle w:val="TextBody"/>
        <w:bidi w:val="0"/>
        <w:spacing w:lineRule="auto" w:line="288" w:before="0" w:after="0"/>
        <w:jc w:val="left"/>
        <w:rPr/>
      </w:pPr>
      <w:r>
        <w:rPr>
          <w:rFonts w:ascii="Times New Roman;serif" w:hAnsi="Times New Roman;serif"/>
          <w:b w:val="false"/>
          <w:color w:val="000000"/>
          <w:sz w:val="20"/>
        </w:rPr>
        <w:t>The period-end amortized cost and additional information regarding loans modified under the terms of a FDM during the six months ended June 30, 2026 and 2025 are presented in the following tables</w:t>
      </w:r>
      <w:r>
        <w:rPr>
          <w:rFonts w:ascii="Times New Roman;serif" w:hAnsi="Times New Roman;serif"/>
          <w:b w:val="false"/>
          <w:i/>
          <w:color w:val="000000"/>
          <w:sz w:val="20"/>
        </w:rPr>
        <w:t>.</w:t>
      </w:r>
    </w:p>
    <w:p>
      <w:pPr>
        <w:pStyle w:val="TextBody"/>
        <w:bidi w:val="0"/>
        <w:spacing w:before="0" w:after="0"/>
        <w:jc w:val="left"/>
        <w:rPr/>
      </w:pPr>
      <w:r>
        <w:rPr/>
      </w:r>
    </w:p>
    <w:tbl>
      <w:tblPr>
        <w:tblW w:w="11078" w:type="dxa"/>
        <w:jc w:val="left"/>
        <w:tblInd w:w="0" w:type="dxa"/>
        <w:tblLayout w:type="fixed"/>
        <w:tblCellMar>
          <w:top w:w="28" w:type="dxa"/>
          <w:left w:w="28" w:type="dxa"/>
          <w:bottom w:w="28" w:type="dxa"/>
          <w:right w:w="28" w:type="dxa"/>
        </w:tblCellMar>
      </w:tblPr>
      <w:tblGrid>
        <w:gridCol w:w="363"/>
        <w:gridCol w:w="306"/>
        <w:gridCol w:w="307"/>
        <w:gridCol w:w="109"/>
        <w:gridCol w:w="109"/>
        <w:gridCol w:w="109"/>
        <w:gridCol w:w="223"/>
        <w:gridCol w:w="463"/>
        <w:gridCol w:w="125"/>
        <w:gridCol w:w="109"/>
        <w:gridCol w:w="109"/>
        <w:gridCol w:w="109"/>
        <w:gridCol w:w="196"/>
        <w:gridCol w:w="556"/>
        <w:gridCol w:w="109"/>
        <w:gridCol w:w="109"/>
        <w:gridCol w:w="109"/>
        <w:gridCol w:w="109"/>
        <w:gridCol w:w="196"/>
        <w:gridCol w:w="556"/>
        <w:gridCol w:w="109"/>
        <w:gridCol w:w="109"/>
        <w:gridCol w:w="109"/>
        <w:gridCol w:w="109"/>
        <w:gridCol w:w="251"/>
        <w:gridCol w:w="539"/>
        <w:gridCol w:w="141"/>
        <w:gridCol w:w="109"/>
        <w:gridCol w:w="109"/>
        <w:gridCol w:w="109"/>
        <w:gridCol w:w="109"/>
        <w:gridCol w:w="109"/>
        <w:gridCol w:w="225"/>
        <w:gridCol w:w="639"/>
        <w:gridCol w:w="127"/>
        <w:gridCol w:w="109"/>
        <w:gridCol w:w="109"/>
        <w:gridCol w:w="109"/>
        <w:gridCol w:w="196"/>
        <w:gridCol w:w="556"/>
        <w:gridCol w:w="109"/>
        <w:gridCol w:w="109"/>
        <w:gridCol w:w="109"/>
        <w:gridCol w:w="109"/>
        <w:gridCol w:w="203"/>
        <w:gridCol w:w="203"/>
        <w:gridCol w:w="480"/>
        <w:gridCol w:w="109"/>
        <w:gridCol w:w="109"/>
        <w:gridCol w:w="109"/>
        <w:gridCol w:w="276"/>
        <w:gridCol w:w="572"/>
        <w:gridCol w:w="218"/>
      </w:tblGrid>
      <w:tr>
        <w:trPr/>
        <w:tc>
          <w:tcPr>
            <w:tcW w:w="36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685" w:type="dxa"/>
            <w:gridSpan w:val="4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139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9" w:type="dxa"/>
            <w:gridSpan w:val="3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Amortized Cost of New FDMs by Type of Modification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6"/>
            <w:tcBorders/>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Rate Reduction &amp; 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Rate Reduction, Payment Delay &amp;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 Class of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FDMs defaulted within 12 months of modification </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587" w:type="dxa"/>
        <w:jc w:val="left"/>
        <w:tblInd w:w="0" w:type="dxa"/>
        <w:tblLayout w:type="fixed"/>
        <w:tblCellMar>
          <w:top w:w="28" w:type="dxa"/>
          <w:left w:w="28" w:type="dxa"/>
          <w:bottom w:w="28" w:type="dxa"/>
          <w:right w:w="28" w:type="dxa"/>
        </w:tblCellMar>
      </w:tblPr>
      <w:tblGrid>
        <w:gridCol w:w="355"/>
        <w:gridCol w:w="272"/>
        <w:gridCol w:w="274"/>
        <w:gridCol w:w="109"/>
        <w:gridCol w:w="109"/>
        <w:gridCol w:w="109"/>
        <w:gridCol w:w="235"/>
        <w:gridCol w:w="505"/>
        <w:gridCol w:w="131"/>
        <w:gridCol w:w="109"/>
        <w:gridCol w:w="109"/>
        <w:gridCol w:w="109"/>
        <w:gridCol w:w="196"/>
        <w:gridCol w:w="556"/>
        <w:gridCol w:w="109"/>
        <w:gridCol w:w="109"/>
        <w:gridCol w:w="109"/>
        <w:gridCol w:w="109"/>
        <w:gridCol w:w="243"/>
        <w:gridCol w:w="522"/>
        <w:gridCol w:w="136"/>
        <w:gridCol w:w="109"/>
        <w:gridCol w:w="109"/>
        <w:gridCol w:w="109"/>
        <w:gridCol w:w="242"/>
        <w:gridCol w:w="688"/>
        <w:gridCol w:w="136"/>
        <w:gridCol w:w="109"/>
        <w:gridCol w:w="109"/>
        <w:gridCol w:w="109"/>
        <w:gridCol w:w="242"/>
        <w:gridCol w:w="688"/>
        <w:gridCol w:w="136"/>
        <w:gridCol w:w="109"/>
        <w:gridCol w:w="109"/>
        <w:gridCol w:w="109"/>
        <w:gridCol w:w="109"/>
        <w:gridCol w:w="109"/>
        <w:gridCol w:w="109"/>
        <w:gridCol w:w="196"/>
        <w:gridCol w:w="646"/>
        <w:gridCol w:w="109"/>
        <w:gridCol w:w="109"/>
        <w:gridCol w:w="109"/>
        <w:gridCol w:w="109"/>
        <w:gridCol w:w="210"/>
        <w:gridCol w:w="210"/>
        <w:gridCol w:w="496"/>
        <w:gridCol w:w="109"/>
        <w:gridCol w:w="109"/>
        <w:gridCol w:w="109"/>
        <w:gridCol w:w="282"/>
        <w:gridCol w:w="606"/>
        <w:gridCol w:w="223"/>
      </w:tblGrid>
      <w:tr>
        <w:trPr/>
        <w:tc>
          <w:tcPr>
            <w:tcW w:w="3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923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2354" w:type="dxa"/>
            <w:gridSpan w:val="9"/>
            <w:tcBorders/>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7"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Amortized Cost of New FDMs by Type of Modification</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 Reduction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 Reduction &amp;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 &amp; Extension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 Class of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FDMs defaulted within 12 months of modification </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aging category and accrual status of loans modified under the terms of a FDM during the previous 12 months on an amortized cost basis as of the dates indicated.</w:t>
      </w:r>
    </w:p>
    <w:p>
      <w:pPr>
        <w:pStyle w:val="TextBody"/>
        <w:bidi w:val="0"/>
        <w:spacing w:before="0" w:after="0"/>
        <w:jc w:val="both"/>
        <w:rPr/>
      </w:pPr>
      <w:r>
        <w:rPr/>
      </w:r>
    </w:p>
    <w:tbl>
      <w:tblPr>
        <w:tblW w:w="9401" w:type="dxa"/>
        <w:jc w:val="left"/>
        <w:tblInd w:w="0" w:type="dxa"/>
        <w:tblLayout w:type="fixed"/>
        <w:tblCellMar>
          <w:top w:w="28" w:type="dxa"/>
          <w:left w:w="28" w:type="dxa"/>
          <w:bottom w:w="28" w:type="dxa"/>
          <w:right w:w="28" w:type="dxa"/>
        </w:tblCellMar>
      </w:tblPr>
      <w:tblGrid>
        <w:gridCol w:w="673"/>
        <w:gridCol w:w="591"/>
        <w:gridCol w:w="595"/>
        <w:gridCol w:w="196"/>
        <w:gridCol w:w="646"/>
        <w:gridCol w:w="109"/>
        <w:gridCol w:w="109"/>
        <w:gridCol w:w="109"/>
        <w:gridCol w:w="109"/>
        <w:gridCol w:w="239"/>
        <w:gridCol w:w="678"/>
        <w:gridCol w:w="133"/>
        <w:gridCol w:w="109"/>
        <w:gridCol w:w="109"/>
        <w:gridCol w:w="109"/>
        <w:gridCol w:w="283"/>
        <w:gridCol w:w="609"/>
        <w:gridCol w:w="157"/>
        <w:gridCol w:w="109"/>
        <w:gridCol w:w="109"/>
        <w:gridCol w:w="109"/>
        <w:gridCol w:w="240"/>
        <w:gridCol w:w="497"/>
        <w:gridCol w:w="133"/>
        <w:gridCol w:w="109"/>
        <w:gridCol w:w="109"/>
        <w:gridCol w:w="109"/>
        <w:gridCol w:w="204"/>
        <w:gridCol w:w="673"/>
        <w:gridCol w:w="114"/>
        <w:gridCol w:w="109"/>
        <w:gridCol w:w="109"/>
        <w:gridCol w:w="109"/>
        <w:gridCol w:w="196"/>
        <w:gridCol w:w="64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Past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Current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30 - 59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60 - 89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&gt; 90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Nonaccrual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2025</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11,506 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 xml:space="preserve">Allowance for Credit Losses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represents management’s estimate of life of loan credit losses in the portfolio as of the end of the period. The ACL related to unfunded commitments is included in other liabilities in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the baseline economic forecast had tempered some of the optimism from the first quarter forecast to better reflect the economic conditions resulting from the conflict in Iran. At June 30, 2026, United applied qualitative adjustments to increase the model’s calculated ACL for the income producing CRE and commercial &amp; industrial portfolios and to decrease the model’s calculated ACL for commercial construction and owner occupied CRE. These qualitative adjustments were applied to better reflect management’s expectations of future performance and maintain directional consistency with internal credit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For loans secured by residential mortgages, the peer data was adjusted for changes in lending practices designed to mitigate the magnitude of losses observed during the 2008 financial crisis.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and activity in the ACL by portfolio segment for the periods indicated.</w:t>
      </w:r>
    </w:p>
    <w:tbl>
      <w:tblPr>
        <w:tblW w:w="15832" w:type="dxa"/>
        <w:jc w:val="left"/>
        <w:tblInd w:w="0" w:type="dxa"/>
        <w:tblLayout w:type="fixed"/>
        <w:tblCellMar>
          <w:top w:w="28" w:type="dxa"/>
          <w:left w:w="28" w:type="dxa"/>
          <w:bottom w:w="28" w:type="dxa"/>
          <w:right w:w="28" w:type="dxa"/>
        </w:tblCellMar>
      </w:tblPr>
      <w:tblGrid>
        <w:gridCol w:w="520"/>
        <w:gridCol w:w="272"/>
        <w:gridCol w:w="274"/>
        <w:gridCol w:w="109"/>
        <w:gridCol w:w="109"/>
        <w:gridCol w:w="109"/>
        <w:gridCol w:w="196"/>
        <w:gridCol w:w="736"/>
        <w:gridCol w:w="109"/>
        <w:gridCol w:w="109"/>
        <w:gridCol w:w="109"/>
        <w:gridCol w:w="109"/>
        <w:gridCol w:w="109"/>
        <w:gridCol w:w="109"/>
        <w:gridCol w:w="216"/>
        <w:gridCol w:w="729"/>
        <w:gridCol w:w="121"/>
        <w:gridCol w:w="109"/>
        <w:gridCol w:w="109"/>
        <w:gridCol w:w="109"/>
        <w:gridCol w:w="208"/>
        <w:gridCol w:w="591"/>
        <w:gridCol w:w="117"/>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216"/>
        <w:gridCol w:w="729"/>
        <w:gridCol w:w="121"/>
        <w:gridCol w:w="109"/>
        <w:gridCol w:w="109"/>
        <w:gridCol w:w="109"/>
        <w:gridCol w:w="208"/>
        <w:gridCol w:w="591"/>
        <w:gridCol w:w="117"/>
        <w:gridCol w:w="109"/>
        <w:gridCol w:w="109"/>
        <w:gridCol w:w="109"/>
        <w:gridCol w:w="196"/>
        <w:gridCol w:w="646"/>
        <w:gridCol w:w="109"/>
        <w:gridCol w:w="327"/>
        <w:gridCol w:w="196"/>
        <w:gridCol w:w="73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6" w:type="dxa"/>
            <w:gridSpan w:val="5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(Release)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Initial ACL - PCD loans </w:t>
            </w:r>
            <w:r>
              <w:rPr>
                <w:rFonts w:ascii="Times New Roman;serif" w:hAnsi="Times New Roman;serif"/>
                <w:b/>
                <w:color w:val="000000"/>
                <w:sz w:val="11"/>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(Release)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Equipment financing </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 -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5732" w:type="dxa"/>
        <w:jc w:val="left"/>
        <w:tblInd w:w="0" w:type="dxa"/>
        <w:tblLayout w:type="fixed"/>
        <w:tblCellMar>
          <w:top w:w="28" w:type="dxa"/>
          <w:left w:w="28" w:type="dxa"/>
          <w:bottom w:w="28" w:type="dxa"/>
          <w:right w:w="28" w:type="dxa"/>
        </w:tblCellMar>
      </w:tblPr>
      <w:tblGrid>
        <w:gridCol w:w="520"/>
        <w:gridCol w:w="272"/>
        <w:gridCol w:w="274"/>
        <w:gridCol w:w="109"/>
        <w:gridCol w:w="109"/>
        <w:gridCol w:w="109"/>
        <w:gridCol w:w="196"/>
        <w:gridCol w:w="736"/>
        <w:gridCol w:w="109"/>
        <w:gridCol w:w="109"/>
        <w:gridCol w:w="109"/>
        <w:gridCol w:w="109"/>
        <w:gridCol w:w="109"/>
        <w:gridCol w:w="109"/>
        <w:gridCol w:w="216"/>
        <w:gridCol w:w="729"/>
        <w:gridCol w:w="121"/>
        <w:gridCol w:w="109"/>
        <w:gridCol w:w="109"/>
        <w:gridCol w:w="109"/>
        <w:gridCol w:w="208"/>
        <w:gridCol w:w="591"/>
        <w:gridCol w:w="117"/>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661"/>
        <w:gridCol w:w="109"/>
        <w:gridCol w:w="109"/>
        <w:gridCol w:w="109"/>
        <w:gridCol w:w="109"/>
        <w:gridCol w:w="208"/>
        <w:gridCol w:w="591"/>
        <w:gridCol w:w="117"/>
        <w:gridCol w:w="109"/>
        <w:gridCol w:w="109"/>
        <w:gridCol w:w="109"/>
        <w:gridCol w:w="196"/>
        <w:gridCol w:w="646"/>
        <w:gridCol w:w="109"/>
        <w:gridCol w:w="327"/>
        <w:gridCol w:w="196"/>
        <w:gridCol w:w="73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6" w:type="dxa"/>
            <w:gridSpan w:val="5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413"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8" w:type="dxa"/>
            <w:gridSpan w:val="2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(Release)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Beginning</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Initial ACL - PCD loans </w:t>
            </w:r>
            <w:r>
              <w:rPr>
                <w:rFonts w:ascii="Times New Roman;serif" w:hAnsi="Times New Roman;serif"/>
                <w:b/>
                <w:color w:val="000000"/>
                <w:sz w:val="11"/>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Charge-</w:t>
              <w:br/>
              <w:t>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(Release)</w:t>
              <w:br/>
              <w:t>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Ending</w:t>
              <w:br/>
              <w:t>Balance</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Equipment financing </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 - unfunded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(27,437)</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9,196 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During the second quarter of 2026, the ACL on equipment financing loans reclassified as held for sale was released and the ACL related to retained equipment financing loans was reclassified to the commercial &amp; industrial line where these loan balances are reflected. </w:t>
      </w: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the initial ACL related to PCD loans acquired in the ANB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Derivatives and Hedging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derivative financial instruments, which are included in other assets and other liabilities on the consolidated balance sheet, as of the dates indicated.</w:t>
      </w:r>
    </w:p>
    <w:tbl>
      <w:tblPr>
        <w:tblW w:w="10205" w:type="dxa"/>
        <w:jc w:val="center"/>
        <w:tblInd w:w="0" w:type="dxa"/>
        <w:tblLayout w:type="fixed"/>
        <w:tblCellMar>
          <w:top w:w="28" w:type="dxa"/>
          <w:left w:w="28" w:type="dxa"/>
          <w:bottom w:w="28" w:type="dxa"/>
          <w:right w:w="28" w:type="dxa"/>
        </w:tblCellMar>
      </w:tblPr>
      <w:tblGrid>
        <w:gridCol w:w="728"/>
        <w:gridCol w:w="500"/>
        <w:gridCol w:w="504"/>
        <w:gridCol w:w="207"/>
        <w:gridCol w:w="921"/>
        <w:gridCol w:w="115"/>
        <w:gridCol w:w="109"/>
        <w:gridCol w:w="109"/>
        <w:gridCol w:w="109"/>
        <w:gridCol w:w="216"/>
        <w:gridCol w:w="712"/>
        <w:gridCol w:w="120"/>
        <w:gridCol w:w="109"/>
        <w:gridCol w:w="109"/>
        <w:gridCol w:w="109"/>
        <w:gridCol w:w="227"/>
        <w:gridCol w:w="749"/>
        <w:gridCol w:w="126"/>
        <w:gridCol w:w="109"/>
        <w:gridCol w:w="109"/>
        <w:gridCol w:w="109"/>
        <w:gridCol w:w="207"/>
        <w:gridCol w:w="921"/>
        <w:gridCol w:w="115"/>
        <w:gridCol w:w="109"/>
        <w:gridCol w:w="109"/>
        <w:gridCol w:w="109"/>
        <w:gridCol w:w="216"/>
        <w:gridCol w:w="712"/>
        <w:gridCol w:w="120"/>
        <w:gridCol w:w="109"/>
        <w:gridCol w:w="109"/>
        <w:gridCol w:w="109"/>
        <w:gridCol w:w="225"/>
        <w:gridCol w:w="745"/>
        <w:gridCol w:w="184"/>
      </w:tblGrid>
      <w:tr>
        <w:trPr/>
        <w:tc>
          <w:tcPr>
            <w:tcW w:w="72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24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 Liability</w:t>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 of subordinated debt</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 of trust preferred securities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Fair value hedges of AFS debt securities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hedges of loans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1,429,097 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2,805,009 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not designated as hedging instruments: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derivative positions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1,541,391 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32,841 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offsets to customer derivative positions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1,693,791 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1,541,391 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participations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 loan commitments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 forward sales commitment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Bifurcated embedded derivatives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offsets to bifurcated embedded derivatives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3,776,267 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3,425,664 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5,205,364 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6,230,673 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derivative instruments</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subject to master netting agreements</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collateral received/pledged</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amount</w:t>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38,584 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32,924 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Hedging Derivatives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Cash Flow Hedges of Interest Rate Risk</w:t>
      </w: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United utilizes interest rate caps and swaps to hedge the variability of cash flows due to changes in interest rates on certain of its variable-rate subordinated debt and trust preferred securities. Gains and losses related to changes in fair value of the hedges are reclassified into earnings in the periods the hedged forecasted transactions occur. Over the next twelve months, United expects to reclassify $693,000 of gains from AOCI into earnings related to its interest rate swap agreements.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2026, after providing redemption notice on the subordinated debt, United terminated the interest rate cap that had been designated as a hedge of that debt, because the redemption rendered the future cash flows no longer probable of occurring.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Fair Value Hedges of Interest Rate Risk</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uses interest rate derivatives to manage its exposure to changes in fair value attributable to changes in interest rates on certain of its fixed-rate financial instruments.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derivatives in hedging relationships, all of which are interest rate contracts, on earnings for the periods indicated.</w:t>
      </w:r>
    </w:p>
    <w:tbl>
      <w:tblPr>
        <w:tblW w:w="10205" w:type="dxa"/>
        <w:jc w:val="left"/>
        <w:tblInd w:w="0" w:type="dxa"/>
        <w:tblLayout w:type="fixed"/>
        <w:tblCellMar>
          <w:top w:w="28" w:type="dxa"/>
          <w:left w:w="28" w:type="dxa"/>
          <w:bottom w:w="28" w:type="dxa"/>
          <w:right w:w="28" w:type="dxa"/>
        </w:tblCellMar>
      </w:tblPr>
      <w:tblGrid>
        <w:gridCol w:w="858"/>
        <w:gridCol w:w="730"/>
        <w:gridCol w:w="737"/>
        <w:gridCol w:w="109"/>
        <w:gridCol w:w="109"/>
        <w:gridCol w:w="109"/>
        <w:gridCol w:w="935"/>
        <w:gridCol w:w="935"/>
        <w:gridCol w:w="938"/>
        <w:gridCol w:w="109"/>
        <w:gridCol w:w="109"/>
        <w:gridCol w:w="109"/>
        <w:gridCol w:w="196"/>
        <w:gridCol w:w="461"/>
        <w:gridCol w:w="109"/>
        <w:gridCol w:w="109"/>
        <w:gridCol w:w="109"/>
        <w:gridCol w:w="109"/>
        <w:gridCol w:w="196"/>
        <w:gridCol w:w="556"/>
        <w:gridCol w:w="109"/>
        <w:gridCol w:w="109"/>
        <w:gridCol w:w="109"/>
        <w:gridCol w:w="109"/>
        <w:gridCol w:w="196"/>
        <w:gridCol w:w="596"/>
        <w:gridCol w:w="109"/>
        <w:gridCol w:w="109"/>
        <w:gridCol w:w="109"/>
        <w:gridCol w:w="109"/>
        <w:gridCol w:w="196"/>
        <w:gridCol w:w="556"/>
        <w:gridCol w:w="157"/>
      </w:tblGrid>
      <w:tr>
        <w:trPr/>
        <w:tc>
          <w:tcPr>
            <w:tcW w:w="85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Affected Income Statement Line Item Increase/(Decrease) to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related to interest settlements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recognized on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gain recognized on hedged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recognized on AFS securities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revenue -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related to interest settlements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recognized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gain recognized on hedged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recognized on loan fair value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revenue - 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Amounts related to interest settlements on derivatives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long 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recognized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color w:val="000000"/>
        </w:rPr>
        <w:t>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premium amortization expense excluded from the assessment of hedge effectiveness of $118,000 for the three months ended June 30, 2025 and $97,000 and $234,000 for the six months ended June 30, 2026 and 2025, respectively. The cash flow hedge was terminated during the first quarter 2026 as a result of the redemption of the hedged subordinated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table below presents the carrying amount of hedged items and cumulative fair value hedging basis adjustments for the periods presented. All fair value hedges of AFS debt securities and loans at June 30, 2026</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December 31, 2025 were designated under the portfolio layer method.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4"/>
        <w:gridCol w:w="349"/>
        <w:gridCol w:w="352"/>
        <w:gridCol w:w="109"/>
        <w:gridCol w:w="109"/>
        <w:gridCol w:w="109"/>
        <w:gridCol w:w="207"/>
        <w:gridCol w:w="778"/>
        <w:gridCol w:w="115"/>
        <w:gridCol w:w="109"/>
        <w:gridCol w:w="109"/>
        <w:gridCol w:w="109"/>
        <w:gridCol w:w="286"/>
        <w:gridCol w:w="836"/>
        <w:gridCol w:w="161"/>
        <w:gridCol w:w="109"/>
        <w:gridCol w:w="109"/>
        <w:gridCol w:w="109"/>
        <w:gridCol w:w="216"/>
        <w:gridCol w:w="814"/>
        <w:gridCol w:w="120"/>
        <w:gridCol w:w="109"/>
        <w:gridCol w:w="109"/>
        <w:gridCol w:w="109"/>
        <w:gridCol w:w="207"/>
        <w:gridCol w:w="778"/>
        <w:gridCol w:w="115"/>
        <w:gridCol w:w="109"/>
        <w:gridCol w:w="109"/>
        <w:gridCol w:w="109"/>
        <w:gridCol w:w="291"/>
        <w:gridCol w:w="829"/>
        <w:gridCol w:w="163"/>
        <w:gridCol w:w="109"/>
        <w:gridCol w:w="109"/>
        <w:gridCol w:w="109"/>
        <w:gridCol w:w="215"/>
        <w:gridCol w:w="810"/>
        <w:gridCol w:w="177"/>
      </w:tblGrid>
      <w:tr>
        <w:trPr/>
        <w:tc>
          <w:tcPr>
            <w:tcW w:w="42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 Accounting Basis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Hedged Portfolio Layer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 Accounting Basis 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Portfolio Layer</w:t>
            </w:r>
          </w:p>
        </w:tc>
      </w:tr>
      <w:tr>
        <w:trPr/>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securities AFS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939,693 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634,097 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971,854 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785,009 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775,000 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3,556,859 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Carrying amount for AFS debt securities reflects amortized cost, which excludes the hedge accounting basis adjustment.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u w:val="single"/>
        </w:rPr>
        <w:t>Derivatives Not Designated as Hedging Instruments</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connection with residential mortgage loans that are originated with the intention of selling them, United enters into commitments to originate residential mortgage loans and forward loan sales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gains and losses recognized in income on derivatives not designated as hedging instruments for the periods indicated.</w:t>
      </w:r>
    </w:p>
    <w:tbl>
      <w:tblPr>
        <w:tblW w:w="10205" w:type="dxa"/>
        <w:jc w:val="left"/>
        <w:tblInd w:w="0" w:type="dxa"/>
        <w:tblLayout w:type="fixed"/>
        <w:tblCellMar>
          <w:top w:w="28" w:type="dxa"/>
          <w:left w:w="28" w:type="dxa"/>
          <w:bottom w:w="28" w:type="dxa"/>
          <w:right w:w="28" w:type="dxa"/>
        </w:tblCellMar>
      </w:tblPr>
      <w:tblGrid>
        <w:gridCol w:w="890"/>
        <w:gridCol w:w="680"/>
        <w:gridCol w:w="685"/>
        <w:gridCol w:w="109"/>
        <w:gridCol w:w="109"/>
        <w:gridCol w:w="109"/>
        <w:gridCol w:w="891"/>
        <w:gridCol w:w="891"/>
        <w:gridCol w:w="894"/>
        <w:gridCol w:w="109"/>
        <w:gridCol w:w="109"/>
        <w:gridCol w:w="109"/>
        <w:gridCol w:w="202"/>
        <w:gridCol w:w="574"/>
        <w:gridCol w:w="112"/>
        <w:gridCol w:w="112"/>
        <w:gridCol w:w="112"/>
        <w:gridCol w:w="112"/>
        <w:gridCol w:w="202"/>
        <w:gridCol w:w="574"/>
        <w:gridCol w:w="112"/>
        <w:gridCol w:w="112"/>
        <w:gridCol w:w="112"/>
        <w:gridCol w:w="112"/>
        <w:gridCol w:w="202"/>
        <w:gridCol w:w="574"/>
        <w:gridCol w:w="112"/>
        <w:gridCol w:w="112"/>
        <w:gridCol w:w="112"/>
        <w:gridCol w:w="112"/>
        <w:gridCol w:w="202"/>
        <w:gridCol w:w="574"/>
        <w:gridCol w:w="172"/>
      </w:tblGrid>
      <w:tr>
        <w:trPr/>
        <w:tc>
          <w:tcPr>
            <w:tcW w:w="89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Income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Income on Derivatives</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284" w:type="dxa"/>
            <w:gridSpan w:val="6"/>
            <w:tcBorders/>
          </w:tcPr>
          <w:p>
            <w:pPr>
              <w:pStyle w:val="TableContents"/>
              <w:bidi w:val="0"/>
              <w:spacing w:before="0" w:after="283"/>
              <w:jc w:val="left"/>
              <w:rPr>
                <w:sz w:val="4"/>
                <w:szCs w:val="4"/>
              </w:rPr>
            </w:pPr>
            <w:r>
              <w:rPr>
                <w:sz w:val="4"/>
                <w:szCs w:val="4"/>
              </w:rPr>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derivatives and dealer offsets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Bifurcated embedded derivatives and dealer offsets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gains and other 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u w:val="single"/>
        </w:rPr>
        <w:t>Credit-Risk-Related Contingent Features</w:t>
      </w: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Times New Roman;serif" w:hAnsi="Times New Roman;serif"/>
          <w:b/>
          <w:color w:val="000000"/>
          <w:sz w:val="20"/>
        </w:rPr>
      </w:pPr>
      <w:r>
        <w:rPr>
          <w:rFonts w:ascii="Times New Roman;serif" w:hAnsi="Times New Roman;serif"/>
          <w:b/>
          <w:color w:val="000000"/>
          <w:sz w:val="20"/>
        </w:rPr>
        <w:t xml:space="preserve">Note 7 – Assets and Liabilities Measured at Fair Value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Accounting standards define fair value as the price that would be received for an asset or paid to transfer a liability in the principal or most advantageous market available to the entity in an orderly transaction between market participants on the measurement date. Fair values are categorized within a three-level measurement hierarchy: </w:t>
      </w:r>
    </w:p>
    <w:p>
      <w:pPr>
        <w:pStyle w:val="TextBody"/>
        <w:bidi w:val="0"/>
        <w:spacing w:lineRule="auto" w:line="288" w:before="120" w:after="120"/>
        <w:jc w:val="both"/>
        <w:rPr/>
      </w:pPr>
      <w:r>
        <w:rPr>
          <w:rFonts w:ascii="Times New Roman;serif" w:hAnsi="Times New Roman;serif"/>
          <w:b w:val="false"/>
          <w:i/>
          <w:color w:val="000000"/>
          <w:sz w:val="20"/>
        </w:rPr>
        <w:t xml:space="preserve">Level 1 </w:t>
      </w:r>
      <w:r>
        <w:rPr>
          <w:rFonts w:ascii="Times New Roman;serif" w:hAnsi="Times New Roman;serif"/>
          <w:b w:val="false"/>
          <w:color w:val="000000"/>
          <w:sz w:val="20"/>
        </w:rPr>
        <w:t>Valuation is based upon quoted prices (unadjusted) in active markets for identical assets or liabilities that United has the ability to access.</w:t>
      </w:r>
    </w:p>
    <w:p>
      <w:pPr>
        <w:pStyle w:val="TextBody"/>
        <w:bidi w:val="0"/>
        <w:spacing w:lineRule="auto" w:line="288" w:before="120" w:after="120"/>
        <w:jc w:val="both"/>
        <w:rPr/>
      </w:pPr>
      <w:r>
        <w:rPr>
          <w:rFonts w:ascii="Times New Roman;serif" w:hAnsi="Times New Roman;serif"/>
          <w:b w:val="false"/>
          <w:i/>
          <w:color w:val="000000"/>
          <w:sz w:val="20"/>
        </w:rPr>
        <w:t xml:space="preserve">Level 2 </w:t>
      </w:r>
      <w:r>
        <w:rPr>
          <w:rFonts w:ascii="Times New Roman;serif" w:hAnsi="Times New Roman;serif"/>
          <w:b w:val="false"/>
          <w:color w:val="000000"/>
          <w:sz w:val="20"/>
        </w:rPr>
        <w:t>Valuation is based upon quoted prices for similar assets and liabilities in active markets, as well as inputs that are observable for the asset or liability (other than quoted prices), such as interest rates, foreign exchange rates, and yield curves that are observable at commonly quoted intervals.</w:t>
      </w:r>
    </w:p>
    <w:p>
      <w:pPr>
        <w:pStyle w:val="TextBody"/>
        <w:bidi w:val="0"/>
        <w:spacing w:lineRule="auto" w:line="288" w:before="120" w:after="283"/>
        <w:jc w:val="both"/>
        <w:rPr/>
      </w:pPr>
      <w:r>
        <w:rPr>
          <w:rFonts w:ascii="Times New Roman;serif" w:hAnsi="Times New Roman;serif"/>
          <w:b w:val="false"/>
          <w:i/>
          <w:color w:val="000000"/>
          <w:sz w:val="20"/>
        </w:rPr>
        <w:t xml:space="preserve">Level 3 </w:t>
      </w:r>
      <w:r>
        <w:rPr>
          <w:rFonts w:ascii="Times New Roman;serif" w:hAnsi="Times New Roman;serif"/>
          <w:b w:val="false"/>
          <w:color w:val="000000"/>
          <w:sz w:val="20"/>
        </w:rPr>
        <w:t>Valuation is generated from model-based techniques that use at least one significant assumption based on unobservable inputs for the asset or liability, which are typically based on an entity’s own assumptions, as there is little, if any, related market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has processes in place to review the significant valuation inputs and to assess on a quarterly basis how instruments are classified within the valuation framework. Transfers into or out of fair value hierarchy levels are made as the observability of input assumptions change. During the six months ended June 30, 2026, there were no changes to valuation approaches or techniques that warranted a hierarchy level change.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Assets and Liabilities Measured at Fair Value on a 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United’s assets and liabilities measured at fair value on a recurring basis as of the dates indicated, aggregated by the level in the fair value hierarchy within which those measurements fall.</w:t>
      </w:r>
    </w:p>
    <w:tbl>
      <w:tblPr>
        <w:tblW w:w="8577" w:type="dxa"/>
        <w:jc w:val="left"/>
        <w:tblInd w:w="0" w:type="dxa"/>
        <w:tblLayout w:type="fixed"/>
        <w:tblCellMar>
          <w:top w:w="28" w:type="dxa"/>
          <w:left w:w="28" w:type="dxa"/>
          <w:bottom w:w="28" w:type="dxa"/>
          <w:right w:w="28" w:type="dxa"/>
        </w:tblCellMar>
      </w:tblPr>
      <w:tblGrid>
        <w:gridCol w:w="1041"/>
        <w:gridCol w:w="916"/>
        <w:gridCol w:w="923"/>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rights for SBA/USDA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3,744,652 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4,351,682 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8577" w:type="dxa"/>
        <w:jc w:val="left"/>
        <w:tblInd w:w="0" w:type="dxa"/>
        <w:tblLayout w:type="fixed"/>
        <w:tblCellMar>
          <w:top w:w="28" w:type="dxa"/>
          <w:left w:w="28" w:type="dxa"/>
          <w:bottom w:w="28" w:type="dxa"/>
          <w:right w:w="28" w:type="dxa"/>
        </w:tblCellMar>
      </w:tblPr>
      <w:tblGrid>
        <w:gridCol w:w="1041"/>
        <w:gridCol w:w="916"/>
        <w:gridCol w:w="923"/>
        <w:gridCol w:w="109"/>
        <w:gridCol w:w="109"/>
        <w:gridCol w:w="109"/>
        <w:gridCol w:w="196"/>
        <w:gridCol w:w="736"/>
        <w:gridCol w:w="109"/>
        <w:gridCol w:w="109"/>
        <w:gridCol w:w="109"/>
        <w:gridCol w:w="109"/>
        <w:gridCol w:w="196"/>
        <w:gridCol w:w="871"/>
        <w:gridCol w:w="109"/>
        <w:gridCol w:w="109"/>
        <w:gridCol w:w="109"/>
        <w:gridCol w:w="109"/>
        <w:gridCol w:w="196"/>
        <w:gridCol w:w="646"/>
        <w:gridCol w:w="109"/>
        <w:gridCol w:w="109"/>
        <w:gridCol w:w="109"/>
        <w:gridCol w:w="109"/>
        <w:gridCol w:w="196"/>
        <w:gridCol w:w="871"/>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agencies &amp; GSEs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political subdivisions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MBS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Mutual funds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rights for SBA/USDA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servicing rights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3,325,849 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3,897,827 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Level 3 Fair Value Measurements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significant unobservable inputs related to United’s material categories of Level 3 financial instruments measured at fair value on a recurring basis as of the dates indicated.</w:t>
      </w:r>
    </w:p>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576"/>
        <w:gridCol w:w="489"/>
        <w:gridCol w:w="493"/>
        <w:gridCol w:w="109"/>
        <w:gridCol w:w="109"/>
        <w:gridCol w:w="109"/>
        <w:gridCol w:w="398"/>
        <w:gridCol w:w="398"/>
        <w:gridCol w:w="399"/>
        <w:gridCol w:w="109"/>
        <w:gridCol w:w="109"/>
        <w:gridCol w:w="109"/>
        <w:gridCol w:w="555"/>
        <w:gridCol w:w="555"/>
        <w:gridCol w:w="557"/>
        <w:gridCol w:w="109"/>
        <w:gridCol w:w="109"/>
        <w:gridCol w:w="109"/>
        <w:gridCol w:w="256"/>
        <w:gridCol w:w="256"/>
        <w:gridCol w:w="258"/>
        <w:gridCol w:w="115"/>
        <w:gridCol w:w="115"/>
        <w:gridCol w:w="115"/>
        <w:gridCol w:w="357"/>
        <w:gridCol w:w="357"/>
        <w:gridCol w:w="358"/>
        <w:gridCol w:w="109"/>
        <w:gridCol w:w="109"/>
        <w:gridCol w:w="109"/>
        <w:gridCol w:w="256"/>
        <w:gridCol w:w="256"/>
        <w:gridCol w:w="258"/>
        <w:gridCol w:w="129"/>
        <w:gridCol w:w="129"/>
        <w:gridCol w:w="129"/>
        <w:gridCol w:w="327"/>
        <w:gridCol w:w="327"/>
        <w:gridCol w:w="479"/>
      </w:tblGrid>
      <w:tr>
        <w:trPr/>
        <w:tc>
          <w:tcPr>
            <w:tcW w:w="57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Range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servicing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9.0% - 13.2%</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9.5% - 12.5%</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9.6%</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5.0 - 24.6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5.5 - 25.3</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w:t>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 mortgage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Pull through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77.0 - 100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60.0 - 100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91.6</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assets and liabilities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priced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Dealer priced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the beginning and ending balances of Level 3 assets and liabilities measured at fair value on a recurring basis for the periods indicated.</w:t>
      </w:r>
    </w:p>
    <w:tbl>
      <w:tblPr>
        <w:tblW w:w="15865" w:type="dxa"/>
        <w:jc w:val="left"/>
        <w:tblInd w:w="0" w:type="dxa"/>
        <w:tblLayout w:type="fixed"/>
        <w:tblCellMar>
          <w:top w:w="28" w:type="dxa"/>
          <w:left w:w="28" w:type="dxa"/>
          <w:bottom w:w="28" w:type="dxa"/>
          <w:right w:w="28" w:type="dxa"/>
        </w:tblCellMar>
      </w:tblPr>
      <w:tblGrid>
        <w:gridCol w:w="434"/>
        <w:gridCol w:w="263"/>
        <w:gridCol w:w="264"/>
        <w:gridCol w:w="198"/>
        <w:gridCol w:w="562"/>
        <w:gridCol w:w="111"/>
        <w:gridCol w:w="109"/>
        <w:gridCol w:w="109"/>
        <w:gridCol w:w="109"/>
        <w:gridCol w:w="198"/>
        <w:gridCol w:w="562"/>
        <w:gridCol w:w="111"/>
        <w:gridCol w:w="109"/>
        <w:gridCol w:w="109"/>
        <w:gridCol w:w="109"/>
        <w:gridCol w:w="196"/>
        <w:gridCol w:w="556"/>
        <w:gridCol w:w="109"/>
        <w:gridCol w:w="109"/>
        <w:gridCol w:w="109"/>
        <w:gridCol w:w="109"/>
        <w:gridCol w:w="196"/>
        <w:gridCol w:w="646"/>
        <w:gridCol w:w="109"/>
        <w:gridCol w:w="109"/>
        <w:gridCol w:w="109"/>
        <w:gridCol w:w="109"/>
        <w:gridCol w:w="235"/>
        <w:gridCol w:w="505"/>
        <w:gridCol w:w="131"/>
        <w:gridCol w:w="109"/>
        <w:gridCol w:w="109"/>
        <w:gridCol w:w="109"/>
        <w:gridCol w:w="256"/>
        <w:gridCol w:w="727"/>
        <w:gridCol w:w="143"/>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8"/>
        <w:gridCol w:w="562"/>
        <w:gridCol w:w="111"/>
        <w:gridCol w:w="327"/>
        <w:gridCol w:w="253"/>
        <w:gridCol w:w="718"/>
        <w:gridCol w:w="200"/>
      </w:tblGrid>
      <w:tr>
        <w:trPr/>
        <w:tc>
          <w:tcPr>
            <w:tcW w:w="4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SBA/USDA Loan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Mortgage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Bonds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SBA/USDA Loan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Residential Mortgage Servicing Rights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Bonds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Receivable</w:t>
            </w:r>
          </w:p>
        </w:tc>
      </w:tr>
      <w:tr>
        <w:trPr/>
        <w:tc>
          <w:tcPr>
            <w:tcW w:w="303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settlements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adjustments included in OCI</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adjustments included in earnings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1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settlements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adjustments included in OCI</w:t>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adjustments included in earnings</w:t>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9,711 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7,297 </w:t>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Fair Value Option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tbl>
      <w:tblPr>
        <w:tblW w:w="5946" w:type="dxa"/>
        <w:jc w:val="left"/>
        <w:tblInd w:w="0" w:type="dxa"/>
        <w:tblLayout w:type="fixed"/>
        <w:tblCellMar>
          <w:top w:w="28" w:type="dxa"/>
          <w:left w:w="28" w:type="dxa"/>
          <w:bottom w:w="28" w:type="dxa"/>
          <w:right w:w="28" w:type="dxa"/>
        </w:tblCellMar>
      </w:tblPr>
      <w:tblGrid>
        <w:gridCol w:w="124"/>
        <w:gridCol w:w="109"/>
        <w:gridCol w:w="109"/>
        <w:gridCol w:w="734"/>
        <w:gridCol w:w="734"/>
        <w:gridCol w:w="737"/>
        <w:gridCol w:w="238"/>
        <w:gridCol w:w="785"/>
        <w:gridCol w:w="132"/>
        <w:gridCol w:w="109"/>
        <w:gridCol w:w="109"/>
        <w:gridCol w:w="109"/>
        <w:gridCol w:w="318"/>
        <w:gridCol w:w="1050"/>
        <w:gridCol w:w="1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Mortgage Loans Held for Sale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principal balance</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086" w:type="dxa"/>
        <w:jc w:val="center"/>
        <w:tblInd w:w="0" w:type="dxa"/>
        <w:tblLayout w:type="fixed"/>
        <w:tblCellMar>
          <w:top w:w="28" w:type="dxa"/>
          <w:left w:w="28" w:type="dxa"/>
          <w:bottom w:w="28" w:type="dxa"/>
          <w:right w:w="28" w:type="dxa"/>
        </w:tblCellMar>
      </w:tblPr>
      <w:tblGrid>
        <w:gridCol w:w="124"/>
        <w:gridCol w:w="1180"/>
        <w:gridCol w:w="1180"/>
        <w:gridCol w:w="1195"/>
        <w:gridCol w:w="261"/>
        <w:gridCol w:w="561"/>
        <w:gridCol w:w="145"/>
        <w:gridCol w:w="145"/>
        <w:gridCol w:w="145"/>
        <w:gridCol w:w="145"/>
        <w:gridCol w:w="261"/>
        <w:gridCol w:w="541"/>
        <w:gridCol w:w="145"/>
        <w:gridCol w:w="145"/>
        <w:gridCol w:w="145"/>
        <w:gridCol w:w="145"/>
        <w:gridCol w:w="261"/>
        <w:gridCol w:w="561"/>
        <w:gridCol w:w="145"/>
        <w:gridCol w:w="145"/>
        <w:gridCol w:w="145"/>
        <w:gridCol w:w="145"/>
        <w:gridCol w:w="261"/>
        <w:gridCol w:w="661"/>
        <w:gridCol w:w="145"/>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880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(Loss) from Change in Fair Value on Mortgage Loans Held for Sale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w:t>
            </w:r>
          </w:p>
        </w:tc>
        <w:tc>
          <w:tcPr>
            <w:tcW w:w="2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 gains and other related fees</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fair value were mostly offset by hedging activities. An immaterial portion of these amounts was attributable to changes in instrument-specific credit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Assets and Liabilities Measured at Fair Value on a Nonrecurring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June 30, 2026 and December 31, 2025, for which a nonrecurring fair value adjustment was recorded during the year-to-date periods presented.</w:t>
      </w:r>
    </w:p>
    <w:tbl>
      <w:tblPr>
        <w:tblW w:w="7296" w:type="dxa"/>
        <w:jc w:val="left"/>
        <w:tblInd w:w="0" w:type="dxa"/>
        <w:tblLayout w:type="fixed"/>
        <w:tblCellMar>
          <w:top w:w="28" w:type="dxa"/>
          <w:left w:w="28" w:type="dxa"/>
          <w:bottom w:w="28" w:type="dxa"/>
          <w:right w:w="28" w:type="dxa"/>
        </w:tblCellMar>
      </w:tblPr>
      <w:tblGrid>
        <w:gridCol w:w="124"/>
        <w:gridCol w:w="109"/>
        <w:gridCol w:w="109"/>
        <w:gridCol w:w="649"/>
        <w:gridCol w:w="649"/>
        <w:gridCol w:w="652"/>
        <w:gridCol w:w="109"/>
        <w:gridCol w:w="109"/>
        <w:gridCol w:w="109"/>
        <w:gridCol w:w="196"/>
        <w:gridCol w:w="40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Loans held for investment that are reported above are generally impaired loans that have either been partially charged off or have specific reserves assigned to them.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Assets and Liabilities Not Measured at Fair Value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disclosure provides estimated fair values for financial instruments not carried at fair value on the Consolidated Balance Sheets. 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94"/>
        <w:gridCol w:w="865"/>
        <w:gridCol w:w="871"/>
        <w:gridCol w:w="109"/>
        <w:gridCol w:w="109"/>
        <w:gridCol w:w="109"/>
        <w:gridCol w:w="236"/>
        <w:gridCol w:w="1051"/>
        <w:gridCol w:w="131"/>
        <w:gridCol w:w="109"/>
        <w:gridCol w:w="109"/>
        <w:gridCol w:w="109"/>
        <w:gridCol w:w="196"/>
        <w:gridCol w:w="646"/>
        <w:gridCol w:w="109"/>
        <w:gridCol w:w="109"/>
        <w:gridCol w:w="109"/>
        <w:gridCol w:w="109"/>
        <w:gridCol w:w="196"/>
        <w:gridCol w:w="871"/>
        <w:gridCol w:w="109"/>
        <w:gridCol w:w="109"/>
        <w:gridCol w:w="109"/>
        <w:gridCol w:w="109"/>
        <w:gridCol w:w="312"/>
        <w:gridCol w:w="649"/>
        <w:gridCol w:w="109"/>
        <w:gridCol w:w="109"/>
        <w:gridCol w:w="109"/>
        <w:gridCol w:w="109"/>
        <w:gridCol w:w="196"/>
        <w:gridCol w:w="871"/>
        <w:gridCol w:w="158"/>
      </w:tblGrid>
      <w:tr>
        <w:trPr/>
        <w:tc>
          <w:tcPr>
            <w:tcW w:w="99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Level</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HTM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1,848,900 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17,855,425 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17,654,529 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17,654,529 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 receivables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1,909,186 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1,976,108 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23,724,209 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23,721,723 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HTM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2,237,356 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1,918,426 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and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19,173,888 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18,651,481 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23,798,430 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23,790,107 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Reclassifications Out of AOCI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regarding amounts reclassified out of AOCI for the periods indicated. Amounts shown in parentheses reduce earnings.</w:t>
      </w:r>
    </w:p>
    <w:tbl>
      <w:tblPr>
        <w:tblW w:w="10205" w:type="dxa"/>
        <w:jc w:val="left"/>
        <w:tblInd w:w="0" w:type="dxa"/>
        <w:tblLayout w:type="fixed"/>
        <w:tblCellMar>
          <w:top w:w="28" w:type="dxa"/>
          <w:left w:w="28" w:type="dxa"/>
          <w:bottom w:w="28" w:type="dxa"/>
          <w:right w:w="28" w:type="dxa"/>
        </w:tblCellMar>
      </w:tblPr>
      <w:tblGrid>
        <w:gridCol w:w="753"/>
        <w:gridCol w:w="599"/>
        <w:gridCol w:w="581"/>
        <w:gridCol w:w="109"/>
        <w:gridCol w:w="109"/>
        <w:gridCol w:w="109"/>
        <w:gridCol w:w="196"/>
        <w:gridCol w:w="599"/>
        <w:gridCol w:w="109"/>
        <w:gridCol w:w="109"/>
        <w:gridCol w:w="109"/>
        <w:gridCol w:w="109"/>
        <w:gridCol w:w="196"/>
        <w:gridCol w:w="599"/>
        <w:gridCol w:w="109"/>
        <w:gridCol w:w="109"/>
        <w:gridCol w:w="109"/>
        <w:gridCol w:w="109"/>
        <w:gridCol w:w="196"/>
        <w:gridCol w:w="599"/>
        <w:gridCol w:w="109"/>
        <w:gridCol w:w="109"/>
        <w:gridCol w:w="109"/>
        <w:gridCol w:w="109"/>
        <w:gridCol w:w="196"/>
        <w:gridCol w:w="599"/>
        <w:gridCol w:w="109"/>
        <w:gridCol w:w="109"/>
        <w:gridCol w:w="109"/>
        <w:gridCol w:w="109"/>
        <w:gridCol w:w="881"/>
        <w:gridCol w:w="881"/>
        <w:gridCol w:w="1259"/>
      </w:tblGrid>
      <w:tr>
        <w:trPr/>
        <w:tc>
          <w:tcPr>
            <w:tcW w:w="75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5810" w:type="dxa"/>
            <w:gridSpan w:val="18"/>
            <w:tcBorders/>
          </w:tcPr>
          <w:p>
            <w:pPr>
              <w:pStyle w:val="TableContents"/>
              <w:bidi w:val="0"/>
              <w:spacing w:before="0" w:after="283"/>
              <w:jc w:val="left"/>
              <w:rPr>
                <w:sz w:val="4"/>
                <w:szCs w:val="4"/>
              </w:rPr>
            </w:pPr>
            <w:r>
              <w:rPr>
                <w:sz w:val="4"/>
                <w:szCs w:val="4"/>
              </w:rPr>
            </w:r>
          </w:p>
        </w:tc>
      </w:tr>
      <w:tr>
        <w:trPr/>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Details about AOCI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Affected Line Item in the Statement Where Net Income is Presented</w:t>
            </w:r>
          </w:p>
        </w:tc>
      </w:tr>
      <w:tr>
        <w:trPr/>
        <w:tc>
          <w:tcPr>
            <w:tcW w:w="193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net (losses) gains on AFS securities:</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(losses) gains, net</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unrealized losses on HTM securities reclassified from AFS:</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 interest revenue</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Reclassifications related to derivative instruments accounted for as cash flow hedges:</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interest expense</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terminated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7041" w:type="dxa"/>
            <w:gridSpan w:val="24"/>
            <w:tcBorders/>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685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defined benefit pension plan net periodic pension cost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 expense</w:t>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21"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 Earnings Per Share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periods indicated.</w:t>
      </w:r>
    </w:p>
    <w:tbl>
      <w:tblPr>
        <w:tblW w:w="8584" w:type="dxa"/>
        <w:jc w:val="left"/>
        <w:tblInd w:w="0" w:type="dxa"/>
        <w:tblLayout w:type="fixed"/>
        <w:tblCellMar>
          <w:top w:w="28" w:type="dxa"/>
          <w:left w:w="28" w:type="dxa"/>
          <w:bottom w:w="28" w:type="dxa"/>
          <w:right w:w="28" w:type="dxa"/>
        </w:tblCellMar>
      </w:tblPr>
      <w:tblGrid>
        <w:gridCol w:w="124"/>
        <w:gridCol w:w="1119"/>
        <w:gridCol w:w="1119"/>
        <w:gridCol w:w="1122"/>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data)</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to common shareholders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146,150 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United had no potentially dilutive instruments outstanding that were not included in the above analysis.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Regulatory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June 30, 2026, and there have been no conditions or events since quarter-end that would change the status of well-capitalized.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capital ratios at June 30, 2026 and December 31, 2025, along with the minimum amounts required for capital adequacy purposes and to be well-capitalized under regulatory requirements in effect at such times, are presented below for United and the Bank:</w:t>
      </w:r>
    </w:p>
    <w:tbl>
      <w:tblPr>
        <w:tblW w:w="10320" w:type="dxa"/>
        <w:jc w:val="left"/>
        <w:tblInd w:w="0" w:type="dxa"/>
        <w:tblLayout w:type="fixed"/>
        <w:tblCellMar>
          <w:top w:w="28" w:type="dxa"/>
          <w:left w:w="28" w:type="dxa"/>
          <w:bottom w:w="28" w:type="dxa"/>
          <w:right w:w="28" w:type="dxa"/>
        </w:tblCellMar>
      </w:tblPr>
      <w:tblGrid>
        <w:gridCol w:w="610"/>
        <w:gridCol w:w="272"/>
        <w:gridCol w:w="274"/>
        <w:gridCol w:w="109"/>
        <w:gridCol w:w="109"/>
        <w:gridCol w:w="109"/>
        <w:gridCol w:w="200"/>
        <w:gridCol w:w="200"/>
        <w:gridCol w:w="471"/>
        <w:gridCol w:w="109"/>
        <w:gridCol w:w="109"/>
        <w:gridCol w:w="109"/>
        <w:gridCol w:w="233"/>
        <w:gridCol w:w="233"/>
        <w:gridCol w:w="528"/>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1"/>
      </w:tblGrid>
      <w:tr>
        <w:trPr/>
        <w:tc>
          <w:tcPr>
            <w:tcW w:w="6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Banks, Inc.</w:t>
              <w:b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Minimum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Risk-based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2,938,418 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2,617,330 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2,938,418 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2,617,330 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2,582,475 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3,143,672 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3,104,806 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21,712,100 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21,019,967 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21,643,191 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20,931,562 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total assets for the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27,563,618 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27,469,241 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27,498,299 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27,401,675 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As of June 30, 2026 and December 31, 2025, the minimum ratios as presented were subject to an additional capital conservation buffer of 2.50%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COMMUNITY BANKS,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120" w:after="12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is party to financial instruments with off-balance sheet risk in the normal course of business to meet the financing needs of its customers. These financial instruments include commitments to extend credit and letters of credit. United uses the same credit policies in making commitments and conditional obligations as it uses for underwriting on-balance sheet instruments. In most cases, collateral or other security is required to support financial instruments with credit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amount of significant off-balance sheet instruments as of the dates indicated.</w:t>
      </w:r>
    </w:p>
    <w:tbl>
      <w:tblPr>
        <w:tblW w:w="7967" w:type="dxa"/>
        <w:jc w:val="left"/>
        <w:tblInd w:w="0" w:type="dxa"/>
        <w:tblLayout w:type="fixed"/>
        <w:tblCellMar>
          <w:top w:w="28" w:type="dxa"/>
          <w:left w:w="28" w:type="dxa"/>
          <w:bottom w:w="28" w:type="dxa"/>
          <w:right w:w="28" w:type="dxa"/>
        </w:tblCellMar>
      </w:tblPr>
      <w:tblGrid>
        <w:gridCol w:w="1764"/>
        <w:gridCol w:w="1549"/>
        <w:gridCol w:w="1562"/>
        <w:gridCol w:w="196"/>
        <w:gridCol w:w="871"/>
        <w:gridCol w:w="109"/>
        <w:gridCol w:w="109"/>
        <w:gridCol w:w="109"/>
        <w:gridCol w:w="109"/>
        <w:gridCol w:w="255"/>
        <w:gridCol w:w="1134"/>
        <w:gridCol w:w="200"/>
      </w:tblGrid>
      <w:tr>
        <w:trPr/>
        <w:tc>
          <w:tcPr>
            <w:tcW w:w="176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whose contract amounts represent credit risk:</w:t>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to extend credit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4,732,083 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Letters of credit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53,008 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Long-term Debt and Other Borrowings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Holding Company had $20.6 million and $120 million of long-term debt outstanding, respectively. During the second quarter of 2026, the Holding Company redeemed its $100 million 2028 subordinated debenture prior to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Bank had short-term borrowings outstanding of $360 million and $85.0 million, respectively, which consisted of federal funds 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Bank had FHLB borrowings of $800 million outstanding with maturity dates in July 2026. There were no FHLB borrowings outstanding at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Subsequent Events</w:t>
      </w:r>
    </w:p>
    <w:p>
      <w:pPr>
        <w:pStyle w:val="TextBody"/>
        <w:bidi w:val="0"/>
        <w:spacing w:lineRule="auto" w:line="288" w:before="100" w:after="283"/>
        <w:jc w:val="both"/>
        <w:rPr>
          <w:rFonts w:ascii="Times New Roman;serif" w:hAnsi="Times New Roman;serif"/>
          <w:b/>
          <w:color w:val="000000"/>
          <w:sz w:val="20"/>
          <w:u w:val="single"/>
        </w:rPr>
      </w:pPr>
      <w:r>
        <w:rPr>
          <w:rFonts w:ascii="Times New Roman;serif" w:hAnsi="Times New Roman;serif"/>
          <w:b/>
          <w:color w:val="000000"/>
          <w:sz w:val="20"/>
          <w:u w:val="single"/>
        </w:rPr>
        <w:t>Acquisition of Peach State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Subsequent to quarter end, on August 1, 2026, United completed the previously announced acquisition of Peach State Bancshares, Inc. and its wholly-owned subsidiary, Peach State Bank &amp; Trust (collectively, “Peach State”), headquartered in Gainesville, Georgia. As of June 30, 2026, Peach State Bank &amp; Trust reported total assets of $786 million, with total loans of $523 million and total deposits of $707 million.</w:t>
      </w:r>
    </w:p>
    <w:p>
      <w:pPr>
        <w:pStyle w:val="TextBody"/>
        <w:bidi w:val="0"/>
        <w:spacing w:before="100" w:after="283"/>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Peach State shareholders received $103 million in total consideration, of which $54.8 million was cash and $47.9 million, or 1,346,821 shares, was United common stock. The acquisition will be accounted for as a business combination. Due to the timing of the acquisition, United is currently in the process of completing the purchase accounting and will make all of the remaining required disclosures as of September 30, 2026.</w:t>
      </w:r>
    </w:p>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color w:val="000000"/>
          <w:sz w:val="20"/>
          <w:u w:val="single"/>
        </w:rPr>
      </w:pPr>
      <w:r>
        <w:rPr>
          <w:rFonts w:ascii="Times New Roman;serif" w:hAnsi="Times New Roman;serif"/>
          <w:b/>
          <w:color w:val="000000"/>
          <w:sz w:val="20"/>
          <w:u w:val="single"/>
        </w:rPr>
        <w:t>Common Stock Repurchases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2026, through August 3, 2026, United repurchased 546,832 shares of common stock for $19.3 million in accordance with its common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our financial condition at June 30, 2026 and December 31, 2025 and our results of operations for the three and six months ended June 30, 2026 and 2025.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beginning on page 4 of this Report and the risk factors discussed in our Item 1A. of our 2025 10-K and in Part II, Item IA.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in this Report, the terms “we,” “our,” “us” refer to United on a consolidated basis.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Reconciliation and Explanation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“return on common equity – operating,” “return on tangible common equity – operating,” and “return on assets – operating,” “efficiency ratio – operating” and “tangible common equity to tangible assets.” We have developed internal policies and procedures to accurately capture and account for merger-related and other charges we consider to be non-operating or non-recurring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16 of MD&amp;A.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Executive Overview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offer a wide array of commercial and consumer banking services and investment advisory solutions through a network of 200 banking offices in Georgia, South Carolina, North Carolina, Tennessee, Florida and Alabama. Our equipment finance and SBA/USDA lending businesses operate throughout the United States. At June 30, 2026, we had consolidated total assets of $29.1 billion and 3,141 full-time equivalent employees.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June 11, 2026, we entered into a definitive stock purchase agreement to sell Navitas, the Bank’s equipment financing subsidiary. The sale of Navitas, which is expected to close in the third quarter of 2026, reflects our strategic decision to focus on our core relationship banking business while enhancing liquidity and capital strength. As a result of the decision to sell Navitas, $1.91 billion in equipment financing receivables were reclassified to held for sale during the second quarter of 2026. After the close of the sale, we will consider future plans for the redeployment of capital and liquidity resulting from the sale, which, subject to market conditions, could include continued organic loan growth, share repurchases, balance sheet optimization and/or strategic mergers and acquisitions. For additional information on the disposition, see Form 8-K filed on June 12,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quarter end, on August 1, 2026, we closed on the previously announced acquisition of Peach State, headquartered in Gainesville, Georgia. As of June 30, 2026, Peach State Bank &amp; Trust reported total assets of $786 million, with total loans of $523 million and total deposits of $707 million. We expect the merger will strengthen our existing presence in the Gainesville, Georgia MSA. See Note 13 in the Notes to the Financial Statements for further detail.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reported net income and diluted earnings per common share of $116 million and $0.95, respectively, for the second quarter of 2026, compared to $78.7 million and $0.63, respectively, for the same period in 2025. For the six months ended June 30, 2026, we reported net income and diluted earnings per common share of $200 million and $1.65, respectively, compared to $150 million and $1.21, respectively, in the same periods of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income - operating for the second quarter and first six months of 2026 was $86.4 million and $171 million, respectively. Net income - operating for the second quarter of 2026 notably excludes the $38.5 million release of the ACL on equipment financing loans as a result of the Navitas sale mentioned above. Net income - operating for the six months ended June 30, 2026 also excludes a $6.70 million one-time payroll transition bonus and a $5.18 million gain on a terminated cash flow hedge. See Table 17 of MD&amp;A for the Non-GAAP Performance Measures Reconciliation for further detail.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reported total revenue for the second quarter and first six months of 2026 of $279 million and $556 million, respectively, compared to $260 million and $508 million for the same periods in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FTE net interest revenue for the second quarter and first six months of 2026 was $242 million and $476 million, respectively, compared to $227 million and $440 million, respectively, for the same periods of 2025. The increase in net interest revenue was mostly driven by lower deposit interest expense. Net interest margin for the second quarter and first six months of 2026 increased to 3.68% and 3.66%, respectively, from 3.50% and 3.43%, respectively, for the comparable 2025 periods. The increases in net interest margin were primarily due to the larger decrease in interest rates paid on deposits compared to the decrease in interest rates earned on loans following aggregate reductions of 75 basis points in the federal funds rate over the past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income of $38.4 million and $82.1 million for the second quarter and first six months of 2026 increased by $3.67 million and $11.8 million, respectively, compared to the same periods of 2025. The increases were driven by increases in mortgage loan gains and other related fees and higher unrealized gains on our other investment portfolio, particularly relating to our mutual funds, fintech and limited partnership investments. The six months ended June 30, 2026 also included a $5.18 million gain on a terminated cash flow hedge in the first quarter.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negative provisions for credit losses of $29.8 million and $19.0 million for the second quarter and first six months of 2026, respectively, reflecting the release of the ACL related to the equipment finance portfolio.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Noninterest expenses of $160 million and $317 million in the second quarter and first six months of 2026, respectively, were up 8% and 10%, respectively, compared to the same periods of 2025. Salaries and employee benefits expense was the primary driver of the increase, reflecting an increase in full time equivalent employees of 3% since June 30, 2025, which reflects our current strategic hiring plan, annual merit increases that went in effect April 1, 2026, higher incentive compensation and higher group medical costs. The six months ended June 30, 2026 also includes a $6.70 million first quarter one-time payroll transition bonus paid to employees when we began paying employees bi-weekly in arrears.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Results for the second quarter and first six months of 2026 are discussed in further detail throughout the following sections of MD&amp;A.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3121" w:type="dxa"/>
        <w:jc w:val="left"/>
        <w:tblInd w:w="0" w:type="dxa"/>
        <w:tblLayout w:type="fixed"/>
        <w:tblCellMar>
          <w:top w:w="28" w:type="dxa"/>
          <w:left w:w="28" w:type="dxa"/>
          <w:bottom w:w="28" w:type="dxa"/>
          <w:right w:w="28" w:type="dxa"/>
        </w:tblCellMar>
      </w:tblPr>
      <w:tblGrid>
        <w:gridCol w:w="764"/>
        <w:gridCol w:w="263"/>
        <w:gridCol w:w="264"/>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255"/>
        <w:gridCol w:w="151"/>
        <w:gridCol w:w="314"/>
        <w:gridCol w:w="109"/>
        <w:gridCol w:w="109"/>
        <w:gridCol w:w="109"/>
        <w:gridCol w:w="181"/>
        <w:gridCol w:w="661"/>
        <w:gridCol w:w="226"/>
        <w:gridCol w:w="109"/>
        <w:gridCol w:w="109"/>
        <w:gridCol w:w="109"/>
        <w:gridCol w:w="181"/>
        <w:gridCol w:w="661"/>
        <w:gridCol w:w="226"/>
        <w:gridCol w:w="109"/>
        <w:gridCol w:w="109"/>
        <w:gridCol w:w="109"/>
        <w:gridCol w:w="222"/>
        <w:gridCol w:w="184"/>
        <w:gridCol w:w="360"/>
      </w:tblGrid>
      <w:tr>
        <w:trPr/>
        <w:tc>
          <w:tcPr>
            <w:tcW w:w="7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67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COMMUNITY BANKS,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Table 1 - Financial Highlights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(dollars 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Second Quarter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2026 - 2025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YTD Change</w:t>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Second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Second</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SUMMARY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333,961 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346,367 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347,365 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678,332 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245,170 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240,900 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232,764 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237,926 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233,629 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225,531 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473,664 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437,552 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279,280 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276,510 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278,388 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276,848 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260,239 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555,790 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507,916 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149,168 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108,355 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118,073 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100,502 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257,523 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191,661 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115,638 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84,289 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86,455 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91,494 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78,733 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199,927 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150,146 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Non-operating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of non-operating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Net income - operating </w:t>
            </w:r>
            <w:r>
              <w:rPr>
                <w:rFonts w:ascii="Times New Roman;serif" w:hAnsi="Times New Roman;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86,403</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84,684</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86,928</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94,211</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82,519</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171,087</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154,948</w:t>
            </w:r>
            <w:r>
              <w:rPr>
                <w:color w:val="000000"/>
              </w:rPr>
              <w:t>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net income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net income - operating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Book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book value </w:t>
            </w: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Key performance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Return on common equity - GAAP </w:t>
            </w:r>
            <w:r>
              <w:rPr>
                <w:rFonts w:ascii="Times New Roman;serif" w:hAnsi="Times New Roman;serif"/>
                <w:b w:val="false"/>
                <w:color w:val="000000"/>
                <w:sz w:val="1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Return on common equity - operating </w:t>
            </w:r>
            <w:r>
              <w:rPr>
                <w:rFonts w:ascii="Times New Roman;serif" w:hAnsi="Times New Roman;serif"/>
                <w:b w:val="false"/>
                <w:color w:val="000000"/>
                <w:sz w:val="10"/>
              </w:rPr>
              <w:t>(1)(2)(4)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tangible common equity - operating</w:t>
            </w:r>
            <w:r>
              <w:rPr>
                <w:color w:val="000000"/>
              </w:rPr>
              <w:t xml:space="preserve"> </w:t>
            </w:r>
            <w:r>
              <w:rPr>
                <w:rFonts w:ascii="Times New Roman;serif" w:hAnsi="Times New Roman;serif"/>
                <w:b w:val="false"/>
                <w:color w:val="000000"/>
                <w:sz w:val="10"/>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Return on assets - GAAP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Return on assets - operating </w:t>
            </w:r>
            <w:r>
              <w:rPr>
                <w:rFonts w:ascii="Times New Roman;serif" w:hAnsi="Times New Roman;serif"/>
                <w:b w:val="false"/>
                <w:color w:val="000000"/>
                <w:sz w:val="1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interest margin (FTE) </w:t>
            </w:r>
            <w:r>
              <w:rPr>
                <w:rFonts w:ascii="Times New Roman;serif" w:hAnsi="Times New Roman;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Efficiency ratio -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Efficiency ratio - operating </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Tangible common equity to tangible assets </w:t>
            </w:r>
            <w:r>
              <w:rPr>
                <w:rFonts w:ascii="Times New Roman;serif" w:hAnsi="Times New Roman;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QUALITY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NPAs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103,387 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ACL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215,791 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168,705 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ACL - loans to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charge-offs to average loans </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NPAs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AT PERIOD END</w:t>
            </w:r>
            <w:r>
              <w:rPr>
                <w:color w:val="000000"/>
              </w:rPr>
              <w:t xml:space="preserve"> </w:t>
            </w:r>
            <w:r>
              <w:rPr>
                <w:rFonts w:ascii="Times New Roman;serif" w:hAnsi="Times New Roman;serif"/>
                <w:b w:val="false"/>
                <w:i/>
                <w:color w:val="000000"/>
                <w:sz w:val="16"/>
              </w:rPr>
              <w:t>($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Excludes non-operating items as detailed on Non-GAAP Performance Measures Reconciliation on page </w:t>
      </w:r>
      <w:hyperlink w:anchor="i5038cde0dce64ea9ae98d2f3afe2d37d_172">
        <w:r>
          <w:rPr>
            <w:rStyle w:val="InternetLink"/>
            <w:rFonts w:ascii="Times New Roman;serif" w:hAnsi="Times New Roman;serif"/>
            <w:b w:val="false"/>
            <w:color w:val="0000FF"/>
            <w:sz w:val="14"/>
            <w:u w:val="single"/>
          </w:rPr>
          <w:t>50</w:t>
        </w:r>
      </w:hyperlink>
      <w:r>
        <w:rPr>
          <w:rFonts w:ascii="Times New Roman;serif" w:hAnsi="Times New Roman;serif"/>
          <w:b w:val="false"/>
          <w:color w:val="000000"/>
          <w:sz w:val="14"/>
        </w:rPr>
        <w:t>.</w:t>
      </w:r>
      <w:r>
        <w:rPr>
          <w:color w:val="000000"/>
        </w:rPr>
        <w:t xml:space="preserve"> </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4"/>
        </w:rPr>
        <w:t xml:space="preserve">Net income less preferred stock dividends, divided by average realized common equity, which excludes AOCI. </w:t>
      </w: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Excludes effect of acquisition related intangibles and associated amortization.</w:t>
      </w:r>
      <w:r>
        <w:rPr>
          <w:color w:val="000000"/>
        </w:rPr>
        <w:t xml:space="preserve"> </w:t>
      </w:r>
      <w:r>
        <w:rPr>
          <w:rFonts w:ascii="Times New Roman;serif" w:hAnsi="Times New Roman;serif"/>
          <w:b w:val="false"/>
          <w:color w:val="000000"/>
          <w:sz w:val="10"/>
        </w:rPr>
        <w:t xml:space="preserve">(4) </w:t>
      </w:r>
      <w:r>
        <w:rPr>
          <w:rFonts w:ascii="Times New Roman;serif" w:hAnsi="Times New Roman;serif"/>
          <w:b w:val="false"/>
          <w:color w:val="000000"/>
          <w:sz w:val="14"/>
        </w:rPr>
        <w:t>Annualized.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Interest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 the three months ended: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FTE net interest revenue for the second quarter of 2026 was $242 million, an increase of $15.6 million from the same period in 2025. Net interest spread and net interest margin were 2.93% and 3.68%, respectively, which were up 31 basis points and 18 basis points, respectively, compared to the second quarter of 2025. The interest rate environment changes over the past year included aggregate reductions of 75 basis points in the federal funds rate, which drove decreases in funding costs, and to a lesser extent, loan yields. As a result, the primary driver of the increase in FTE net interest revenue for the second quarter of 2026 from the second quarter of 2025 was a $21.0 million decrease in deposit interest expense. Interest revenue from interest-earning assets decreased $2.76 million from the second quarter of 2025. Loan interest revenue increased $8.26 million compared to the same period of 2025, mostly driven by loan growth, while securities interest revenue decreased $9.55 million due to both lower average balances and a decrease in the average rate earned.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For the six months ended: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FTE net interest revenue for the first six months of 2026 and 2025 was $476 million and $440 million, respectively. For the first six months of 2026, our net interest spread increased 37 basis points and our net interest margin increased by 23 basis points compared to the same period of 2025. Changes in net interest revenue and related metrics for the six months ended 2026 were a result of the same factors affecting the quarter.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tbl>
      <w:tblPr>
        <w:tblW w:w="6284" w:type="dxa"/>
        <w:jc w:val="left"/>
        <w:tblInd w:w="0" w:type="dxa"/>
        <w:tblLayout w:type="fixed"/>
        <w:tblCellMar>
          <w:top w:w="28" w:type="dxa"/>
          <w:left w:w="28" w:type="dxa"/>
          <w:bottom w:w="28" w:type="dxa"/>
          <w:right w:w="28" w:type="dxa"/>
        </w:tblCellMar>
      </w:tblPr>
      <w:tblGrid>
        <w:gridCol w:w="2009"/>
        <w:gridCol w:w="1768"/>
        <w:gridCol w:w="2507"/>
      </w:tblGrid>
      <w:tr>
        <w:trPr/>
        <w:tc>
          <w:tcPr>
            <w:tcW w:w="20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2 - Average Consolidated Balance Sheets and Net Interest Analysis</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w:t>
            </w:r>
          </w:p>
        </w:tc>
      </w:tr>
      <w:tr>
        <w:trPr/>
        <w:tc>
          <w:tcPr>
            <w:tcW w:w="6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(FTE))</w:t>
            </w:r>
          </w:p>
        </w:tc>
      </w:tr>
    </w:tbl>
    <w:tbl>
      <w:tblPr>
        <w:tblW w:w="10205" w:type="dxa"/>
        <w:jc w:val="left"/>
        <w:tblInd w:w="0" w:type="dxa"/>
        <w:tblLayout w:type="fixed"/>
        <w:tblCellMar>
          <w:top w:w="28" w:type="dxa"/>
          <w:left w:w="28" w:type="dxa"/>
          <w:bottom w:w="28" w:type="dxa"/>
          <w:right w:w="28" w:type="dxa"/>
        </w:tblCellMar>
      </w:tblPr>
      <w:tblGrid>
        <w:gridCol w:w="803"/>
        <w:gridCol w:w="473"/>
        <w:gridCol w:w="478"/>
        <w:gridCol w:w="109"/>
        <w:gridCol w:w="109"/>
        <w:gridCol w:w="109"/>
        <w:gridCol w:w="198"/>
        <w:gridCol w:w="971"/>
        <w:gridCol w:w="110"/>
        <w:gridCol w:w="109"/>
        <w:gridCol w:w="109"/>
        <w:gridCol w:w="109"/>
        <w:gridCol w:w="196"/>
        <w:gridCol w:w="736"/>
        <w:gridCol w:w="109"/>
        <w:gridCol w:w="109"/>
        <w:gridCol w:w="109"/>
        <w:gridCol w:w="109"/>
        <w:gridCol w:w="261"/>
        <w:gridCol w:w="211"/>
        <w:gridCol w:w="423"/>
        <w:gridCol w:w="109"/>
        <w:gridCol w:w="109"/>
        <w:gridCol w:w="109"/>
        <w:gridCol w:w="198"/>
        <w:gridCol w:w="971"/>
        <w:gridCol w:w="110"/>
        <w:gridCol w:w="109"/>
        <w:gridCol w:w="109"/>
        <w:gridCol w:w="109"/>
        <w:gridCol w:w="196"/>
        <w:gridCol w:w="736"/>
        <w:gridCol w:w="109"/>
        <w:gridCol w:w="109"/>
        <w:gridCol w:w="109"/>
        <w:gridCol w:w="109"/>
        <w:gridCol w:w="249"/>
        <w:gridCol w:w="220"/>
        <w:gridCol w:w="485"/>
      </w:tblGrid>
      <w:tr>
        <w:trPr/>
        <w:tc>
          <w:tcPr>
            <w:tcW w:w="80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net of unearned income (FTE) </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19,717,360 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18,664,228 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Taxable securities</w:t>
            </w:r>
            <w:r>
              <w:rPr>
                <w:color w:val="000000"/>
              </w:rPr>
              <w:t xml:space="preserve">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5,982,611 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6,492,288 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Tax-exempt securities (FTE) </w:t>
            </w:r>
            <w:r>
              <w:rPr>
                <w:rFonts w:ascii="Times New Roman;serif" w:hAnsi="Times New Roman;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340,501 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451,953 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26,399,386 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25,962,631 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348,348 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(220,059)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assets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1,681,658 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28,411,592 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27,981,847 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and 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5,755,001 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6,051,489 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6,786,045 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6,645,336 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1,094,441 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3,532,848 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17,347,829 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17,475,456 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533,929 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245,404 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17,881,758 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17,720,860 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6,422,393 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6,351,540 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24,719,872 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24,419,043 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3,691,720 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3,562,804 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28,411,592 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27,981,847 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revenue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interest-rate spread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interest margin (FTE)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42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4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Interest revenue on tax-exempt securities and loans includes a taxable-equivalent adjustment to reflect comparable interest on taxable securities and loans. The FTE adjustment totaled $1.22 million and $983,000, respectively, for the three months ended June 30, 2026 and 2025. The tax rate used to calculate the adjustment was 25%, reflecting the statutory federal income tax rate and the federal tax adjusted state income tax rate.</w:t>
      </w:r>
    </w:p>
    <w:p>
      <w:pPr>
        <w:pStyle w:val="TextBody"/>
        <w:bidi w:val="0"/>
        <w:spacing w:lineRule="auto" w:line="288" w:before="0" w:after="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Included in the average balance of loans outstanding are loans on which the accrual of interest has been discontinued.</w:t>
      </w:r>
    </w:p>
    <w:p>
      <w:pPr>
        <w:pStyle w:val="TextBody"/>
        <w:bidi w:val="0"/>
        <w:spacing w:lineRule="auto" w:line="288" w:before="0" w:after="0"/>
        <w:ind w:left="0" w:right="0" w:hanging="360"/>
        <w:jc w:val="both"/>
        <w:rPr/>
      </w:pPr>
      <w:r>
        <w:rPr>
          <w:rFonts w:ascii="Times New Roman;serif" w:hAnsi="Times New Roman;serif"/>
          <w:b w:val="false"/>
          <w:color w:val="000000"/>
          <w:sz w:val="10"/>
        </w:rPr>
        <w:t>(3)</w:t>
      </w:r>
      <w:r>
        <w:rPr>
          <w:rFonts w:ascii="Times New Roman;serif" w:hAnsi="Times New Roman;serif"/>
          <w:b w:val="false"/>
          <w:color w:val="000000"/>
          <w:sz w:val="16"/>
        </w:rPr>
        <w:t>Unrealized losses on AFS securities, including those related to the reclassified from AFS to HTM, have been reclassified to other assets. Pretax unrealized losses of $191 million in 2026 and $240 million in 2025 are included in other assets for purposes of this presentation.</w:t>
      </w:r>
    </w:p>
    <w:p>
      <w:pPr>
        <w:pStyle w:val="TextBody"/>
        <w:bidi w:val="0"/>
        <w:spacing w:lineRule="auto" w:line="288" w:before="0" w:after="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Net interest margin is taxable equivalent net interest revenue divided by average interest-earning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tbl>
      <w:tblPr>
        <w:tblW w:w="6284" w:type="dxa"/>
        <w:jc w:val="left"/>
        <w:tblInd w:w="0" w:type="dxa"/>
        <w:tblLayout w:type="fixed"/>
        <w:tblCellMar>
          <w:top w:w="28" w:type="dxa"/>
          <w:left w:w="28" w:type="dxa"/>
          <w:bottom w:w="28" w:type="dxa"/>
          <w:right w:w="28" w:type="dxa"/>
        </w:tblCellMar>
      </w:tblPr>
      <w:tblGrid>
        <w:gridCol w:w="2009"/>
        <w:gridCol w:w="1768"/>
        <w:gridCol w:w="2507"/>
      </w:tblGrid>
      <w:tr>
        <w:trPr/>
        <w:tc>
          <w:tcPr>
            <w:tcW w:w="20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3 - Average Consolidated Balance Sheets and Net Interest Analysis</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w:t>
            </w:r>
          </w:p>
        </w:tc>
      </w:tr>
      <w:tr>
        <w:trPr/>
        <w:tc>
          <w:tcPr>
            <w:tcW w:w="62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 (FTE))</w:t>
            </w:r>
          </w:p>
        </w:tc>
      </w:tr>
    </w:tbl>
    <w:tbl>
      <w:tblPr>
        <w:tblW w:w="10205" w:type="dxa"/>
        <w:jc w:val="left"/>
        <w:tblInd w:w="0" w:type="dxa"/>
        <w:tblLayout w:type="fixed"/>
        <w:tblCellMar>
          <w:top w:w="28" w:type="dxa"/>
          <w:left w:w="28" w:type="dxa"/>
          <w:bottom w:w="28" w:type="dxa"/>
          <w:right w:w="28" w:type="dxa"/>
        </w:tblCellMar>
      </w:tblPr>
      <w:tblGrid>
        <w:gridCol w:w="847"/>
        <w:gridCol w:w="459"/>
        <w:gridCol w:w="464"/>
        <w:gridCol w:w="109"/>
        <w:gridCol w:w="109"/>
        <w:gridCol w:w="109"/>
        <w:gridCol w:w="197"/>
        <w:gridCol w:w="969"/>
        <w:gridCol w:w="109"/>
        <w:gridCol w:w="109"/>
        <w:gridCol w:w="109"/>
        <w:gridCol w:w="109"/>
        <w:gridCol w:w="196"/>
        <w:gridCol w:w="736"/>
        <w:gridCol w:w="109"/>
        <w:gridCol w:w="109"/>
        <w:gridCol w:w="109"/>
        <w:gridCol w:w="109"/>
        <w:gridCol w:w="261"/>
        <w:gridCol w:w="210"/>
        <w:gridCol w:w="419"/>
        <w:gridCol w:w="109"/>
        <w:gridCol w:w="109"/>
        <w:gridCol w:w="109"/>
        <w:gridCol w:w="197"/>
        <w:gridCol w:w="969"/>
        <w:gridCol w:w="109"/>
        <w:gridCol w:w="109"/>
        <w:gridCol w:w="109"/>
        <w:gridCol w:w="109"/>
        <w:gridCol w:w="196"/>
        <w:gridCol w:w="736"/>
        <w:gridCol w:w="109"/>
        <w:gridCol w:w="109"/>
        <w:gridCol w:w="109"/>
        <w:gridCol w:w="109"/>
        <w:gridCol w:w="249"/>
        <w:gridCol w:w="220"/>
        <w:gridCol w:w="482"/>
      </w:tblGrid>
      <w:tr>
        <w:trPr/>
        <w:tc>
          <w:tcPr>
            <w:tcW w:w="84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net of unearned income (FTE) </w:t>
            </w:r>
            <w:r>
              <w:rPr>
                <w:rFonts w:ascii="Times New Roman;serif" w:hAnsi="Times New Roman;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Taxable securities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Tax-exempt securities (FTE)</w:t>
            </w:r>
            <w:r>
              <w:rPr>
                <w:color w:val="000000"/>
              </w:rPr>
              <w:t xml:space="preserve"> </w:t>
            </w:r>
            <w:r>
              <w:rPr>
                <w:rFonts w:ascii="Times New Roman;serif" w:hAnsi="Times New Roman;serif"/>
                <w:b w:val="false"/>
                <w:color w:val="000000"/>
                <w:sz w:val="12"/>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interest-earning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interest-earning assets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26,193,599 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25,836,249 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684,696 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loan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assets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28,242,817 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27,853,825 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and interest-bearing 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6,806,264 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17,414,036 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17,393,568 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funds purchased and other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Home Loan Bank advances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17,846,760 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17,702,855 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6,344,315 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24,567,957 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24,334,395 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3,674,860 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28,242,817 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27,853,825 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revenue (FTE)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interest-rate spread (FTE)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interest margin (FTE)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41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48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Interest revenue on tax-exempt securities and loans includes a taxable-equivalent adjustment to reflect comparable interest on taxable securities and loans. The FTE adjustment totaled $2.33 million and $1.97 million, respectively, for the six months ended June 30, 2026 and 2025. The tax rate used to calculate the adjustment was 25%, reflecting the statutory federal income tax rate and the federal tax adjusted state income tax rate.</w:t>
      </w:r>
    </w:p>
    <w:p>
      <w:pPr>
        <w:pStyle w:val="TextBody"/>
        <w:bidi w:val="0"/>
        <w:spacing w:lineRule="auto" w:line="288" w:before="0" w:after="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Included in the average balance of loans outstanding are loans on which the accrual of interest has been discontinued and loans that are held for sale.</w:t>
      </w:r>
    </w:p>
    <w:p>
      <w:pPr>
        <w:pStyle w:val="TextBody"/>
        <w:bidi w:val="0"/>
        <w:spacing w:lineRule="auto" w:line="288" w:before="0" w:after="0"/>
        <w:ind w:left="0" w:right="0" w:hanging="360"/>
        <w:jc w:val="both"/>
        <w:rPr/>
      </w:pPr>
      <w:r>
        <w:rPr>
          <w:rFonts w:ascii="sans-serif" w:hAnsi="sans-serif"/>
          <w:b w:val="false"/>
          <w:color w:val="000000"/>
          <w:sz w:val="10"/>
        </w:rPr>
        <w:t>(3)</w:t>
      </w:r>
      <w:r>
        <w:rPr>
          <w:rFonts w:ascii="Times New Roman;serif" w:hAnsi="Times New Roman;serif"/>
          <w:b w:val="false"/>
          <w:color w:val="000000"/>
          <w:sz w:val="16"/>
        </w:rPr>
        <w:t>Unrealized gains and losses on AFS securities, including those related to the reclassified from AFS to HTM, have been reclassified to other assets. Pretax unrealized losses of $183 million and $254 million in 2026 and 2025, respectively, are included in other assets for purposes of this presentation.</w:t>
      </w:r>
    </w:p>
    <w:p>
      <w:pPr>
        <w:pStyle w:val="TextBody"/>
        <w:bidi w:val="0"/>
        <w:spacing w:lineRule="auto" w:line="288" w:before="0" w:after="0"/>
        <w:ind w:left="0" w:right="0" w:hanging="360"/>
        <w:jc w:val="both"/>
        <w:rPr/>
      </w:pPr>
      <w:r>
        <w:rPr>
          <w:rFonts w:ascii="Times New Roman;serif" w:hAnsi="Times New Roman;serif"/>
          <w:b w:val="false"/>
          <w:color w:val="000000"/>
          <w:sz w:val="10"/>
        </w:rPr>
        <w:t>(4)</w:t>
      </w:r>
      <w:r>
        <w:rPr>
          <w:rFonts w:ascii="Times New Roman;serif" w:hAnsi="Times New Roman;serif"/>
          <w:b w:val="false"/>
          <w:color w:val="000000"/>
          <w:sz w:val="16"/>
        </w:rPr>
        <w:t>Net interest margin is taxable equivalent net-interest revenue divided by average interest-earning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noninterest income for the periods indicated.</w:t>
      </w:r>
    </w:p>
    <w:tbl>
      <w:tblPr>
        <w:tblW w:w="2610" w:type="dxa"/>
        <w:jc w:val="left"/>
        <w:tblInd w:w="0" w:type="dxa"/>
        <w:tblLayout w:type="fixed"/>
        <w:tblCellMar>
          <w:top w:w="28" w:type="dxa"/>
          <w:left w:w="28" w:type="dxa"/>
          <w:bottom w:w="28" w:type="dxa"/>
          <w:right w:w="28" w:type="dxa"/>
        </w:tblCellMar>
      </w:tblPr>
      <w:tblGrid>
        <w:gridCol w:w="836"/>
        <w:gridCol w:w="733"/>
        <w:gridCol w:w="1041"/>
      </w:tblGrid>
      <w:tr>
        <w:trPr/>
        <w:tc>
          <w:tcPr>
            <w:tcW w:w="8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4 - Noninterest Income</w:t>
            </w:r>
          </w:p>
        </w:tc>
      </w:tr>
      <w:tr>
        <w:trPr/>
        <w:tc>
          <w:tcPr>
            <w:tcW w:w="2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bl>
    <w:tbl>
      <w:tblPr>
        <w:tblW w:w="10658" w:type="dxa"/>
        <w:jc w:val="left"/>
        <w:tblInd w:w="0" w:type="dxa"/>
        <w:tblLayout w:type="fixed"/>
        <w:tblCellMar>
          <w:top w:w="28" w:type="dxa"/>
          <w:left w:w="28" w:type="dxa"/>
          <w:bottom w:w="28" w:type="dxa"/>
          <w:right w:w="28" w:type="dxa"/>
        </w:tblCellMar>
      </w:tblPr>
      <w:tblGrid>
        <w:gridCol w:w="124"/>
        <w:gridCol w:w="560"/>
        <w:gridCol w:w="215"/>
        <w:gridCol w:w="21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3"/>
        <w:gridCol w:w="203"/>
        <w:gridCol w:w="36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72"/>
        <w:gridCol w:w="174"/>
        <w:gridCol w:w="3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Overdraft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ATM and debit card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charges and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 charges and fees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 gains and related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on sales of other loans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Lending and loan servicing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gains,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derivative fees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securities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management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noninterest income</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mortgage loan gains and related fees for the three and six months ended June 30, 2026 compared to the same periods of 2025 was primarily a result of an increase in mortgage servicing income of $1.10 million and $2.14 million, respectively, which includes fair value adjustments to our mortgage servicing asset. During the first quarter of 2026, we began an economic hedging strategy utilizing a trading securities portfolio, with the intention of offsetting the impact of the changes in the fair value of our mortgage servicing asset with the gains or losses on trading securities. During the three and six months ended June 30, 2026, we recognized $904,000 and $1.98 million, respectively, in losses on trading securities, which is included in other noninterest income on the consolidated statements of income.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gains on sales of other loans is primarily driven by our strategic decision to retain more of our SBA/USDA loan production during the second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other investment income reflects higher earnings on our mutual fund portfolio and our fintech and limited partnership investments compared to the same periods of 2025. Our other investment portfolio includes mutual funds, equity securities, fintech and other limited partnership investments. Gains and losses from these investments are generally unrealized.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other noninterest income for the six months ended June 30, 2026 was primarily driven by the $5.18 million gain on the termination of an interest rate cap accounted for as a cash flow hedge of our $100 million subordinated debt, for which redemption notice was provided in the first quarter of 2026 and which was then subsequently redeemed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negative provisions for credit losses of $29.8 million and $19.0 million, respectively, for the three and six months ended June 30, 2026, compared to provision expense of $11.8 million and $27.2 million, respectively, for the same respective periods of 2025. The amount of provision recorded in each period was the amount required such that the total ACL reflected the appropriate balance as determined by management reflecting expected life of loan losses. The negative provisions for the three and six months ended June 30, 2026 reflect the reversal of the ACL related to the equipment financing portfolio, as substantially all of that portfolio was reclassified to held for sale during the second quarter of 2026. Additional discussion on credit quality and the ACL is included in the “Allowance for Credit Losses” section of MD&amp;A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noninterest expense for the periods indicated.</w:t>
      </w:r>
    </w:p>
    <w:p>
      <w:pPr>
        <w:pStyle w:val="TextBody"/>
        <w:bidi w:val="0"/>
        <w:spacing w:before="0" w:after="0"/>
        <w:jc w:val="both"/>
        <w:rPr/>
      </w:pPr>
      <w:r>
        <w:rPr/>
      </w:r>
    </w:p>
    <w:tbl>
      <w:tblPr>
        <w:tblW w:w="2685" w:type="dxa"/>
        <w:jc w:val="left"/>
        <w:tblInd w:w="0" w:type="dxa"/>
        <w:tblLayout w:type="fixed"/>
        <w:tblCellMar>
          <w:top w:w="28" w:type="dxa"/>
          <w:left w:w="28" w:type="dxa"/>
          <w:bottom w:w="28" w:type="dxa"/>
          <w:right w:w="28" w:type="dxa"/>
        </w:tblCellMar>
      </w:tblPr>
      <w:tblGrid>
        <w:gridCol w:w="860"/>
        <w:gridCol w:w="754"/>
        <w:gridCol w:w="1071"/>
      </w:tblGrid>
      <w:tr>
        <w:trPr/>
        <w:tc>
          <w:tcPr>
            <w:tcW w:w="8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5 - Noninterest Expense</w:t>
            </w:r>
          </w:p>
        </w:tc>
      </w:tr>
      <w:tr>
        <w:trPr/>
        <w:tc>
          <w:tcPr>
            <w:tcW w:w="2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bl>
    <w:tbl>
      <w:tblPr>
        <w:tblW w:w="11423" w:type="dxa"/>
        <w:jc w:val="left"/>
        <w:tblInd w:w="0" w:type="dxa"/>
        <w:tblLayout w:type="fixed"/>
        <w:tblCellMar>
          <w:top w:w="28" w:type="dxa"/>
          <w:left w:w="28" w:type="dxa"/>
          <w:bottom w:w="28" w:type="dxa"/>
          <w:right w:w="28" w:type="dxa"/>
        </w:tblCellMar>
      </w:tblPr>
      <w:tblGrid>
        <w:gridCol w:w="124"/>
        <w:gridCol w:w="759"/>
        <w:gridCol w:w="286"/>
        <w:gridCol w:w="261"/>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02"/>
        <w:gridCol w:w="204"/>
        <w:gridCol w:w="36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72"/>
        <w:gridCol w:w="174"/>
        <w:gridCol w:w="3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public relations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Postage, printing and supplies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Lending and loan servicing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services - electronic banking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assessments and other regulatory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Merger-related and other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salaries and employee benefits for the second quarter of 2026 compared to 2025 was mostly driven by an increase in salaries and higher performance-related incentive compensation as well as an increase in group medical expense. The increase in salaries was partly driven by annual merit increases that went into effect on April 1, 2026 and the increase in full-time equivalent employees. At June 30, 2026 and 2025 we had 3,141 and 3,050 full-time equivalent employees, respectively, an increase of 3%, reflecting our current strategic hiring plan. In addition to the factors impacting the quarter, the increase for the six months ended June 30, 2026 also reflects the $6.70 million first quarter one-time payroll transition bonus. The bonus was paid to bridge the gap in payroll dates due to the transition from a semi-monthly payroll cycle to a bi-weekly payroll cycle in arrears.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FDIC assessments and other regulatory charges for the six months ended June 30, 2026 reflects a $1.89 million accrual reversal of the FDIC special assessment related to certain 2023 bank failures, as the FDIC announced it no longer intended to collect the remainder of the assessment.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professional fees for the three and six months ended June 30, 2026 was primarily attributable to higher legal fees compared to the same periods of 2025, driven by the Navitas California lender licensing issue discussed below, as well as other non-recurring legal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lending and loan servicing expense for the three and six months ended June 30, 2026 reflects higher expense accruals for loan collateral related insurance and property taxes compared to the same periods of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Merger-related and other charges for the three and six months ended June 30, 2026 mostly consists of expenses related to the pending sale of Navitas and Peach State merger-related costs. Merger-related and other charges for the three and six months ended June 30, 2025 include merger-related costs related to the ANB merger, which closed May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reached a settlement with the state of California related to a dispute regarding lending license requirements for Navitas. We agreed to settle the matter for approximately $4.08 million, which drove the increase in other noninterest expense for the three and six months ended June 30, 2026. Related legal fees of $421,000 were recorded in the second quarter of 2026, which contributed to the increase in professional fees for the three and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income tax expense and the effective tax rate for the periods indicated.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6 - Income Tax Expense</w:t>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(dollars in thousands)</w:t>
      </w:r>
    </w:p>
    <w:tbl>
      <w:tblPr>
        <w:tblW w:w="8423" w:type="dxa"/>
        <w:jc w:val="left"/>
        <w:tblInd w:w="0" w:type="dxa"/>
        <w:tblLayout w:type="fixed"/>
        <w:tblCellMar>
          <w:top w:w="28" w:type="dxa"/>
          <w:left w:w="28" w:type="dxa"/>
          <w:bottom w:w="28" w:type="dxa"/>
          <w:right w:w="28" w:type="dxa"/>
        </w:tblCellMar>
      </w:tblPr>
      <w:tblGrid>
        <w:gridCol w:w="124"/>
        <w:gridCol w:w="694"/>
        <w:gridCol w:w="694"/>
        <w:gridCol w:w="697"/>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09"/>
        <w:gridCol w:w="109"/>
        <w:gridCol w:w="109"/>
        <w:gridCol w:w="196"/>
        <w:gridCol w:w="736"/>
        <w:gridCol w:w="25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149,168 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191,661 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Managing Risk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purpose is to provide financial services and products to customers, which inherently comes with risk. We strive to manage, mitigate and optimize that risk appropriately. We maintain an enterprise risk framework that provides structure of the governance and oversight of our primary risk categories, which include credit, liquidity, market/interest rate, capital, strategic, operational, legal/compliance and reputation. The objective of our risk framework is to establish a formal structure for identifying, assessing, managing, monitoring and reporting risks in order to assist the Bank in achieving its strategic objectives.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of our financial results and activities for the periods covered by this Report are grouped into their most relevant risk categories of Credit Risk Management, Liquidity Risk Management, Market / Interest Rate Risk Management and Capital Risk Management. For more information on our risks, see Item 1A. Risk Factors and the Managing Risk section in MD&amp;A of the 2025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Credit Risk Management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loan portfolio is the largest asset class on our balance sheet; therefore, credit risk management plays a key role in our overall risk management infrastructure. Credit risk is inherent to the lending function; thus, a sound risk management system is essential to maximize returns within acceptable risk parameters.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Asset Quality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reviews of classified performing and non-performing loans, FDMs, past due loans and portfolio concentrations on a regular basis to identify risk migration and potential charges to the ACL. These items are discussed in a series of meetings attended by Credit Risk Management and other senior leadership from various lending groups. In addition to the reviews mentioned above, an independent loan review team reviews the portfolio to ensure consistent application of credit and risk rating policies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see Credit Risk Management in the MD&amp;A of the 2025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Loans Held for Investment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loans held for investment totaled $18.0 billion, compared to $19.4 billion at December 31, 2025. The decrease was primarily due to the reclassification, following the decision to sell Navitas, of $1.91 billion of equipment financing receivables to held for sale in the second quarter of 2026, representing substantially all of that portfolio. The remainder of equipment financing receivables retained were reclassified to the commercial and industrial category, as equipment financing no longer represents a significant category of loans held for investment. Excluding equipment financing receivables reclassified as held for sale, loans increased $457 million, or 3%, from December 31, 2025 representing organic loan growth, particularly in our commercial portfolio. We continue to focus on organic loan growth and have seen loan growth begin to accelerate during the second quarter of 2026. One of the key initiatives implemented by Management is the onboarding of experienced and proven revenue producers whereby over 35 such producers have been added since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ACL reflects our assessment of the life of loan expected credit losses in the loan portfolio and unfunded loan commitments. This assessment involves uncertainty and judgment and is subject to change in future periods. See the </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section of MD&amp;A in our 2025 10-K for additional information on the ACL.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ACL for loans at June 30, 2026 totaled $169 million compared to $210 million at December 31, 2025 and the ACL for loans as a percentage of total loans held for investment decreased to 0.94% from 1.09%. The decrease in the ACL was primarily attributable to the release of the ACL on the equipment financing loans reclassified to held for sale during June of 2026. As the equipment financing loans have a higher projected loss rate, the ACL coverage ratio decreased in correlation with the release of the ACL on those loans. The ACL for the remainder of the loan portfolio increased approximately 3%, mostly due to loan growth. Our ACL for unfunded commitments, which totaled $19.6 million, increased $4.53 million compared to December 31, 2025, due to an increase in our construction commitments combined with a higher modeled loss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on loans and the ACL for the periods indicated. See Note 5 to the consolidated financial statements for further information on loans and the ACL.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7 - Loan Portfolio Composition and ACL Allocation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(dollars in thousands)</w:t>
      </w:r>
    </w:p>
    <w:tbl>
      <w:tblPr>
        <w:tblW w:w="11206" w:type="dxa"/>
        <w:jc w:val="center"/>
        <w:tblInd w:w="0" w:type="dxa"/>
        <w:tblLayout w:type="fixed"/>
        <w:tblCellMar>
          <w:top w:w="28" w:type="dxa"/>
          <w:left w:w="28" w:type="dxa"/>
          <w:bottom w:w="28" w:type="dxa"/>
          <w:right w:w="28" w:type="dxa"/>
        </w:tblCellMar>
      </w:tblPr>
      <w:tblGrid>
        <w:gridCol w:w="124"/>
        <w:gridCol w:w="485"/>
        <w:gridCol w:w="245"/>
        <w:gridCol w:w="246"/>
        <w:gridCol w:w="196"/>
        <w:gridCol w:w="961"/>
        <w:gridCol w:w="109"/>
        <w:gridCol w:w="109"/>
        <w:gridCol w:w="109"/>
        <w:gridCol w:w="109"/>
        <w:gridCol w:w="230"/>
        <w:gridCol w:w="176"/>
        <w:gridCol w:w="414"/>
        <w:gridCol w:w="109"/>
        <w:gridCol w:w="109"/>
        <w:gridCol w:w="109"/>
        <w:gridCol w:w="196"/>
        <w:gridCol w:w="736"/>
        <w:gridCol w:w="109"/>
        <w:gridCol w:w="109"/>
        <w:gridCol w:w="109"/>
        <w:gridCol w:w="109"/>
        <w:gridCol w:w="278"/>
        <w:gridCol w:w="188"/>
        <w:gridCol w:w="318"/>
        <w:gridCol w:w="109"/>
        <w:gridCol w:w="109"/>
        <w:gridCol w:w="109"/>
        <w:gridCol w:w="196"/>
        <w:gridCol w:w="961"/>
        <w:gridCol w:w="109"/>
        <w:gridCol w:w="109"/>
        <w:gridCol w:w="109"/>
        <w:gridCol w:w="109"/>
        <w:gridCol w:w="176"/>
        <w:gridCol w:w="176"/>
        <w:gridCol w:w="414"/>
        <w:gridCol w:w="109"/>
        <w:gridCol w:w="109"/>
        <w:gridCol w:w="109"/>
        <w:gridCol w:w="196"/>
        <w:gridCol w:w="736"/>
        <w:gridCol w:w="109"/>
        <w:gridCol w:w="109"/>
        <w:gridCol w:w="109"/>
        <w:gridCol w:w="109"/>
        <w:gridCol w:w="263"/>
        <w:gridCol w:w="203"/>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2"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portfolio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ACL to Loans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4,117,210 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3,949,898 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13,136,610 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14,524,332 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19,378,984 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Loans presented exclude fair value hedge basis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net charge-offs to average loans for the periods indicated.</w:t>
      </w:r>
    </w:p>
    <w:tbl>
      <w:tblPr>
        <w:tblW w:w="3824" w:type="dxa"/>
        <w:jc w:val="left"/>
        <w:tblInd w:w="0" w:type="dxa"/>
        <w:tblLayout w:type="fixed"/>
        <w:tblCellMar>
          <w:top w:w="28" w:type="dxa"/>
          <w:left w:w="28" w:type="dxa"/>
          <w:bottom w:w="28" w:type="dxa"/>
          <w:right w:w="28" w:type="dxa"/>
        </w:tblCellMar>
      </w:tblPr>
      <w:tblGrid>
        <w:gridCol w:w="1224"/>
        <w:gridCol w:w="1075"/>
        <w:gridCol w:w="1525"/>
      </w:tblGrid>
      <w:tr>
        <w:trPr/>
        <w:tc>
          <w:tcPr>
            <w:tcW w:w="12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8 - Net Charge-offs to Average Loans</w:t>
            </w:r>
          </w:p>
        </w:tc>
      </w:tr>
      <w:tr>
        <w:trPr/>
        <w:tc>
          <w:tcPr>
            <w:tcW w:w="38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bl>
    <w:tbl>
      <w:tblPr>
        <w:tblW w:w="8793" w:type="dxa"/>
        <w:jc w:val="left"/>
        <w:tblInd w:w="0" w:type="dxa"/>
        <w:tblLayout w:type="fixed"/>
        <w:tblCellMar>
          <w:top w:w="28" w:type="dxa"/>
          <w:left w:w="28" w:type="dxa"/>
          <w:bottom w:w="28" w:type="dxa"/>
          <w:right w:w="28" w:type="dxa"/>
        </w:tblCellMar>
      </w:tblPr>
      <w:tblGrid>
        <w:gridCol w:w="124"/>
        <w:gridCol w:w="914"/>
        <w:gridCol w:w="914"/>
        <w:gridCol w:w="917"/>
        <w:gridCol w:w="252"/>
        <w:gridCol w:w="288"/>
        <w:gridCol w:w="645"/>
        <w:gridCol w:w="132"/>
        <w:gridCol w:w="132"/>
        <w:gridCol w:w="132"/>
        <w:gridCol w:w="242"/>
        <w:gridCol w:w="298"/>
        <w:gridCol w:w="625"/>
        <w:gridCol w:w="109"/>
        <w:gridCol w:w="109"/>
        <w:gridCol w:w="109"/>
        <w:gridCol w:w="228"/>
        <w:gridCol w:w="312"/>
        <w:gridCol w:w="631"/>
        <w:gridCol w:w="116"/>
        <w:gridCol w:w="116"/>
        <w:gridCol w:w="116"/>
        <w:gridCol w:w="232"/>
        <w:gridCol w:w="308"/>
        <w:gridCol w:w="638"/>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charge-offs (recoveries)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charge-offs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loans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4,057,269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4,006,798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3,438,970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4,978,937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4,982,002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4,451,373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2,823,245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2,507,891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2,761,800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2,479,055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1,103,439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1,744,511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1,093,552</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1,701,888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1,897,779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1,868,548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1,689,191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3,114,831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3,130,735</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3,219,652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1,367,692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1,342,305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1,100,224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188,486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187,218</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184,041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average loans</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19,717,360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18,664,228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19,561,444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18,440,110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Net charge-offs to average loans </w:t>
            </w:r>
            <w:r>
              <w:rPr>
                <w:rFonts w:ascii="Times New Roman;serif" w:hAnsi="Times New Roman;serif"/>
                <w:b/>
                <w:color w:val="000000"/>
                <w:sz w:val="12"/>
              </w:rPr>
              <w:t>(1)</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0.97 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6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6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Annualized.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Nonperforming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NPAs for the periods indicated. NPAs include nonaccrual loans, OREO and repossessed assets. The main driver of the increase in nonaccrual loans since December 31, 2025 was a small population of larger owner-occupied CRE loans moving to nonaccrual during the first six months of 2026.</w:t>
      </w:r>
    </w:p>
    <w:p>
      <w:pPr>
        <w:pStyle w:val="TextBody"/>
        <w:bidi w:val="0"/>
        <w:spacing w:before="0" w:after="0"/>
        <w:jc w:val="both"/>
        <w:rPr/>
      </w:pPr>
      <w:r>
        <w:rPr/>
      </w:r>
    </w:p>
    <w:tbl>
      <w:tblPr>
        <w:tblW w:w="1965" w:type="dxa"/>
        <w:jc w:val="left"/>
        <w:tblInd w:w="0" w:type="dxa"/>
        <w:tblLayout w:type="fixed"/>
        <w:tblCellMar>
          <w:top w:w="28" w:type="dxa"/>
          <w:left w:w="28" w:type="dxa"/>
          <w:bottom w:w="28" w:type="dxa"/>
          <w:right w:w="28" w:type="dxa"/>
        </w:tblCellMar>
      </w:tblPr>
      <w:tblGrid>
        <w:gridCol w:w="627"/>
        <w:gridCol w:w="553"/>
        <w:gridCol w:w="785"/>
      </w:tblGrid>
      <w:tr>
        <w:trPr/>
        <w:tc>
          <w:tcPr>
            <w:tcW w:w="62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9 - NPAs</w:t>
            </w:r>
          </w:p>
        </w:tc>
      </w:tr>
      <w:tr>
        <w:trPr/>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873"/>
        <w:gridCol w:w="1866"/>
        <w:gridCol w:w="1873"/>
        <w:gridCol w:w="196"/>
        <w:gridCol w:w="736"/>
        <w:gridCol w:w="256"/>
        <w:gridCol w:w="109"/>
        <w:gridCol w:w="109"/>
        <w:gridCol w:w="109"/>
        <w:gridCol w:w="209"/>
        <w:gridCol w:w="691"/>
        <w:gridCol w:w="273"/>
        <w:gridCol w:w="109"/>
        <w:gridCol w:w="109"/>
        <w:gridCol w:w="109"/>
        <w:gridCol w:w="196"/>
        <w:gridCol w:w="556"/>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 held for investment:</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 occupied CRE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producing 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construction &amp;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financing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53,745 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51,348 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construction &amp; land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92,001 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equipment financing loans and leases HFS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nonaccrual loans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91,098 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OREO and repossessed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NPAs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103,387 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93,498 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 held for investment as a percentage of total loans held for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612"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NPAs as a percentage of total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ACL - loans to nonaccrual loans coverage ratio</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Concentration Considerations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loans make up 73% of our loan portfolio, which as of June 30, 2026, includes owner occupied and income producing real estate, commercial and industrial and commercial construction and land.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83% of our loan portfolio is secured by real estate and therefore, can be affected by changes in real estate valuation.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Non-owner occupied CRE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industry concentrations of our non-owner occupied CRE loans, which include the income producing CRE portfolio and non-owner occupied commercial construction loans as of the dates indicated.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10 - Industry Concentrations of Non-Owner Occupied CRE Loans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bl>
      <w:tblPr>
        <w:tblW w:w="9906" w:type="dxa"/>
        <w:jc w:val="center"/>
        <w:tblInd w:w="0" w:type="dxa"/>
        <w:tblLayout w:type="fixed"/>
        <w:tblCellMar>
          <w:top w:w="28" w:type="dxa"/>
          <w:left w:w="28" w:type="dxa"/>
          <w:bottom w:w="28" w:type="dxa"/>
          <w:right w:w="28" w:type="dxa"/>
        </w:tblCellMar>
      </w:tblPr>
      <w:tblGrid>
        <w:gridCol w:w="124"/>
        <w:gridCol w:w="109"/>
        <w:gridCol w:w="109"/>
        <w:gridCol w:w="630"/>
        <w:gridCol w:w="630"/>
        <w:gridCol w:w="644"/>
        <w:gridCol w:w="109"/>
        <w:gridCol w:w="109"/>
        <w:gridCol w:w="109"/>
        <w:gridCol w:w="196"/>
        <w:gridCol w:w="871"/>
        <w:gridCol w:w="109"/>
        <w:gridCol w:w="109"/>
        <w:gridCol w:w="109"/>
        <w:gridCol w:w="109"/>
        <w:gridCol w:w="415"/>
        <w:gridCol w:w="415"/>
        <w:gridCol w:w="984"/>
        <w:gridCol w:w="109"/>
        <w:gridCol w:w="109"/>
        <w:gridCol w:w="109"/>
        <w:gridCol w:w="196"/>
        <w:gridCol w:w="871"/>
        <w:gridCol w:w="109"/>
        <w:gridCol w:w="109"/>
        <w:gridCol w:w="109"/>
        <w:gridCol w:w="109"/>
        <w:gridCol w:w="415"/>
        <w:gridCol w:w="415"/>
        <w:gridCol w:w="98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6"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loans in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loans in category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1,417,655 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Builder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Rental 1-4 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9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5,981,797 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5,879,873 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9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Liquidity Risk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Liquidity is defined as the ability to convert assets into cash or cash equivalents without significant loss and to raise additional funds by increasing liabilities. The primary objective of liquidity management is to maintain the ability to meet the daily cash flow requirements of customers, both depositors and borrowers, at a reasonable cost.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We maintain an unencumbered liquid asset reserve to help ensure our ability to meet our obligations under normal conditions for at least a 12-month period and under severely adverse liquidity conditions for a minimum of 30 days. While the desired level of liquidity will vary depending upon a variety of factors, our primary goal is to maintain a sufficient level of liquidity in all expected economic environments.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Bank’s main source of liquidity is customer deposit accounts. Liquidity is also available from cash and cash equivalents and wholesale funding sources consisting primarily of Federal funds purchased, securities sold under agreements to repurchase, FHLB advances and brokered deposits. Wholesale funding instruments are generally short-term in nature and used as necessary to fund asset growth and meet other short-term liquidity needs. Our loan and securities portfolios also provide liquidity primarily through loan principal and interest payments and the maturities and sales of securities, as well as the ability to use these assets as collateral for borrowings on a secured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see Liquidity Risk Management in the MD&amp;A of the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sufficient liquid funds and qualifying collateral to support additional borrowings, which are detailed in the table below.</w:t>
      </w:r>
    </w:p>
    <w:tbl>
      <w:tblPr>
        <w:tblW w:w="10205" w:type="dxa"/>
        <w:jc w:val="left"/>
        <w:tblInd w:w="0" w:type="dxa"/>
        <w:tblLayout w:type="fixed"/>
        <w:tblCellMar>
          <w:top w:w="28" w:type="dxa"/>
          <w:left w:w="28" w:type="dxa"/>
          <w:bottom w:w="28" w:type="dxa"/>
          <w:right w:w="28" w:type="dxa"/>
        </w:tblCellMar>
      </w:tblPr>
      <w:tblGrid>
        <w:gridCol w:w="308"/>
        <w:gridCol w:w="243"/>
        <w:gridCol w:w="242"/>
        <w:gridCol w:w="1555"/>
        <w:gridCol w:w="1526"/>
        <w:gridCol w:w="1531"/>
        <w:gridCol w:w="435"/>
        <w:gridCol w:w="1939"/>
        <w:gridCol w:w="242"/>
        <w:gridCol w:w="109"/>
        <w:gridCol w:w="109"/>
        <w:gridCol w:w="109"/>
        <w:gridCol w:w="246"/>
        <w:gridCol w:w="1096"/>
        <w:gridCol w:w="137"/>
        <w:gridCol w:w="109"/>
        <w:gridCol w:w="109"/>
        <w:gridCol w:w="160"/>
      </w:tblGrid>
      <w:tr>
        <w:trPr/>
        <w:tc>
          <w:tcPr>
            <w:tcW w:w="30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Table 11 - Liquid Funds and Unused 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Available liquid funds:</w:t>
            </w:r>
          </w:p>
        </w:tc>
        <w:tc>
          <w:tcPr>
            <w:tcW w:w="2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455,097 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395,754 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Unused Borrowing Capacity </w:t>
            </w:r>
            <w:r>
              <w:rPr>
                <w:rFonts w:ascii="Times New Roman;serif" w:hAnsi="Times New Roman;serif"/>
                <w:b/>
                <w:color w:val="000000"/>
                <w:sz w:val="12"/>
              </w:rPr>
              <w:t>(1)</w:t>
            </w:r>
            <w:r>
              <w:rPr>
                <w:rFonts w:ascii="Times New Roman;serif" w:hAnsi="Times New Roman;serif"/>
                <w:b/>
                <w:color w:val="000000"/>
                <w:sz w:val="18"/>
              </w:rPr>
              <w:t>:</w:t>
            </w:r>
          </w:p>
        </w:tc>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FHLB</w:t>
            </w:r>
          </w:p>
        </w:tc>
        <w:tc>
          <w:tcPr>
            <w:tcW w:w="2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2,032,406 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2,006,045 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Reserve - Discount Window</w:t>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1,884,042 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2,347,191 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4612" w:type="dxa"/>
            <w:gridSpan w:val="3"/>
            <w:tcBorders/>
            <w:vAlign w:val="center"/>
          </w:tcPr>
          <w:p>
            <w:pPr>
              <w:pStyle w:val="TableContents"/>
              <w:bidi w:val="0"/>
              <w:spacing w:before="0" w:after="283"/>
              <w:jc w:val="left"/>
              <w:rPr>
                <w:sz w:val="4"/>
                <w:szCs w:val="4"/>
              </w:rPr>
            </w:pPr>
            <w:r>
              <w:rPr>
                <w:sz w:val="4"/>
                <w:szCs w:val="4"/>
              </w:rPr>
            </w:r>
          </w:p>
        </w:tc>
        <w:tc>
          <w:tcPr>
            <w:tcW w:w="2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Unpledged securities available as collateral for additional borrowings</w:t>
            </w:r>
          </w:p>
        </w:tc>
        <w:tc>
          <w:tcPr>
            <w:tcW w:w="2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2,638,764 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3,007,534 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available funds</w:t>
            </w:r>
          </w:p>
        </w:tc>
        <w:tc>
          <w:tcPr>
            <w:tcW w:w="4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7,010,309 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7,756,524 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Based on collateral pledged.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because the Holding Company is a separate entity and distinct from the Bank, it must provide for its own liquidity. The Holding Company is responsible for the payment of dividends declared for its common shareholders, and interest and principal on any outstanding debt or trust preferred securities. The Holding Company currently has sufficient liquid assets to meet these obligations. Holding Company liquidity is maintained at a level of at least 125% of the next 12 months of forecasted cash obligations.</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our liquidity position at June 30, 2026 was sufficient to meet our expected cash flow requirements for the foreseeable future. See the consolidated statement of cash flows for further detail.</w:t>
      </w:r>
    </w:p>
    <w:p>
      <w:pPr>
        <w:pStyle w:val="TextBody"/>
        <w:bidi w:val="0"/>
        <w:spacing w:before="1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2025, customer deposits decreased $57.6 million, mostly due to a seasonal decrease in public funds, partially offset by an increase in noninterest bearing demand balances. As of June 30, 2026, we had approximately $9.48 billion of uninsured deposits, of which $2.79 billion was collateralized by investment securities.</w:t>
      </w:r>
    </w:p>
    <w:p>
      <w:pPr>
        <w:pStyle w:val="TextBody"/>
        <w:bidi w:val="0"/>
        <w:spacing w:before="0" w:after="0"/>
        <w:jc w:val="both"/>
        <w:rPr/>
      </w:pPr>
      <w:r>
        <w:rPr/>
      </w:r>
    </w:p>
    <w:tbl>
      <w:tblPr>
        <w:tblW w:w="1965" w:type="dxa"/>
        <w:jc w:val="left"/>
        <w:tblInd w:w="0" w:type="dxa"/>
        <w:tblLayout w:type="fixed"/>
        <w:tblCellMar>
          <w:top w:w="28" w:type="dxa"/>
          <w:left w:w="28" w:type="dxa"/>
          <w:bottom w:w="28" w:type="dxa"/>
          <w:right w:w="28" w:type="dxa"/>
        </w:tblCellMar>
      </w:tblPr>
      <w:tblGrid>
        <w:gridCol w:w="628"/>
        <w:gridCol w:w="552"/>
        <w:gridCol w:w="785"/>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12 - Deposits</w:t>
            </w:r>
          </w:p>
        </w:tc>
      </w:tr>
      <w:tr>
        <w:trPr/>
        <w:tc>
          <w:tcPr>
            <w:tcW w:w="19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bl>
    <w:tbl>
      <w:tblPr>
        <w:tblW w:w="8120" w:type="dxa"/>
        <w:jc w:val="left"/>
        <w:tblInd w:w="0" w:type="dxa"/>
        <w:tblLayout w:type="fixed"/>
        <w:tblCellMar>
          <w:top w:w="28" w:type="dxa"/>
          <w:left w:w="28" w:type="dxa"/>
          <w:bottom w:w="28" w:type="dxa"/>
          <w:right w:w="28" w:type="dxa"/>
        </w:tblCellMar>
      </w:tblPr>
      <w:tblGrid>
        <w:gridCol w:w="124"/>
        <w:gridCol w:w="859"/>
        <w:gridCol w:w="859"/>
        <w:gridCol w:w="861"/>
        <w:gridCol w:w="196"/>
        <w:gridCol w:w="961"/>
        <w:gridCol w:w="109"/>
        <w:gridCol w:w="109"/>
        <w:gridCol w:w="109"/>
        <w:gridCol w:w="109"/>
        <w:gridCol w:w="205"/>
        <w:gridCol w:w="205"/>
        <w:gridCol w:w="519"/>
        <w:gridCol w:w="109"/>
        <w:gridCol w:w="109"/>
        <w:gridCol w:w="109"/>
        <w:gridCol w:w="196"/>
        <w:gridCol w:w="961"/>
        <w:gridCol w:w="109"/>
        <w:gridCol w:w="109"/>
        <w:gridCol w:w="109"/>
        <w:gridCol w:w="109"/>
        <w:gridCol w:w="198"/>
        <w:gridCol w:w="198"/>
        <w:gridCol w:w="579"/>
      </w:tblGrid>
      <w:tr>
        <w:trPr/>
        <w:tc>
          <w:tcPr>
            <w:tcW w:w="12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6,252,252 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 and interest-bearing demand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5,677,423 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and savings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customer deposits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23,565,573 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23,623,166 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23,724,209 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23,798,430 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the dates presented. Effective duration represents the expected change in the price of a security when rates change by 100 basis points.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Table 13 - AFS and HTM Investment Securities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41"/>
        <w:gridCol w:w="841"/>
        <w:gridCol w:w="862"/>
        <w:gridCol w:w="196"/>
        <w:gridCol w:w="871"/>
        <w:gridCol w:w="256"/>
        <w:gridCol w:w="109"/>
        <w:gridCol w:w="109"/>
        <w:gridCol w:w="109"/>
        <w:gridCol w:w="223"/>
        <w:gridCol w:w="223"/>
        <w:gridCol w:w="526"/>
        <w:gridCol w:w="109"/>
        <w:gridCol w:w="109"/>
        <w:gridCol w:w="109"/>
        <w:gridCol w:w="196"/>
        <w:gridCol w:w="871"/>
        <w:gridCol w:w="256"/>
        <w:gridCol w:w="109"/>
        <w:gridCol w:w="109"/>
        <w:gridCol w:w="109"/>
        <w:gridCol w:w="223"/>
        <w:gridCol w:w="223"/>
        <w:gridCol w:w="526"/>
        <w:gridCol w:w="109"/>
        <w:gridCol w:w="109"/>
        <w:gridCol w:w="109"/>
        <w:gridCol w:w="196"/>
        <w:gridCol w:w="736"/>
        <w:gridCol w:w="109"/>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of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AFS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4,106,366 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3,750,863 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HTM</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2,179,043 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2,237,356 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AFS and HTM investment securities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6,285,409 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5,988,219 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 and HTM investment securities as a % of total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life</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Swap adjusted effective duration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Effective duration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purchased $759 million in AFS securities, mostly in preparation for the expected cash inflows from the sale of Navitas, which is expected to close in the third quarter of 2026. These purchases were partly offset by sales, maturities and paydowns during the period.</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Over the last six months, we have strategically worked to reduce our interest rate risk by buying shorter duration securities, which is reflected in the decrease in the effective duration of the securities portfolio.</w:t>
      </w:r>
    </w:p>
    <w:p>
      <w:pPr>
        <w:pStyle w:val="TextBody"/>
        <w:bidi w:val="0"/>
        <w:spacing w:lineRule="auto" w:line="288" w:before="140" w:after="140"/>
        <w:jc w:val="both"/>
        <w:rPr>
          <w:rFonts w:ascii="Times New Roman;serif" w:hAnsi="Times New Roman;serif"/>
          <w:b w:val="false"/>
          <w:color w:val="000000"/>
          <w:sz w:val="20"/>
        </w:rPr>
      </w:pPr>
      <w:r>
        <w:rPr>
          <w:rFonts w:ascii="Times New Roman;serif" w:hAnsi="Times New Roman;serif"/>
          <w:b w:val="false"/>
          <w:color w:val="000000"/>
          <w:sz w:val="20"/>
        </w:rPr>
        <w:t>We utilize fair value hedges on a portion of our AFS securities portfolio in order to mitigate the impact of potential future unrealized losses on our tangible common equity. Gains and losses related to the hedge and hedged item are reflected in investment securities interest income. The changes in the fair value of the hedge and the hedged item substantially offset each other. See Note 6 to the financial statements for further detail.</w:t>
      </w:r>
    </w:p>
    <w:p>
      <w:pPr>
        <w:pStyle w:val="TextBody"/>
        <w:bidi w:val="0"/>
        <w:spacing w:lineRule="auto" w:line="288" w:before="20" w:after="140"/>
        <w:jc w:val="both"/>
        <w:rPr>
          <w:rFonts w:ascii="Times New Roman;serif" w:hAnsi="Times New Roman;serif"/>
          <w:b w:val="false"/>
          <w:color w:val="000000"/>
          <w:sz w:val="20"/>
        </w:rPr>
      </w:pPr>
      <w:r>
        <w:rPr>
          <w:rFonts w:ascii="Times New Roman;serif" w:hAnsi="Times New Roman;serif"/>
          <w:b w:val="false"/>
          <w:color w:val="000000"/>
          <w:sz w:val="20"/>
        </w:rPr>
        <w:t>At June 30, 2026, HTM debt securities had a fair value of $1.85 billion, indicating net unrealized losses of $330 million (pre-tax). Additional unrealized losses on HTM debt securities of $48.2 million (pre-tax) were included in AOCI as a result of the reclassification of certain AFS debt securities to HTM in 2022. Unrealized losses were primarily attributable to changes in interest rates.</w:t>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See Note 4 to the consolidated financial statements for additional detail on investment securities.</w:t>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Holding Company had long-term debt outstanding of $20.6 million and $120 million, respectively, which includes trust preferred securities and, as of December 31, 2025, also includes subordinated debt. On April 30, 2026, we redeemed our $100 million in principal amount of subordinated debentures prior to maturity. At June 30, 2026, the Bank had $360 million in short-term borrowings outstanding, compared to $85.0 million at December 31, 2025. The Bank also had $800 million in FHLB advances at June 30, 2026. In the second quarter we utilized wholesale funding sources to facilitate securities purchases, as discussed above, and fund loan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Contractual Obligations and Off-Balance Sheet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not been any material changes to our contractual obligations and off-balance sheet arrangements since December 31, 2025.</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Sensitivity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 sensitivity is a function of the repricing characteristics of the portfolio of assets and liabilities. Repricing characteristics are the time frames within which the interest rates on interest-earning assets and interest-bearing liabilities are subject to change either at replacement, repricing or maturity.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uses an asset/liability simulation model to measure the potential change in net interest revenue over time using multiple interest rate scenarios. Our modeling is based on the 12-month impact on net interest revenue simulations with various interest rate shocks and ramps, which are compared to a base scenario that assumes rates remain unchanged. In the shock scenarios,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immediately change the full amount at the scenario onset. In the ramp scenarios, rates change by 25 basis points per month until they reach the predetermined levels.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estimated interest sensitivity position at the dates indicated. The scenario results presented assume parallel movements in the yield curve, which may differ from actual future curve behavior. Other than an assumption for the runoff of estimated surge deposits, which is assumed to be replaced with higher cost wholesale funding, this presentation generally assumes no change in deposit portfolio size or composition.</w:t>
      </w:r>
    </w:p>
    <w:p>
      <w:pPr>
        <w:pStyle w:val="TextBody"/>
        <w:bidi w:val="0"/>
        <w:spacing w:before="0" w:after="0"/>
        <w:jc w:val="both"/>
        <w:rPr/>
      </w:pPr>
      <w:r>
        <w:rPr/>
      </w:r>
    </w:p>
    <w:tbl>
      <w:tblPr>
        <w:tblW w:w="2639" w:type="dxa"/>
        <w:jc w:val="left"/>
        <w:tblInd w:w="0" w:type="dxa"/>
        <w:tblLayout w:type="fixed"/>
        <w:tblCellMar>
          <w:top w:w="28" w:type="dxa"/>
          <w:left w:w="28" w:type="dxa"/>
          <w:bottom w:w="28" w:type="dxa"/>
          <w:right w:w="28" w:type="dxa"/>
        </w:tblCellMar>
      </w:tblPr>
      <w:tblGrid>
        <w:gridCol w:w="844"/>
        <w:gridCol w:w="743"/>
        <w:gridCol w:w="1052"/>
      </w:tblGrid>
      <w:tr>
        <w:trPr/>
        <w:tc>
          <w:tcPr>
            <w:tcW w:w="84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14 - Interest Sensitivity</w:t>
            </w:r>
          </w:p>
        </w:tc>
      </w:tr>
      <w:tr>
        <w:trPr/>
        <w:tc>
          <w:tcPr>
            <w:tcW w:w="2639" w:type="dxa"/>
            <w:gridSpan w:val="3"/>
            <w:tcBorders/>
            <w:vAlign w:val="center"/>
          </w:tcPr>
          <w:p>
            <w:pPr>
              <w:pStyle w:val="TableContents"/>
              <w:bidi w:val="0"/>
              <w:spacing w:before="0" w:after="283"/>
              <w:jc w:val="left"/>
              <w:rPr>
                <w:sz w:val="4"/>
                <w:szCs w:val="4"/>
              </w:rPr>
            </w:pPr>
            <w:r>
              <w:rPr>
                <w:sz w:val="4"/>
                <w:szCs w:val="4"/>
              </w:rPr>
            </w:r>
          </w:p>
        </w:tc>
      </w:tr>
    </w:tbl>
    <w:tbl>
      <w:tblPr>
        <w:tblW w:w="8635" w:type="dxa"/>
        <w:jc w:val="left"/>
        <w:tblInd w:w="0" w:type="dxa"/>
        <w:tblLayout w:type="fixed"/>
        <w:tblCellMar>
          <w:top w:w="28" w:type="dxa"/>
          <w:left w:w="28" w:type="dxa"/>
          <w:bottom w:w="28" w:type="dxa"/>
          <w:right w:w="28" w:type="dxa"/>
        </w:tblCellMar>
      </w:tblPr>
      <w:tblGrid>
        <w:gridCol w:w="124"/>
        <w:gridCol w:w="109"/>
        <w:gridCol w:w="109"/>
        <w:gridCol w:w="609"/>
        <w:gridCol w:w="609"/>
        <w:gridCol w:w="612"/>
        <w:gridCol w:w="109"/>
        <w:gridCol w:w="109"/>
        <w:gridCol w:w="109"/>
        <w:gridCol w:w="319"/>
        <w:gridCol w:w="221"/>
        <w:gridCol w:w="460"/>
        <w:gridCol w:w="196"/>
        <w:gridCol w:w="196"/>
        <w:gridCol w:w="196"/>
        <w:gridCol w:w="319"/>
        <w:gridCol w:w="221"/>
        <w:gridCol w:w="460"/>
        <w:gridCol w:w="196"/>
        <w:gridCol w:w="196"/>
        <w:gridCol w:w="196"/>
        <w:gridCol w:w="319"/>
        <w:gridCol w:w="221"/>
        <w:gridCol w:w="460"/>
        <w:gridCol w:w="196"/>
        <w:gridCol w:w="196"/>
        <w:gridCol w:w="196"/>
        <w:gridCol w:w="319"/>
        <w:gridCol w:w="221"/>
        <w:gridCol w:w="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in Net Interest Revenue from Base Scenario at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Shock</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Ramp</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Shock</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100 basis point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(0.69)</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200 basis point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Overall, the shift toward floating-rate earning assets outpaced the increase in liability sensitivity, resulting in a modest increase in asset sensitivity from December 31, 2025 to June 30, 2026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Capital Risk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maintenance and management of capital levels are significant priorities of management. We are committed to maintaining a capital position that will support ongoing operations and the achievement of our strategic objectives. The ALCO and the Board are responsible for establishing capital adequacy risk ranges that are appropriate given the risks to which we are exposed and the environment in which we operate. Current and projected capital levels are compared to capital adequacy risk ranges and reported quarterly to the ALCO and the Board. We utilize a baseline capital forecast as part of our capital management and planning process to evaluate current and future capital needs. We also use hypothetical stressed scenarios and sensitivity analyses, based on changing economic conditions and scenarios, including potential merger and acquisition transactions and debt/capital market activities. Forecasting alternative capital scenarios helps inform overall capital adequacy and capital ranges.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Shareholders’ Equity Highlights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equity at June 30, 2026 was $3.75 billion, an increase of $106 million from December 31, 2025 primarily due to year-to-date earnings of $200 million, partially offset by common stock repurchases of $37.4 million and dividends declared on common stock of $60.8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Regulatory Capital</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capital composition as of June 30, 2026 and December 31, 2025. The decrease in Tier 2 capital instruments reflects the redemption of the $100 million subordinated debenture in the second quarter of 2026, which was subject to phase-out provisions as it approached maturity.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15 - Capital Composition under Basel III</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342"/>
        <w:gridCol w:w="1142"/>
        <w:gridCol w:w="1149"/>
        <w:gridCol w:w="109"/>
        <w:gridCol w:w="109"/>
        <w:gridCol w:w="109"/>
        <w:gridCol w:w="233"/>
        <w:gridCol w:w="1036"/>
        <w:gridCol w:w="129"/>
        <w:gridCol w:w="129"/>
        <w:gridCol w:w="129"/>
        <w:gridCol w:w="129"/>
        <w:gridCol w:w="233"/>
        <w:gridCol w:w="1036"/>
        <w:gridCol w:w="129"/>
        <w:gridCol w:w="109"/>
        <w:gridCol w:w="109"/>
        <w:gridCol w:w="109"/>
        <w:gridCol w:w="196"/>
        <w:gridCol w:w="871"/>
        <w:gridCol w:w="109"/>
        <w:gridCol w:w="109"/>
        <w:gridCol w:w="109"/>
        <w:gridCol w:w="109"/>
        <w:gridCol w:w="196"/>
        <w:gridCol w:w="874"/>
        <w:gridCol w:w="162"/>
      </w:tblGrid>
      <w:tr>
        <w:trPr/>
        <w:tc>
          <w:tcPr>
            <w:tcW w:w="13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Banks, Inc. (Consolidated)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w:t>
            </w:r>
          </w:p>
        </w:tc>
      </w:tr>
      <w:tr>
        <w:trPr/>
        <w:tc>
          <w:tcPr>
            <w:tcW w:w="3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3,745,004 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3,638,686 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3,422,602 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3,391,455 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(925,119)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(925,119)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(925,119)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other than goodwill and mortgage servicing rights, net of associated DTLs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(37,274)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DTAs arising from net operating loss and tax 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AFS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net gains on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HTM securities that are included in 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CET1 / 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2,938,418 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2,824,732 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2,617,330 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2,582,475 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2 capital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Qualifying ACL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3,143,672 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3,104,806 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2,797,549 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shows capital ratios, as calculated under applicable regulatory guidelines, at June 30, 2026 and December 31, 2025. As of June 30, 2026, capital levels remained characterized as “well-capitalized” under regulatory requirements in effect at the time. Additional information related to capital ratios is provided in Note 10 to the consolidated financial statements.</w:t>
      </w:r>
    </w:p>
    <w:p>
      <w:pPr>
        <w:pStyle w:val="TextBody"/>
        <w:bidi w:val="0"/>
        <w:spacing w:before="0" w:after="0"/>
        <w:jc w:val="both"/>
        <w:rPr/>
      </w:pPr>
      <w:r>
        <w:rPr/>
      </w:r>
    </w:p>
    <w:tbl>
      <w:tblPr>
        <w:tblW w:w="2280" w:type="dxa"/>
        <w:jc w:val="left"/>
        <w:tblInd w:w="0" w:type="dxa"/>
        <w:tblLayout w:type="fixed"/>
        <w:tblCellMar>
          <w:top w:w="28" w:type="dxa"/>
          <w:left w:w="28" w:type="dxa"/>
          <w:bottom w:w="28" w:type="dxa"/>
          <w:right w:w="28" w:type="dxa"/>
        </w:tblCellMar>
      </w:tblPr>
      <w:tblGrid>
        <w:gridCol w:w="729"/>
        <w:gridCol w:w="640"/>
        <w:gridCol w:w="911"/>
      </w:tblGrid>
      <w:tr>
        <w:trPr/>
        <w:tc>
          <w:tcPr>
            <w:tcW w:w="72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Table 16 - Capital Ratios</w:t>
            </w:r>
          </w:p>
        </w:tc>
      </w:tr>
      <w:tr>
        <w:trPr/>
        <w:tc>
          <w:tcPr>
            <w:tcW w:w="228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2"/>
        <w:gridCol w:w="300"/>
        <w:gridCol w:w="302"/>
        <w:gridCol w:w="109"/>
        <w:gridCol w:w="109"/>
        <w:gridCol w:w="109"/>
        <w:gridCol w:w="200"/>
        <w:gridCol w:w="200"/>
        <w:gridCol w:w="471"/>
        <w:gridCol w:w="109"/>
        <w:gridCol w:w="109"/>
        <w:gridCol w:w="109"/>
        <w:gridCol w:w="233"/>
        <w:gridCol w:w="233"/>
        <w:gridCol w:w="528"/>
        <w:gridCol w:w="109"/>
        <w:gridCol w:w="109"/>
        <w:gridCol w:w="109"/>
        <w:gridCol w:w="303"/>
        <w:gridCol w:w="303"/>
        <w:gridCol w:w="713"/>
        <w:gridCol w:w="109"/>
        <w:gridCol w:w="109"/>
        <w:gridCol w:w="109"/>
        <w:gridCol w:w="286"/>
        <w:gridCol w:w="270"/>
        <w:gridCol w:w="271"/>
        <w:gridCol w:w="115"/>
        <w:gridCol w:w="115"/>
        <w:gridCol w:w="115"/>
        <w:gridCol w:w="278"/>
        <w:gridCol w:w="278"/>
        <w:gridCol w:w="451"/>
        <w:gridCol w:w="109"/>
        <w:gridCol w:w="109"/>
        <w:gridCol w:w="109"/>
        <w:gridCol w:w="286"/>
        <w:gridCol w:w="270"/>
        <w:gridCol w:w="265"/>
        <w:gridCol w:w="112"/>
        <w:gridCol w:w="112"/>
        <w:gridCol w:w="112"/>
        <w:gridCol w:w="278"/>
        <w:gridCol w:w="278"/>
        <w:gridCol w:w="55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Banks, Inc.</w:t>
              <w:br/>
              <w:t>(Consolidated)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Community Bank</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Well-</w:t>
              <w:br/>
              <w:t>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 Capital Plus Capital Conservation Buffer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December 31, </w:t>
              <w:br/>
              <w:t>2025</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Risk-based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CET1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Effect of Inflation and Changing Prices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bank’s asset and liability structure is substantially different from that of an industrial firm in that primarily all assets and liabilities of a bank are monetary in nature with relatively little investment in fixed assets or inventories. 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customary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2025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tbl>
      <w:tblPr>
        <w:tblW w:w="10717" w:type="dxa"/>
        <w:jc w:val="left"/>
        <w:tblInd w:w="0" w:type="dxa"/>
        <w:tblLayout w:type="fixed"/>
        <w:tblCellMar>
          <w:top w:w="28" w:type="dxa"/>
          <w:left w:w="28" w:type="dxa"/>
          <w:bottom w:w="28" w:type="dxa"/>
          <w:right w:w="28" w:type="dxa"/>
        </w:tblCellMar>
      </w:tblPr>
      <w:tblGrid>
        <w:gridCol w:w="124"/>
        <w:gridCol w:w="395"/>
        <w:gridCol w:w="395"/>
        <w:gridCol w:w="396"/>
        <w:gridCol w:w="109"/>
        <w:gridCol w:w="109"/>
        <w:gridCol w:w="109"/>
        <w:gridCol w:w="306"/>
        <w:gridCol w:w="250"/>
        <w:gridCol w:w="441"/>
        <w:gridCol w:w="109"/>
        <w:gridCol w:w="109"/>
        <w:gridCol w:w="109"/>
        <w:gridCol w:w="339"/>
        <w:gridCol w:w="217"/>
        <w:gridCol w:w="474"/>
        <w:gridCol w:w="109"/>
        <w:gridCol w:w="109"/>
        <w:gridCol w:w="109"/>
        <w:gridCol w:w="306"/>
        <w:gridCol w:w="250"/>
        <w:gridCol w:w="441"/>
        <w:gridCol w:w="109"/>
        <w:gridCol w:w="109"/>
        <w:gridCol w:w="109"/>
        <w:gridCol w:w="327"/>
        <w:gridCol w:w="229"/>
        <w:gridCol w:w="462"/>
        <w:gridCol w:w="109"/>
        <w:gridCol w:w="109"/>
        <w:gridCol w:w="109"/>
        <w:gridCol w:w="306"/>
        <w:gridCol w:w="250"/>
        <w:gridCol w:w="441"/>
        <w:gridCol w:w="109"/>
        <w:gridCol w:w="109"/>
        <w:gridCol w:w="109"/>
        <w:gridCol w:w="325"/>
        <w:gridCol w:w="231"/>
        <w:gridCol w:w="460"/>
        <w:gridCol w:w="109"/>
        <w:gridCol w:w="109"/>
        <w:gridCol w:w="109"/>
        <w:gridCol w:w="327"/>
        <w:gridCol w:w="229"/>
        <w:gridCol w:w="507"/>
      </w:tblGrid>
      <w:tr>
        <w:trPr/>
        <w:tc>
          <w:tcPr>
            <w:tcW w:w="12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UNITED COMMUNITY BANKS,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593"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Table 17 - Non-GAAP Performance Measures Reconciliation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Six Months Ended 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income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Noninterest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70,364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Noninterest income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70,364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expense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Noninterest expense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289,018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Noninterest expense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282,888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to operating income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150,146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Release of ACL on equipment finance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benefit of non-operating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154,948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Diluted income per common share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income per common share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Release of ACL on equipment finance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Deemed dividend on preferred stock redemption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income per common share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Book value per common share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Book value per common share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Tangible book value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Return on tangible common equity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 on common equity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9.20 </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(0.45)</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(0.22)</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Release of ACL on equipment finance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(0.16)</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0.27 </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Deemed dividend on preferred stock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0.34 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 on common equity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9.53 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8.87 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 on tangible common equity -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13.05 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13.31 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13.56 </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12.34 </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13.02 </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11.78 </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455"/>
        <w:gridCol w:w="455"/>
        <w:gridCol w:w="456"/>
        <w:gridCol w:w="109"/>
        <w:gridCol w:w="109"/>
        <w:gridCol w:w="109"/>
        <w:gridCol w:w="298"/>
        <w:gridCol w:w="260"/>
        <w:gridCol w:w="389"/>
        <w:gridCol w:w="109"/>
        <w:gridCol w:w="109"/>
        <w:gridCol w:w="109"/>
        <w:gridCol w:w="299"/>
        <w:gridCol w:w="257"/>
        <w:gridCol w:w="384"/>
        <w:gridCol w:w="109"/>
        <w:gridCol w:w="109"/>
        <w:gridCol w:w="109"/>
        <w:gridCol w:w="298"/>
        <w:gridCol w:w="260"/>
        <w:gridCol w:w="389"/>
        <w:gridCol w:w="109"/>
        <w:gridCol w:w="109"/>
        <w:gridCol w:w="109"/>
        <w:gridCol w:w="325"/>
        <w:gridCol w:w="233"/>
        <w:gridCol w:w="386"/>
        <w:gridCol w:w="109"/>
        <w:gridCol w:w="109"/>
        <w:gridCol w:w="109"/>
        <w:gridCol w:w="298"/>
        <w:gridCol w:w="260"/>
        <w:gridCol w:w="389"/>
        <w:gridCol w:w="109"/>
        <w:gridCol w:w="109"/>
        <w:gridCol w:w="109"/>
        <w:gridCol w:w="285"/>
        <w:gridCol w:w="271"/>
        <w:gridCol w:w="256"/>
        <w:gridCol w:w="116"/>
        <w:gridCol w:w="116"/>
        <w:gridCol w:w="116"/>
        <w:gridCol w:w="286"/>
        <w:gridCol w:w="270"/>
        <w:gridCol w:w="312"/>
      </w:tblGrid>
      <w:tr>
        <w:trPr/>
        <w:tc>
          <w:tcPr>
            <w:tcW w:w="12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UNITED COMMUNITY BANKS,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Table 17 - Non-GAAP Performance Measures Reconciliation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7"/>
              </w:rPr>
            </w:pPr>
            <w:r>
              <w:rPr>
                <w:rFonts w:ascii="Times New Roman;serif" w:hAnsi="Times New Roman;serif"/>
                <w:b/>
                <w:i/>
                <w:color w:val="000000"/>
                <w:sz w:val="17"/>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For the Six Months Ended 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Second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Fourth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Third Quarter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Return on assets reconciliation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 on assets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Release of ACL on equipment finance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Return on assets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Efficiency ratio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Efficiency ratio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57.01 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56.66 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54.30 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56.71 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terminated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transition bonus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special assessment accrual reversal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0.68 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Merger-related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(0.31)</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Efficiency ratio -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56.69 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55.65 </w:t>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54.19 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53.05 </w:t>
            </w:r>
          </w:p>
        </w:tc>
        <w:tc>
          <w:tcPr>
            <w:tcW w:w="3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54.84 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56.18 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55.51 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Tangible common equity to tangible assets reconciliation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to total assets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12.97 </w:t>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12.78 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12.86 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12.86 </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goodwill and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(0.31)</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(0.31)</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Tangible common equity to 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9.94 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9.92 </w:t>
            </w:r>
          </w:p>
        </w:tc>
        <w:tc>
          <w:tcPr>
            <w:tcW w:w="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9.92 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9.45 </w:t>
            </w:r>
          </w:p>
        </w:tc>
        <w:tc>
          <w:tcPr>
            <w:tcW w:w="3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9.94 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9.45 </w:t>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as of June 30, 2026 from that presented in our 2025 10-K. Our interest rate sensitivity position at June 30, 2026 is set forth in Table 14 in MD&amp;A of this Report and incorporated herein by this reference.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(a) </w:t>
      </w:r>
      <w:r>
        <w:rPr>
          <w:rFonts w:ascii="Times New Roman;serif" w:hAnsi="Times New Roman;serif"/>
          <w:b w:val="false"/>
          <w:i/>
          <w:color w:val="000000"/>
          <w:sz w:val="20"/>
        </w:rPr>
        <w:t xml:space="preserve">Disclosure Controls and Procedures. </w:t>
      </w: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such term is defined in Exchange Act Rule 13a-15(e)) as of June 30, 2026. Based on that evaluation, our principal executive officer and chief financial officer concluded that our disclosure controls and procedures were effective as of the end of the period covered by this Report.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 xml:space="preserve">(b) </w:t>
      </w: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No change in our internal control over financial reporting (as such term is defined in Exchange Act Rule 13a-15(f)) occurred during the fiscal quarter ended June 30, 2026 that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Items 1A. Risk Factors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Except with respect to the additional risk factor related to the proposed </w:t>
      </w:r>
      <w:r>
        <w:rPr>
          <w:rFonts w:ascii="Times New Roman;serif" w:hAnsi="Times New Roman;serif"/>
          <w:b w:val="false"/>
          <w:color w:val="000000"/>
          <w:sz w:val="20"/>
        </w:rPr>
        <w:t>Peach State</w:t>
      </w:r>
      <w:r>
        <w:rPr>
          <w:color w:val="000000"/>
          <w:shd w:fill="FFFFFF" w:val="clear"/>
        </w:rPr>
        <w:t xml:space="preserve"> </w:t>
      </w:r>
      <w:r>
        <w:rPr>
          <w:rFonts w:ascii="Times New Roman;serif" w:hAnsi="Times New Roman;serif"/>
          <w:b w:val="false"/>
          <w:color w:val="000000"/>
          <w:sz w:val="20"/>
          <w:shd w:fill="FFFFFF" w:val="clear"/>
        </w:rPr>
        <w:t>merger set forth below, there have been no material changes to the risk factors previously disclosed in t</w:t>
      </w:r>
      <w:r>
        <w:rPr>
          <w:rFonts w:ascii="Times New Roman;serif" w:hAnsi="Times New Roman;serif"/>
          <w:b w:val="false"/>
          <w:color w:val="000000"/>
          <w:sz w:val="20"/>
        </w:rPr>
        <w:t>he 2025 10-K.</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Combining United and Peach State may be more difficult, costly or time-consuming than expected, and the anticipated benefits and cost savings of the merger and the bank merger may not be realized.</w:t>
      </w:r>
    </w:p>
    <w:p>
      <w:pPr>
        <w:pStyle w:val="TextBody"/>
        <w:bidi w:val="0"/>
        <w:spacing w:lineRule="auto" w:line="288" w:before="0" w:after="0"/>
        <w:jc w:val="both"/>
        <w:rPr/>
      </w:pPr>
      <w:r>
        <w:rPr>
          <w:rFonts w:ascii="Times New Roman;serif" w:hAnsi="Times New Roman;serif"/>
          <w:b w:val="false"/>
          <w:color w:val="000000"/>
          <w:sz w:val="20"/>
        </w:rPr>
        <w:t>The success of the Peach State merger, including anticipated benefits and cost savings, will depend, in part, on United’s ability to successfully combine and integrate the businesses of United and Peach State</w:t>
      </w:r>
      <w:r>
        <w:rPr>
          <w:color w:val="000000"/>
          <w:shd w:fill="FFFFFF" w:val="clear"/>
        </w:rPr>
        <w:t xml:space="preserve"> </w:t>
      </w:r>
      <w:r>
        <w:rPr>
          <w:rFonts w:ascii="Times New Roman;serif" w:hAnsi="Times New Roman;serif"/>
          <w:b w:val="false"/>
          <w:color w:val="000000"/>
          <w:sz w:val="20"/>
        </w:rPr>
        <w:t>in a manner that permits growth opportunities and does not materially disrupt the existing customer relations or result in decreased revenues due to loss of customers. It is possible that the integration process could result in the loss of key employees, the disruption of either company’s ongoing businesses or inconsistencies in standards, controls, procedures and policies that adversely affect the combined company’s ability to maintain relationships with clients, customers, depositors and employees or to achieve the anticipated benefits and cost savings of the merger and the bank merger. Integration efforts between the two companies could have an adverse effect on each of United and Peach State</w:t>
      </w:r>
      <w:r>
        <w:rPr>
          <w:color w:val="000000"/>
          <w:shd w:fill="FFFFFF" w:val="clear"/>
        </w:rPr>
        <w:t xml:space="preserve"> </w:t>
      </w:r>
      <w:r>
        <w:rPr>
          <w:rFonts w:ascii="Times New Roman;serif" w:hAnsi="Times New Roman;serif"/>
          <w:b w:val="false"/>
          <w:color w:val="000000"/>
          <w:sz w:val="20"/>
        </w:rPr>
        <w:t>during the transition period and for an undetermined period after completion of the merger on the combined company. In addition, the actual cost savings of the merger and the bank merger could be less than anticipated.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20, 2026, we entered into a merger agreement with Peach State, headquartered in Gainesville, Georgia. Under the terms of the merger agreement, Peach State shareholders could elect to receive either the per share cash consideration of $31.75 or the per share stock consideration of 0.8978 shares of United common stock for each share of Peach State common stock outstanding, subject to proration such that the total consideration paid will be comprised of 50% stock and 50%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of the Company adopted, modified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(d)     Exhibits.</w:t>
      </w:r>
      <w:r>
        <w:rPr>
          <w:color w:val="000000"/>
        </w:rPr>
        <w:t xml:space="preserve"> </w:t>
      </w:r>
      <w:r>
        <w:rPr>
          <w:rFonts w:ascii="Times New Roman;serif" w:hAnsi="Times New Roman;serif"/>
          <w:b w:val="false"/>
          <w:color w:val="000000"/>
          <w:sz w:val="20"/>
        </w:rPr>
        <w:t>See Exhibit Index below.</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93"/>
        <w:gridCol w:w="257"/>
        <w:gridCol w:w="258"/>
        <w:gridCol w:w="120"/>
        <w:gridCol w:w="120"/>
        <w:gridCol w:w="120"/>
        <w:gridCol w:w="2743"/>
        <w:gridCol w:w="2595"/>
        <w:gridCol w:w="3699"/>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No.</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2.1</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Stock Purchase Agreement, dated as of June 11, 2026, by and among United Community Bank, United Community Banks, Inc. (solely for the limited purposes set forth therein), and Navitas TopCo LLC (incorporated herein by reference to Exhibit 2.1 to United Community Bank Inc.'s Current Report on Form 8-K dated June 11, 2026, filed with the SEC on June 12,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3.1</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Restated Articles of Incorporation of United Community Banks, Inc. as amended through August 13, 2021 (incorporated herein by reference to Exhibit 3.1 to United Community Bank Inc.'s Quarterly Report on Form 10-Q for the period ended September 30, 2021, filed on November 5, 2021).</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6">
              <w:r>
                <w:rPr>
                  <w:rStyle w:val="InternetLink"/>
                  <w:rFonts w:ascii="Times New Roman;serif" w:hAnsi="Times New Roman;serif"/>
                  <w:b w:val="false"/>
                  <w:color w:val="0000FF"/>
                  <w:sz w:val="20"/>
                  <w:u w:val="single"/>
                </w:rPr>
                <w:t>3.2</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Amended and Restated Bylaws of United Community Banks, Inc., as amended (incorporated herein by reference to Exhibit 3.2 to United Community Banks, Inc.’s Quarterly Report on Form 10-Q for the period ended March 31, 2015, filed with the SEC on May 11, 2015).</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8">
              <w:r>
                <w:rPr>
                  <w:rStyle w:val="InternetLink"/>
                  <w:rFonts w:ascii="Times New Roman;serif" w:hAnsi="Times New Roman;serif"/>
                  <w:b w:val="false"/>
                  <w:color w:val="0000FF"/>
                  <w:sz w:val="20"/>
                  <w:u w:val="single"/>
                </w:rPr>
                <w:t>10.1</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80"/>
                  <w:sz w:val="20"/>
                  <w:u w:val="single"/>
                </w:rPr>
                <w:t xml:space="preserve">Agreement dated April 28, 2026 between United Community Banks, Inc. and Jefferson L. Harralson (incorporated herein by reference to Exhibit </w:t>
              </w:r>
            </w:hyperlink>
            <w:hyperlink r:id="rId10">
              <w:r>
                <w:rPr>
                  <w:rStyle w:val="InternetLink"/>
                  <w:rFonts w:ascii="Times New Roman;serif" w:hAnsi="Times New Roman;serif"/>
                  <w:b w:val="false"/>
                  <w:color w:val="000080"/>
                  <w:sz w:val="20"/>
                  <w:u w:val="single"/>
                </w:rPr>
                <w:t>10</w:t>
              </w:r>
            </w:hyperlink>
            <w:hyperlink r:id="rId11">
              <w:r>
                <w:rPr>
                  <w:rStyle w:val="InternetLink"/>
                  <w:rFonts w:ascii="Times New Roman;serif" w:hAnsi="Times New Roman;serif"/>
                  <w:b w:val="false"/>
                  <w:color w:val="000080"/>
                  <w:sz w:val="20"/>
                  <w:u w:val="single"/>
                </w:rPr>
                <w:t xml:space="preserve">.1 to United Community Bank Inc.'s Current Report on Form 8-K dated </w:t>
              </w:r>
            </w:hyperlink>
            <w:hyperlink r:id="rId12">
              <w:r>
                <w:rPr>
                  <w:rStyle w:val="InternetLink"/>
                  <w:rFonts w:ascii="Times New Roman;serif" w:hAnsi="Times New Roman;serif"/>
                  <w:b w:val="false"/>
                  <w:color w:val="000080"/>
                  <w:sz w:val="20"/>
                  <w:u w:val="single"/>
                </w:rPr>
                <w:t>April 28</w:t>
              </w:r>
            </w:hyperlink>
            <w:hyperlink r:id="rId13">
              <w:r>
                <w:rPr>
                  <w:rStyle w:val="InternetLink"/>
                  <w:rFonts w:ascii="Times New Roman;serif" w:hAnsi="Times New Roman;serif"/>
                  <w:b w:val="false"/>
                  <w:color w:val="000080"/>
                  <w:sz w:val="20"/>
                  <w:u w:val="single"/>
                </w:rPr>
                <w:t xml:space="preserve">, 2026, filed with the SEC on </w:t>
              </w:r>
            </w:hyperlink>
            <w:hyperlink r:id="rId14">
              <w:r>
                <w:rPr>
                  <w:rStyle w:val="InternetLink"/>
                  <w:rFonts w:ascii="Times New Roman;serif" w:hAnsi="Times New Roman;serif"/>
                  <w:b w:val="false"/>
                  <w:color w:val="000080"/>
                  <w:sz w:val="20"/>
                  <w:u w:val="single"/>
                </w:rPr>
                <w:t>April</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28</w:t>
              </w:r>
            </w:hyperlink>
            <w:hyperlink r:id="rId17">
              <w:r>
                <w:rPr>
                  <w:rStyle w:val="InternetLink"/>
                  <w:rFonts w:ascii="Times New Roman;serif" w:hAnsi="Times New Roman;serif"/>
                  <w:b w:val="false"/>
                  <w:color w:val="000080"/>
                  <w:sz w:val="20"/>
                  <w:u w:val="single"/>
                </w:rPr>
                <w:t>, 2026).</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6302610-qexhibit311.htm">
              <w:r>
                <w:rPr>
                  <w:rStyle w:val="InternetLink"/>
                  <w:rFonts w:ascii="Times New Roman;serif" w:hAnsi="Times New Roman;serif"/>
                  <w:b w:val="false"/>
                  <w:color w:val="0000FF"/>
                  <w:sz w:val="20"/>
                  <w:u w:val="single"/>
                </w:rPr>
                <w:t>31.1</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6302610-qexhibit311.htm">
              <w:r>
                <w:rPr>
                  <w:rStyle w:val="InternetLink"/>
                  <w:rFonts w:ascii="Times New Roman;serif" w:hAnsi="Times New Roman;serif"/>
                  <w:b w:val="false"/>
                  <w:color w:val="0000FF"/>
                  <w:sz w:val="20"/>
                  <w:u w:val="single"/>
                </w:rPr>
                <w:t>Certification by H. Lynn Harton, Chairman, Chief Executive Officer and President of United Community Banks, Inc., pursuant to Exchange Act Rule 13a-14(a).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6302610-qexhibit312.htm">
              <w:r>
                <w:rPr>
                  <w:rStyle w:val="InternetLink"/>
                  <w:rFonts w:ascii="Times New Roman;serif" w:hAnsi="Times New Roman;serif"/>
                  <w:b w:val="false"/>
                  <w:color w:val="0000FF"/>
                  <w:sz w:val="20"/>
                  <w:u w:val="single"/>
                </w:rPr>
                <w:t>31.2</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6302610-qexhibit312.htm">
              <w:r>
                <w:rPr>
                  <w:rStyle w:val="InternetLink"/>
                  <w:rFonts w:ascii="Times New Roman;serif" w:hAnsi="Times New Roman;serif"/>
                  <w:b w:val="false"/>
                  <w:color w:val="0000FF"/>
                  <w:sz w:val="20"/>
                  <w:u w:val="single"/>
                </w:rPr>
                <w:t>Certification by Jefferson L. Harralson, Executive Vice President and Chief Financial Officer of United Community Banks, Inc., pursuant to Exchange Act Rule 13a-14(a).</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ucb6302610-qexhibit32.htm">
              <w:r>
                <w:rPr>
                  <w:rStyle w:val="InternetLink"/>
                  <w:rFonts w:ascii="Times New Roman;serif" w:hAnsi="Times New Roman;serif"/>
                  <w:b w:val="false"/>
                  <w:color w:val="0000FF"/>
                  <w:sz w:val="20"/>
                  <w:u w:val="single"/>
                </w:rPr>
                <w:t>32</w:t>
              </w:r>
            </w:hyperlink>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ucb6302610-qexhibit32.htm">
              <w:r>
                <w:rPr>
                  <w:rStyle w:val="InternetLink"/>
                  <w:rFonts w:ascii="Times New Roman;serif" w:hAnsi="Times New Roman;serif"/>
                  <w:b w:val="false"/>
                  <w:color w:val="0000FF"/>
                  <w:sz w:val="20"/>
                  <w:u w:val="single"/>
                </w:rPr>
                <w:t>Certification of CEO and CFO pursuant to 18 U.S.C. Section 1350.</w:t>
              </w:r>
            </w:hyperlink>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Interactive data files for United Community Banks, Inc.’s Quarterly Report on Form 10-Q for the quarter ended June 30, 2026, formatted in Inline XBRL: </w:t>
            </w:r>
            <w:r>
              <w:rPr>
                <w:rFonts w:ascii="Times New Roman;serif" w:hAnsi="Times New Roman;serif"/>
                <w:b w:val="false"/>
                <w:color w:val="212529"/>
                <w:sz w:val="20"/>
              </w:rPr>
              <w:t>(i) the Consolidated Balance Sheets (unaudited); (ii) the Consolidated Statements of Income (unaudited); (iii) 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serif" w:hAnsi="Times New Roman;serif"/>
                <w:b w:val="false"/>
                <w:color w:val="000000"/>
                <w:sz w:val="20"/>
              </w:rPr>
              <w:t>.</w:t>
            </w:r>
          </w:p>
        </w:tc>
      </w:tr>
      <w:tr>
        <w:trPr/>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37" w:type="dxa"/>
            <w:gridSpan w:val="3"/>
            <w:tcBorders/>
            <w:vAlign w:val="center"/>
          </w:tcPr>
          <w:p>
            <w:pPr>
              <w:pStyle w:val="TableContents"/>
              <w:bidi w:val="0"/>
              <w:spacing w:before="0" w:after="283"/>
              <w:jc w:val="left"/>
              <w:rPr>
                <w:sz w:val="4"/>
                <w:szCs w:val="4"/>
              </w:rPr>
            </w:pPr>
            <w:r>
              <w:rPr>
                <w:sz w:val="4"/>
                <w:szCs w:val="4"/>
              </w:rPr>
            </w:r>
          </w:p>
        </w:tc>
      </w:tr>
      <w:tr>
        <w:trPr/>
        <w:tc>
          <w:tcPr>
            <w:tcW w:w="8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United Community Bank’s Quarterly Report on Form 10-Q for the quarter ended June 30, 2026 (formatted in Inline XBRL and included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9"/>
        <w:gridCol w:w="1299"/>
        <w:gridCol w:w="18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COMMUNITY BANKS,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H. Lynn Harton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 Lynn Harton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Jefferson L. Harralson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Alan H. Kumler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Alan H. Kumler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H. Lynn Harton,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United Community Banks, Inc.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626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194"/>
        <w:gridCol w:w="1194"/>
        <w:gridCol w:w="170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1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H. Lynn Harton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 Lynn Harton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200" w:after="283"/>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Jefferson L. Harralson,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United Community Banks, Inc. (the “Registrant”);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tbl>
      <w:tblPr>
        <w:tblW w:w="6611" w:type="dxa"/>
        <w:jc w:val="left"/>
        <w:tblInd w:w="0" w:type="dxa"/>
        <w:tblLayout w:type="fixed"/>
        <w:tblCellMar>
          <w:top w:w="28" w:type="dxa"/>
          <w:left w:w="28" w:type="dxa"/>
          <w:bottom w:w="28" w:type="dxa"/>
          <w:right w:w="28" w:type="dxa"/>
        </w:tblCellMar>
      </w:tblPr>
      <w:tblGrid>
        <w:gridCol w:w="668"/>
        <w:gridCol w:w="588"/>
        <w:gridCol w:w="589"/>
        <w:gridCol w:w="109"/>
        <w:gridCol w:w="109"/>
        <w:gridCol w:w="109"/>
        <w:gridCol w:w="1296"/>
        <w:gridCol w:w="1296"/>
        <w:gridCol w:w="1847"/>
      </w:tblGrid>
      <w:tr>
        <w:trP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Jefferson L. Harralson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United Community Banks, Inc. (“United”) on Form 10-Q for the period ending June 30, 2026 filed with the Securities and Exchange Commission on the date hereof (the “Report”), each of the undersigned officers of United certifies, pursuant to 18 U.S.C. Section 1350, as adopted pursuant to Section 906 of the Sarbanes-Oxley Act of 2002,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United.</w:t>
      </w:r>
    </w:p>
    <w:tbl>
      <w:tblPr>
        <w:tblW w:w="5456"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1295"/>
        <w:gridCol w:w="1295"/>
        <w:gridCol w:w="1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H. Lynn Harton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 Lynn Harton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Chief Executive Officer and President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Jefferson L. Harralson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Name: </w:t>
            </w:r>
          </w:p>
        </w:tc>
        <w:tc>
          <w:tcPr>
            <w:tcW w:w="4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Jefferson L. Harralson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5,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200" w:after="283"/>
        <w:jc w:val="left"/>
        <w:rPr>
          <w:color w:val="000000"/>
        </w:rPr>
      </w:pPr>
      <w:r>
        <w:rPr>
          <w:color w:val="000000"/>
        </w:rPr>
        <w: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57855/000110465926073197/tm2617702d1_ex2-1.htm" TargetMode="External"/><Relationship Id="rId3" Type="http://schemas.openxmlformats.org/officeDocument/2006/relationships/hyperlink" Target="https://www.sec.gov/Archives/edgar/data/857855/000110465926073197/tm2617702d1_ex2-1.htm" TargetMode="External"/><Relationship Id="rId4" Type="http://schemas.openxmlformats.org/officeDocument/2006/relationships/hyperlink" Target="https://www.sec.gov/Archives/edgar/data/857855/000085785521000109/ucbi93021ex31restatedartic.htm" TargetMode="External"/><Relationship Id="rId5" Type="http://schemas.openxmlformats.org/officeDocument/2006/relationships/hyperlink" Target="https://www.sec.gov/Archives/edgar/data/857855/000085785521000109/ucbi93021ex31restatedartic.htm" TargetMode="External"/><Relationship Id="rId6" Type="http://schemas.openxmlformats.org/officeDocument/2006/relationships/hyperlink" Target="https://www.sec.gov/Archives/edgar/data/857855/000157104915003882/t82199_ex3-2.htm" TargetMode="External"/><Relationship Id="rId7" Type="http://schemas.openxmlformats.org/officeDocument/2006/relationships/hyperlink" Target="https://www.sec.gov/Archives/edgar/data/857855/000157104915003882/t82199_ex3-2.htm" TargetMode="External"/><Relationship Id="rId8" Type="http://schemas.openxmlformats.org/officeDocument/2006/relationships/hyperlink" Target="https://www.sec.gov/Archives/edgar/data/857855/000110465926049821/tm2611416d1_ex10-1.htm" TargetMode="External"/><Relationship Id="rId9" Type="http://schemas.openxmlformats.org/officeDocument/2006/relationships/hyperlink" Target="https://www.sec.gov/Archives/edgar/data/857855/000110465926049821/tm2611416d1_ex10-1.htm" TargetMode="External"/><Relationship Id="rId10" Type="http://schemas.openxmlformats.org/officeDocument/2006/relationships/hyperlink" Target="https://www.sec.gov/Archives/edgar/data/857855/000110465926049821/tm2611416d1_ex10-1.htm" TargetMode="External"/><Relationship Id="rId11" Type="http://schemas.openxmlformats.org/officeDocument/2006/relationships/hyperlink" Target="https://www.sec.gov/Archives/edgar/data/857855/000110465926049821/tm2611416d1_ex10-1.htm" TargetMode="External"/><Relationship Id="rId12" Type="http://schemas.openxmlformats.org/officeDocument/2006/relationships/hyperlink" Target="https://www.sec.gov/Archives/edgar/data/857855/000110465926049821/tm2611416d1_ex10-1.htm" TargetMode="External"/><Relationship Id="rId13" Type="http://schemas.openxmlformats.org/officeDocument/2006/relationships/hyperlink" Target="https://www.sec.gov/Archives/edgar/data/857855/000110465926049821/tm2611416d1_ex10-1.htm" TargetMode="External"/><Relationship Id="rId14" Type="http://schemas.openxmlformats.org/officeDocument/2006/relationships/hyperlink" Target="https://www.sec.gov/Archives/edgar/data/857855/000110465926049821/tm2611416d1_ex10-1.htm" TargetMode="External"/><Relationship Id="rId15" Type="http://schemas.openxmlformats.org/officeDocument/2006/relationships/hyperlink" Target="https://www.sec.gov/Archives/edgar/data/857855/000110465926049821/tm2611416d1_ex10-1.htm" TargetMode="External"/><Relationship Id="rId16" Type="http://schemas.openxmlformats.org/officeDocument/2006/relationships/hyperlink" Target="https://www.sec.gov/Archives/edgar/data/857855/000110465926049821/tm2611416d1_ex10-1.htm" TargetMode="External"/><Relationship Id="rId17" Type="http://schemas.openxmlformats.org/officeDocument/2006/relationships/hyperlink" Target="https://www.sec.gov/Archives/edgar/data/857855/000110465926049821/tm2611416d1_ex1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25023</Words>
  <Characters>136239</Characters>
  <CharactersWithSpaces>157799</CharactersWithSpaces>
  <Paragraphs>8452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